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510-1_4seq1.xml.htm"/>
      <w:bookmarkStart w:id="1" w:name="kstm262351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Hill Emily Luisa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REPLIMUNE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UNICORN PARK DRIVE, SUITE 303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Replimune Group, Inc.</w:t>
              </w:r>
            </w:hyperlink>
            <w:r>
              <w:rPr/>
              <w:t xml:space="preserve"> [ </w:t>
            </w:r>
            <w:r>
              <w:rPr>
                <w:rFonts w:ascii="Times;serif" w:hAnsi="Times;serif"/>
                <w:color w:val="0000FF"/>
                <w:sz w:val="24"/>
                <w:shd w:fill="FFFFFF" w:val="clear"/>
              </w:rPr>
              <w:t>REPL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9,256</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14.28</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215,852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(the "Shares") sold to cover tax withholding obligations in connection with the partial vesting of the Reporting Person's Restricted Stock Units ("RSU"). The transaction reported herein was made in accordance with the irrevocable "sell to cover" provision set forth in the award agreements under which the RSUs were granted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reflects a weighted average price of the Shares. The Shares were sold in multiple transactions at prices ranging from $14.20 to $14.28 per Share. The Reporting Person will provide to the Issuer, any security holder of the Issuer or the Securities Exchange Commission staff, upon request, information regarding the number of Shares sold at each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 Glidden,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279" TargetMode="External"/><Relationship Id="rId5" Type="http://schemas.openxmlformats.org/officeDocument/2006/relationships/hyperlink" Target="http://www.sec.gov/cgi-bin/browse-edgar?action=getcompany&amp;CIK=0001737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3810</Characters>
  <CharactersWithSpaces>4441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