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Replimune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Ridgeback Capital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7,310,656.00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7,310,656.00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7,310,656.00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83,945,161 shares of common stock outstanding as of June 25, 2026, as reported by the Company in its Annual Report on Form 10-K filed with the SEC on June 29, 2026. As of August 13, 2026, the Reporting Person beneficially owned 2,912,373 shares of common stock, or 3.5% of the shares of common stock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Ridgeback Capital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7,310,656.00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7,310,656.00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7,310,656.00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83,945,161 shares of common stock outstanding as of June 25, 2026, as reported by the Company in its Annual Report on Form 10-K filed with the SEC on June 29, 2026. As of August 13, 2026, the Reporting Person beneficially owned 2,912,373 shares of common stock, or 3.5% of the shares of common stock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Ridgeback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7,310,656.00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7,310,656.00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7,310,656.00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83,945,161 shares of common stock outstanding as of June 25, 2026, as reported by the Company in its Annual Report on Form 10-K filed with the SEC on June 29, 2026. As of August 13, 2026, the Reporting Person beneficially owned 2,912,373 shares of common stock, or 3.5% of the shares of common stock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Replimune Group,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Unicorn Park, Woburn, MA 01801</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the following persons with respect to shares of common stock of the Company acquired by them (the "Shares"): (i) Ridgeback Capital Investments L.P., Delaware limited partnership ("RCILP"), with respect to Shares beneficially owned by it; (ii) Ridgeback Capital Investments LLC, a Delaware limited liability company ("RCI"), with respect to Shares beneficially owned by it; and (iii) Ridgeback Capital Management LLC, a Delaware limited liability company ("RCM"), with respect to Shares beneficially owned by it. The foregoing persons are hereinafter referred to collectively as the "Reporting Persons." Any disclosures herein with respect to persons other than the Reporting Persons are made on information and belief after making inquiry to the appropriate party. RCM and RCI do not own any Shares directly. RCI is the general partner of RCILP. Pursuant to an investment management agreement,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the Shares (constituting approximately 8.7% of the shares outstanding). Each of RCM and RCI disclaim beneficial ownership of any of the securities covered by this statement, except to the extent of any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 Star Island Drive, Miami, FL, 33139</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RCILP is a Delaware limited partnership. RCI is a Delaware limited liability company. RCM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Ridgeback Capital Investments L.P.: 7,310,656 Ridgeback Capital Investments LLC: 7,310,656 Ridgeback Capital Management LLC: 7,310,656 As of August 13, 2026, each of the Reporting Persons beneficially owned 2,912,373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Ridgeback Capital Investments L.P.: 8.7% Ridgeback Capital Investments LLC: 8.7% Ridgeback Capital Management LLC: 8.7% As of August 13, 2026, each of the Reporting Persons beneficially owned 3.5% of the shares of common stock outstanding.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Ridgeback Capital Investments L.P.: -0- Ridgeback Capital Investments LLC: -0- Ridgeback Capital Management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Ridgeback Capital Investments L.P.: 7,310,656 Ridgeback Capital Investments LLC: 7,310,656 Ridgeback Capital Management LLC: 7,310,656 As of August 13, 2026, each of the Reporting Persons shared power to vote or to direct the vote of 2,912,373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Ridgeback Capital Investments L.P.: -0- Ridgeback Capital Investments LLC: -0- Ridgeback Capital Management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Ridgeback Capital Investments L.P.: 7,310,656 Ridgeback Capital Investments LLC: 7,310,656 Ridgeback Capital Management LLC: 7,310,656 As of August 13, 2026, each of the Reporting Persons shared power to dispose or to direct the disposition of 2,912,373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Ridgeback Capital Investments L.P.</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Nicole Venezia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Nicole Venezia/General Counsel</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Ridgeback Capital Investments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Nicole Venezia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Nicole Venezia/General Counsel</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Ridgeback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Nicole Venezia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Nicole Venezia/General Counsel</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6226" w:type="dxa"/>
        <w:jc w:val="left"/>
        <w:tblInd w:w="0" w:type="dxa"/>
        <w:tblLayout w:type="fixed"/>
        <w:tblCellMar>
          <w:top w:w="28" w:type="dxa"/>
          <w:left w:w="28" w:type="dxa"/>
          <w:bottom w:w="28" w:type="dxa"/>
          <w:right w:w="28" w:type="dxa"/>
        </w:tblCellMar>
      </w:tblPr>
      <w:tblGrid>
        <w:gridCol w:w="6226"/>
      </w:tblGrid>
      <w:tr>
        <w:trPr/>
        <w:tc>
          <w:tcPr>
            <w:tcW w:w="6226" w:type="dxa"/>
            <w:tcBorders/>
            <w:vAlign w:val="center"/>
          </w:tcPr>
          <w:p>
            <w:pPr>
              <w:pStyle w:val="TableContents"/>
              <w:bidi w:val="0"/>
              <w:spacing w:before="0" w:after="283"/>
              <w:jc w:val="center"/>
              <w:rPr>
                <w:b/>
              </w:rPr>
            </w:pPr>
            <w:r>
              <w:rPr>
                <w:b/>
              </w:rPr>
              <w:t xml:space="preserve">Exhibit Information </w:t>
            </w:r>
          </w:p>
        </w:tc>
      </w:tr>
      <w:tr>
        <w:trPr/>
        <w:tc>
          <w:tcPr>
            <w:tcW w:w="6226" w:type="dxa"/>
            <w:tcBorders/>
            <w:vAlign w:val="center"/>
          </w:tcPr>
          <w:p>
            <w:pPr>
              <w:pStyle w:val="TableContents"/>
              <w:bidi w:val="0"/>
              <w:spacing w:before="0" w:after="283"/>
              <w:jc w:val="left"/>
              <w:rPr/>
            </w:pPr>
            <w:r>
              <w:rPr/>
              <w:t>Exhibit Number 99.1 -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1611</Words>
  <Characters>8583</Characters>
  <CharactersWithSpaces>10148</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