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5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from                     to</w:t>
            </w:r>
          </w:p>
        </w:tc>
        <w:tc>
          <w:tcPr>
            <w:tcW w:w="3660" w:type="dxa"/>
            <w:vAlign w:val="bottom"/>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Commission file number 001-38596</w:t>
            </w:r>
          </w:p>
        </w:tc>
        <w:tc>
          <w:tcPr>
            <w:tcW w:w="3660" w:type="dxa"/>
            <w:vAlign w:val="bottom"/>
          </w:tcPr>
          <w:p>
            <w:pPr>
              <w:spacing w:after="0"/>
              <w:rPr>
                <w:sz w:val="23"/>
                <w:szCs w:val="23"/>
                <w:color w:val="auto"/>
              </w:rPr>
            </w:pPr>
          </w:p>
        </w:tc>
      </w:tr>
      <w:tr>
        <w:trPr>
          <w:trHeight w:val="39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29"/>
                <w:szCs w:val="29"/>
                <w:b w:val="1"/>
                <w:bCs w:val="1"/>
                <w:color w:val="auto"/>
                <w:w w:val="98"/>
              </w:rPr>
              <w:t>REPLIMUNE GROUP, INC.</w:t>
            </w:r>
          </w:p>
        </w:tc>
        <w:tc>
          <w:tcPr>
            <w:tcW w:w="3660" w:type="dxa"/>
            <w:vAlign w:val="bottom"/>
          </w:tcPr>
          <w:p>
            <w:pPr>
              <w:spacing w:after="0"/>
              <w:rPr>
                <w:sz w:val="24"/>
                <w:szCs w:val="24"/>
                <w:color w:val="auto"/>
              </w:rPr>
            </w:pPr>
          </w:p>
        </w:tc>
      </w:tr>
      <w:tr>
        <w:trPr>
          <w:trHeight w:val="213"/>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60" w:type="dxa"/>
            <w:vAlign w:val="bottom"/>
          </w:tcPr>
          <w:p>
            <w:pPr>
              <w:spacing w:after="0"/>
              <w:rPr>
                <w:sz w:val="18"/>
                <w:szCs w:val="18"/>
                <w:color w:val="auto"/>
              </w:rPr>
            </w:pPr>
          </w:p>
        </w:tc>
      </w:tr>
      <w:tr>
        <w:trPr>
          <w:trHeight w:val="374"/>
        </w:trPr>
        <w:tc>
          <w:tcPr>
            <w:tcW w:w="3780" w:type="dxa"/>
            <w:vAlign w:val="bottom"/>
            <w:gridSpan w:val="2"/>
          </w:tcPr>
          <w:p>
            <w:pPr>
              <w:jc w:val="center"/>
              <w:ind w:left="17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jc w:val="center"/>
              <w:ind w:right="1885"/>
              <w:spacing w:after="0"/>
              <w:rPr>
                <w:sz w:val="20"/>
                <w:szCs w:val="20"/>
                <w:color w:val="auto"/>
              </w:rPr>
            </w:pPr>
            <w:r>
              <w:rPr>
                <w:rFonts w:ascii="Times New Roman" w:cs="Times New Roman" w:eastAsia="Times New Roman" w:hAnsi="Times New Roman"/>
                <w:sz w:val="18"/>
                <w:szCs w:val="18"/>
                <w:b w:val="1"/>
                <w:bCs w:val="1"/>
                <w:color w:val="auto"/>
                <w:w w:val="98"/>
              </w:rPr>
              <w:t>82-2082553</w:t>
            </w:r>
          </w:p>
        </w:tc>
      </w:tr>
      <w:tr>
        <w:trPr>
          <w:trHeight w:val="207"/>
        </w:trPr>
        <w:tc>
          <w:tcPr>
            <w:tcW w:w="3780" w:type="dxa"/>
            <w:vAlign w:val="bottom"/>
            <w:gridSpan w:val="2"/>
          </w:tcPr>
          <w:p>
            <w:pPr>
              <w:jc w:val="center"/>
              <w:ind w:left="1784"/>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Pr>
          <w:p>
            <w:pPr>
              <w:jc w:val="center"/>
              <w:ind w:right="1925"/>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80" w:type="dxa"/>
            <w:vAlign w:val="bottom"/>
            <w:gridSpan w:val="2"/>
          </w:tcPr>
          <w:p>
            <w:pPr>
              <w:jc w:val="center"/>
              <w:ind w:left="178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tcPr>
          <w:p>
            <w:pPr>
              <w:jc w:val="center"/>
              <w:ind w:right="1885"/>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500 Unicorn Park Drive</w:t>
            </w:r>
          </w:p>
        </w:tc>
        <w:tc>
          <w:tcPr>
            <w:tcW w:w="3660" w:type="dxa"/>
            <w:vAlign w:val="bottom"/>
          </w:tcPr>
          <w:p>
            <w:pPr>
              <w:spacing w:after="0"/>
              <w:rPr>
                <w:sz w:val="24"/>
                <w:szCs w:val="24"/>
                <w:color w:val="auto"/>
              </w:rPr>
            </w:pPr>
          </w:p>
        </w:tc>
      </w:tr>
      <w:tr>
        <w:trPr>
          <w:trHeight w:val="32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Suite 303</w:t>
            </w:r>
          </w:p>
        </w:tc>
        <w:tc>
          <w:tcPr>
            <w:tcW w:w="3660" w:type="dxa"/>
            <w:vAlign w:val="bottom"/>
          </w:tcPr>
          <w:p>
            <w:pPr>
              <w:spacing w:after="0"/>
              <w:rPr>
                <w:sz w:val="24"/>
                <w:szCs w:val="24"/>
                <w:color w:val="auto"/>
              </w:rPr>
            </w:pPr>
          </w:p>
        </w:tc>
      </w:tr>
      <w:tr>
        <w:trPr>
          <w:trHeight w:val="32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Woburn MA 01801</w:t>
            </w:r>
          </w:p>
        </w:tc>
        <w:tc>
          <w:tcPr>
            <w:tcW w:w="3660" w:type="dxa"/>
            <w:vAlign w:val="bottom"/>
          </w:tcPr>
          <w:p>
            <w:pPr>
              <w:spacing w:after="0"/>
              <w:rPr>
                <w:sz w:val="24"/>
                <w:szCs w:val="24"/>
                <w:color w:val="auto"/>
              </w:rPr>
            </w:pPr>
          </w:p>
        </w:tc>
      </w:t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60" w:type="dxa"/>
            <w:vAlign w:val="bottom"/>
          </w:tcPr>
          <w:p>
            <w:pPr>
              <w:spacing w:after="0"/>
              <w:rPr>
                <w:sz w:val="17"/>
                <w:szCs w:val="17"/>
                <w:color w:val="auto"/>
              </w:rPr>
            </w:pPr>
          </w:p>
        </w:tc>
      </w:tr>
      <w:tr>
        <w:trPr>
          <w:trHeight w:val="188"/>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(Zip Code)</w:t>
            </w:r>
          </w:p>
        </w:tc>
        <w:tc>
          <w:tcPr>
            <w:tcW w:w="3660" w:type="dxa"/>
            <w:vAlign w:val="bottom"/>
          </w:tcPr>
          <w:p>
            <w:pPr>
              <w:spacing w:after="0"/>
              <w:rPr>
                <w:sz w:val="16"/>
                <w:szCs w:val="16"/>
                <w:color w:val="auto"/>
              </w:rPr>
            </w:pPr>
          </w:p>
        </w:tc>
      </w:tr>
      <w:tr>
        <w:trPr>
          <w:trHeight w:val="28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(781) 222-9600</w:t>
            </w: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60" w:type="dxa"/>
            <w:vAlign w:val="bottom"/>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60" w:type="dxa"/>
            <w:vAlign w:val="bottom"/>
          </w:tcPr>
          <w:p>
            <w:pPr>
              <w:spacing w:after="0"/>
              <w:rPr>
                <w:sz w:val="19"/>
                <w:szCs w:val="19"/>
                <w:color w:val="auto"/>
              </w:rPr>
            </w:pPr>
          </w:p>
        </w:tc>
      </w:tr>
      <w:tr>
        <w:trPr>
          <w:trHeight w:val="29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33"/>
        </w:trPr>
        <w:tc>
          <w:tcPr>
            <w:tcW w:w="36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1"/>
                <w:szCs w:val="11"/>
                <w:color w:val="auto"/>
              </w:rPr>
            </w:pPr>
          </w:p>
        </w:tc>
        <w:tc>
          <w:tcPr>
            <w:tcW w:w="36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REPL</w:t>
            </w:r>
          </w:p>
        </w:tc>
        <w:tc>
          <w:tcPr>
            <w:tcW w:w="140" w:type="dxa"/>
            <w:vAlign w:val="bottom"/>
          </w:tcPr>
          <w:p>
            <w:pPr>
              <w:spacing w:after="0"/>
              <w:rPr>
                <w:sz w:val="11"/>
                <w:szCs w:val="11"/>
                <w:color w:val="auto"/>
              </w:rPr>
            </w:pPr>
          </w:p>
        </w:tc>
        <w:tc>
          <w:tcPr>
            <w:tcW w:w="36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The Nasdaq Stock Market LLC (Nasdaq Global</w:t>
            </w:r>
          </w:p>
        </w:tc>
      </w:tr>
      <w:tr>
        <w:trPr>
          <w:trHeight w:val="188"/>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Select Market)</w:t>
            </w: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53" w:lineRule="exact"/>
        <w:rPr>
          <w:sz w:val="24"/>
          <w:szCs w:val="24"/>
          <w:color w:val="auto"/>
        </w:rPr>
      </w:pPr>
    </w:p>
    <w:p>
      <w:pPr>
        <w:ind w:left="660" w:right="2880"/>
        <w:spacing w:after="0" w:line="24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 w:lineRule="exact"/>
        <w:rPr>
          <w:sz w:val="24"/>
          <w:szCs w:val="24"/>
          <w:color w:val="auto"/>
        </w:rPr>
      </w:pPr>
    </w:p>
    <w:p>
      <w:pPr>
        <w:ind w:right="620" w:firstLine="648"/>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ind w:right="200" w:firstLine="648"/>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40" w:type="dxa"/>
            <w:vAlign w:val="bottom"/>
          </w:tcPr>
          <w:p>
            <w:pPr>
              <w:ind w:left="6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940" w:type="dxa"/>
            <w:vAlign w:val="bottom"/>
          </w:tcPr>
          <w:p>
            <w:pPr>
              <w:ind w:left="7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86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740" w:type="dxa"/>
            <w:vAlign w:val="bottom"/>
          </w:tcPr>
          <w:p>
            <w:pPr>
              <w:ind w:left="2620"/>
              <w:spacing w:after="0" w:line="188" w:lineRule="exact"/>
              <w:rPr>
                <w:sz w:val="20"/>
                <w:szCs w:val="20"/>
                <w:color w:val="auto"/>
              </w:rPr>
            </w:pPr>
            <w:r>
              <w:rPr>
                <w:rFonts w:ascii="Arial Unicode MS" w:cs="Arial Unicode MS" w:eastAsia="Arial Unicode MS" w:hAnsi="Arial Unicode MS"/>
                <w:sz w:val="14"/>
                <w:szCs w:val="14"/>
                <w:color w:val="auto"/>
                <w:w w:val="96"/>
              </w:rPr>
              <w:t>☒</w:t>
            </w:r>
          </w:p>
        </w:tc>
        <w:tc>
          <w:tcPr>
            <w:tcW w:w="0" w:type="dxa"/>
            <w:vAlign w:val="bottom"/>
          </w:tcPr>
          <w:p>
            <w:pPr>
              <w:spacing w:after="0"/>
              <w:rPr>
                <w:sz w:val="1"/>
                <w:szCs w:val="1"/>
                <w:color w:val="auto"/>
              </w:rPr>
            </w:pPr>
          </w:p>
        </w:tc>
      </w:tr>
      <w:tr>
        <w:trPr>
          <w:trHeight w:val="162"/>
        </w:trPr>
        <w:tc>
          <w:tcPr>
            <w:tcW w:w="1900" w:type="dxa"/>
            <w:vAlign w:val="bottom"/>
            <w:vMerge w:val="continue"/>
          </w:tcPr>
          <w:p>
            <w:pPr>
              <w:spacing w:after="0"/>
              <w:rPr>
                <w:sz w:val="14"/>
                <w:szCs w:val="14"/>
                <w:color w:val="auto"/>
              </w:rPr>
            </w:pPr>
          </w:p>
        </w:tc>
        <w:tc>
          <w:tcPr>
            <w:tcW w:w="26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29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Non-accelerated filer</w:t>
            </w:r>
          </w:p>
        </w:tc>
        <w:tc>
          <w:tcPr>
            <w:tcW w:w="860" w:type="dxa"/>
            <w:vAlign w:val="bottom"/>
          </w:tcPr>
          <w:p>
            <w:pPr>
              <w:spacing w:after="0"/>
              <w:rPr>
                <w:sz w:val="14"/>
                <w:szCs w:val="14"/>
                <w:color w:val="auto"/>
              </w:rPr>
            </w:pPr>
          </w:p>
        </w:tc>
        <w:tc>
          <w:tcPr>
            <w:tcW w:w="2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tcPr>
          <w:p>
            <w:pPr>
              <w:ind w:left="2620"/>
              <w:spacing w:after="0" w:line="176" w:lineRule="exact"/>
              <w:rPr>
                <w:sz w:val="20"/>
                <w:szCs w:val="20"/>
                <w:color w:val="auto"/>
              </w:rPr>
            </w:pPr>
            <w:r>
              <w:rPr>
                <w:rFonts w:ascii="Arial Unicode MS" w:cs="Arial Unicode MS" w:eastAsia="Arial Unicode MS" w:hAnsi="Arial Unicode MS"/>
                <w:sz w:val="14"/>
                <w:szCs w:val="14"/>
                <w:color w:val="auto"/>
                <w:w w:val="96"/>
              </w:rPr>
              <w:t>☐</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580" w:firstLine="648"/>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ind w:right="240" w:firstLine="648"/>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64" w:lineRule="exact"/>
        <w:rPr>
          <w:sz w:val="24"/>
          <w:szCs w:val="24"/>
          <w:color w:val="auto"/>
        </w:rPr>
      </w:pPr>
    </w:p>
    <w:p>
      <w:pPr>
        <w:ind w:right="120" w:firstLine="648"/>
        <w:spacing w:after="0" w:line="18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240" w:firstLine="648"/>
        <w:spacing w:after="0" w:line="191"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3" w:lineRule="exact"/>
        <w:rPr>
          <w:sz w:val="24"/>
          <w:szCs w:val="24"/>
          <w:color w:val="auto"/>
        </w:rPr>
      </w:pPr>
    </w:p>
    <w:p>
      <w:pPr>
        <w:ind w:left="6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3" w:lineRule="exact"/>
        <w:rPr>
          <w:sz w:val="24"/>
          <w:szCs w:val="24"/>
          <w:color w:val="auto"/>
        </w:rPr>
      </w:pPr>
    </w:p>
    <w:p>
      <w:pPr>
        <w:ind w:right="280" w:firstLine="648"/>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was approximately $234.5 million, based on the closing price of the registrant’s Common Stock on September 30, 2025, the last business day of the registrant’s most recently completed second fiscal quarter.</w:t>
      </w:r>
    </w:p>
    <w:p>
      <w:pPr>
        <w:spacing w:after="0" w:line="1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There were 83,945,161 shares of Common Stock outstanding as of June 25, 2026.</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238" w:right="339" w:bottom="928" w:gutter="0" w:footer="0" w:header="0"/>
        </w:sectPr>
      </w:pPr>
    </w:p>
    <w:p>
      <w:pPr>
        <w:spacing w:after="0" w:line="63" w:lineRule="exact"/>
        <w:rPr>
          <w:sz w:val="24"/>
          <w:szCs w:val="24"/>
          <w:color w:val="auto"/>
        </w:rPr>
      </w:pPr>
    </w:p>
    <w:p>
      <w:pPr>
        <w:ind w:right="180" w:firstLine="648"/>
        <w:spacing w:after="0" w:line="302"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within 120 days of the end of the fiscal year ended March 31, 2026. Portions of such definitive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92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10"/>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REPLIMUNE GROUP, INC.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1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80" w:type="dxa"/>
            <w:vAlign w:val="bottom"/>
            <w:gridSpan w:val="11"/>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For the Year Ended March 31, 2026</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7"/>
        </w:trPr>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26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PART 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1</w:t>
            </w: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980" w:type="dxa"/>
            <w:vAlign w:val="bottom"/>
            <w:gridSpan w:val="23"/>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w w:val="98"/>
              </w:rPr>
              <w:t>Item 1B.</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Item 1C.</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Cybersecurity</w:t>
            </w:r>
          </w:p>
        </w:tc>
        <w:tc>
          <w:tcPr>
            <w:tcW w:w="7800" w:type="dxa"/>
            <w:vAlign w:val="bottom"/>
            <w:tcBorders>
              <w:bottom w:val="single" w:sz="8" w:color="CCEEFF"/>
            </w:tcBorders>
            <w:gridSpan w:val="17"/>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gridSpan w:val="3"/>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w w:val="97"/>
              </w:rPr>
              <w:t>Item 4.</w:t>
            </w:r>
          </w:p>
        </w:tc>
        <w:tc>
          <w:tcPr>
            <w:tcW w:w="5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6.</w:t>
            </w:r>
          </w:p>
        </w:tc>
        <w:tc>
          <w:tcPr>
            <w:tcW w:w="54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Reserved</w:t>
            </w:r>
          </w:p>
        </w:tc>
        <w:tc>
          <w:tcPr>
            <w:tcW w:w="8140" w:type="dxa"/>
            <w:vAlign w:val="bottom"/>
            <w:tcBorders>
              <w:bottom w:val="single" w:sz="8" w:color="CCEEFF"/>
            </w:tcBorders>
            <w:gridSpan w:val="20"/>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7.</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7A.</w:t>
            </w:r>
          </w:p>
        </w:tc>
        <w:tc>
          <w:tcPr>
            <w:tcW w:w="8980" w:type="dxa"/>
            <w:vAlign w:val="bottom"/>
            <w:gridSpan w:val="23"/>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shd w:val="clear" w:color="auto" w:fill="CCEEFF"/>
          </w:tcPr>
          <w:p>
            <w:pPr>
              <w:spacing w:after="0"/>
              <w:rPr>
                <w:sz w:val="21"/>
                <w:szCs w:val="2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40" w:type="dxa"/>
            <w:vAlign w:val="bottom"/>
            <w:tcBorders>
              <w:top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Item 8.</w:t>
            </w:r>
          </w:p>
        </w:tc>
        <w:tc>
          <w:tcPr>
            <w:tcW w:w="4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160" w:type="dxa"/>
            <w:vAlign w:val="bottom"/>
            <w:tcBorders>
              <w:top w:val="single" w:sz="8" w:color="0000FF"/>
            </w:tcBorders>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60" w:type="dxa"/>
            <w:vAlign w:val="bottom"/>
            <w:tcBorders>
              <w:top w:val="single" w:sz="8" w:color="CCEEFF"/>
            </w:tcBorders>
            <w:gridSpan w:val="7"/>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Item 9</w:t>
            </w:r>
          </w:p>
        </w:tc>
        <w:tc>
          <w:tcPr>
            <w:tcW w:w="580" w:type="dxa"/>
            <w:vAlign w:val="bottom"/>
            <w:gridSpan w:val="4"/>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Item 9A.</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9B</w:t>
            </w: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500" w:type="dxa"/>
            <w:vAlign w:val="bottom"/>
            <w:tcBorders>
              <w:bottom w:val="single" w:sz="8" w:color="CCEEFF"/>
            </w:tcBorders>
            <w:gridSpan w:val="15"/>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9C</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III</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10.</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11.</w:t>
            </w:r>
          </w:p>
        </w:tc>
        <w:tc>
          <w:tcPr>
            <w:tcW w:w="8980" w:type="dxa"/>
            <w:vAlign w:val="bottom"/>
            <w:gridSpan w:val="23"/>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FF"/>
              </w:rPr>
              <w:t>Executive compensation</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Item 12.</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13.</w:t>
            </w:r>
          </w:p>
        </w:tc>
        <w:tc>
          <w:tcPr>
            <w:tcW w:w="8980" w:type="dxa"/>
            <w:vAlign w:val="bottom"/>
            <w:gridSpan w:val="23"/>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Item 14.</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4"/>
              </w:rPr>
              <w:t>PART IV</w:t>
            </w:r>
          </w:p>
        </w:tc>
        <w:tc>
          <w:tcPr>
            <w:tcW w:w="58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9"/>
          </w:tcPr>
          <w:p>
            <w:pPr>
              <w:ind w:left="200"/>
              <w:spacing w:after="0" w:line="202" w:lineRule="exact"/>
              <w:rPr>
                <w:sz w:val="20"/>
                <w:szCs w:val="20"/>
                <w:color w:val="auto"/>
              </w:rPr>
            </w:pPr>
            <w:r>
              <w:rPr>
                <w:rFonts w:ascii="Times New Roman" w:cs="Times New Roman" w:eastAsia="Times New Roman" w:hAnsi="Times New Roman"/>
                <w:sz w:val="18"/>
                <w:szCs w:val="18"/>
                <w:color w:val="0000FF"/>
              </w:rPr>
              <w:t>Item 15.</w:t>
            </w:r>
          </w:p>
        </w:tc>
        <w:tc>
          <w:tcPr>
            <w:tcW w:w="8980" w:type="dxa"/>
            <w:vAlign w:val="bottom"/>
            <w:gridSpan w:val="23"/>
          </w:tcPr>
          <w:p>
            <w:pPr>
              <w:ind w:left="160"/>
              <w:spacing w:after="0" w:line="20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16.</w:t>
            </w:r>
          </w:p>
        </w:tc>
        <w:tc>
          <w:tcPr>
            <w:tcW w:w="8980" w:type="dxa"/>
            <w:vAlign w:val="bottom"/>
            <w:gridSpan w:val="23"/>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0000FF"/>
              </w:rPr>
              <w:t>10-K summary</w:t>
            </w:r>
          </w:p>
        </w:tc>
        <w:tc>
          <w:tcPr>
            <w:tcW w:w="9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1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SIGNATURES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and Section 21E of the Securities and Exchange Act of 1934, as amended, including statements regarding our expectations about our cash runway, the design and advancement of our clinical trials, the timing and sufficiency of our clinical trial outcomes to support potential approval of any of our product candidates, our goals to develop and commercialize our product candidates, patient enrollments in our existing and planned clinical trials and the timing thereof, and other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among other things:</w:t>
      </w:r>
    </w:p>
    <w:p>
      <w:pPr>
        <w:spacing w:after="0" w:line="94" w:lineRule="exact"/>
        <w:rPr>
          <w:sz w:val="20"/>
          <w:szCs w:val="20"/>
          <w:color w:val="auto"/>
        </w:rPr>
      </w:pPr>
    </w:p>
    <w:p>
      <w:pPr>
        <w:ind w:left="980" w:right="440" w:hanging="324"/>
        <w:spacing w:after="0" w:line="312" w:lineRule="auto"/>
        <w:tabs>
          <w:tab w:leader="none" w:pos="9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preclinical studies and clinical trials for our product candidates, including the timing of initiation and completion of studies or trials and related preparatory work and the period during which the results of the trials will become available;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necessary;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including timing of approval by the U.S. Food and Drug Administration, or the FDA, of, RP1 or any of our other product candidates;</w:t>
      </w:r>
    </w:p>
    <w:p>
      <w:pPr>
        <w:spacing w:after="0" w:line="40" w:lineRule="exact"/>
        <w:rPr>
          <w:rFonts w:ascii="Times New Roman" w:cs="Times New Roman" w:eastAsia="Times New Roman" w:hAnsi="Times New Roman"/>
          <w:sz w:val="18"/>
          <w:szCs w:val="18"/>
          <w:color w:val="auto"/>
        </w:rPr>
      </w:pPr>
    </w:p>
    <w:p>
      <w:pPr>
        <w:ind w:left="980" w:hanging="324"/>
        <w:spacing w:after="0" w:line="24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comments in the second Complete Response Letter, or CRL, related to our Biologics License Application, or BLA, for RP1 in combination with nivolumab for the treatment of advanced melanoma to the satisfaction of the FDA, and the outcome of a resubmitted BLA;</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foreign regulatory filings and approvals;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 for use in combination with other checkpoint blockade therapies, including anti-PD-1;</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any future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RP1, RP2 and/or any other product candidates from our RPx platform if approved for commercial use;</w:t>
      </w:r>
    </w:p>
    <w:p>
      <w:pPr>
        <w:spacing w:after="0" w:line="53"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qualify, obtain approval for, and maintain successful operation, approval and qualification of our in-house manufacturing operations;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quantities of raw material supplies or access single or limited sources of goods or services needed to build or maintain our product candidate supplies or otherwise operate our in-house manufacturing facility;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our in-house manufacturing facility;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and capital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RP1 and our other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RP1 and our other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establish or maintain future collaborations or strategic relationships;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17" w:lineRule="exact"/>
        <w:rPr>
          <w:rFonts w:ascii="Times New Roman" w:cs="Times New Roman" w:eastAsia="Times New Roman" w:hAnsi="Times New Roman"/>
          <w:sz w:val="18"/>
          <w:szCs w:val="18"/>
          <w:color w:val="auto"/>
        </w:rPr>
      </w:pPr>
    </w:p>
    <w:p>
      <w:pPr>
        <w:jc w:val="both"/>
        <w:ind w:left="980" w:right="52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of any third-party intellectual property rights;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developments and projections relating to our competitors and our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in the fields of immuno-oncology or oncolytic immunotherapy;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“Risk factors.”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These factors should not be construed as exhaustive and should be read in conjunction with the other cautionary statements that are included in this Annual Report on Form 10-K. Moreover, we operate in a competitive and rapidly changing environment. New risks and uncertainties emerge from time to time, and it is not possible for us to predict all risks and uncertainties that could have an impact on the forward-looking statements contained in this Annual Report on Form 10-K. We undertake no obligation to publicly update or review any forward-looking statement, whether as a result of new information, future developments or otherwise, except to the extent required by applicable law. You should not rely on forward-looking statements as predictions of future events. We may not actually achieve the plans, intentions, or expectations disclosed in our forward-looking statements, and you should not place undue reliance on our forward-looking statements.</w:t>
      </w:r>
    </w:p>
    <w:p>
      <w:pPr>
        <w:spacing w:after="0" w:line="205"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“Company,” “we,” “our,” “us” and “Replimune” refer to Replimune Group, Inc. and its subsidiaries. This Report contains trademarks, service marks and trade names that are the property of, or licensed by, Replimune and its subsidiaries.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committed to applying our leading expertise in the field of oncolytic immunotherapy to transform the lives of cancer patients through our novel oncolytic immunotherapies. Our proprietary oncolytic immunotherapy product candidates are designed and intended to maximally activate the immune system against cancer.</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Oncolytic immunotherapy is an emerging drug class. Oncolytic immunotherapy exploits the ability of certain viruses to selectively replicate in and directly kill tumors, as well as induce a potent, patient-specific, anti-tumor immune response. Our product candidates incorporate multiple mechanisms into a practical “off-the-shelf” approach that is intended to maximize the immune response against a patient’s cancer and to offer significant advantages over other approaches to inducing anti-tumor immunity. We believe that the bundling of multiple approaches for the treatment of cancer into single therapies will increase clinical efficacy and simplify the development path of our product candidates, while also improving patient outcomes.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proprietary RPx platform is based on a novel, engineered strain of herpes simplex virus 1, or HSV-1, backbone with payloads added that are intended to maximize immunogenic cell death and the induction of a systemic anti-tumor immune response. The RPx platform is intended to have unique dual local and systemic activity consisting of direct selective virus-mediated killing of the tumor resulting in the release of tumor-derived antigens and altering of the tumor microenvironment to ignite a strong and durable systemic response. Our product candidates are expected to be synergistic with most established and experimental cancer treatment modalities, and, with an attractive safety profile, the RPx platform is expected to have the versatility to be developed alone or combined with a variety of other treatment options. We currently have two RPx product candidates in our development pipeline, RP1 (vusolimogene oderparepvec), our lead product candidate and RP2 (sturlimgene erparepvec). Although our fiscal year ends March 31st, our programs and program updates are reported on a calendar year basis.</w:t>
      </w:r>
    </w:p>
    <w:p>
      <w:pPr>
        <w:spacing w:after="0" w:line="2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have been conducting a number of clinical trials of RP1, both as a monotherapy and in combination with anti-PD-1 therapy, with the goal of establishing a major skin cancer treatment franchise.</w:t>
      </w:r>
    </w:p>
    <w:p>
      <w:pPr>
        <w:spacing w:after="0" w:line="18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Our leading clinical trial of RP1 is referred to as the IGNYTE trial, which is a multi-cohort clinical trial being conducted in collaboration with Bristol Myers Squibb Company, or BMS, under which BMS has granted us a non-exclusive, royalty-free license to, and is supplying at no cost, its anti-PD-1 therapy, nivolumab, for use in combination with RP1.</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The leading tumor specific cohort in the IGNYTE trial is our registration directed Phase 2 expansion cohort in anti-PD-1 failed cutaneous melanoma. The anti-PD-1 failed melanoma cohort from the IGNYTE trial includes 140 patients who received RP1 in combination with nivolumab. The primary analysis by independent central review was triggered once all patients had been followed for at least 12 months. As reported in the Journal of Clinical Oncology 43(33):p 3589-3599, of the 140 patients enrolled, 48.6% had stage IVM1b/c/d disease, 65.7% had primary anti–PD-1 resistance, 56.4% were PD-L1 negative, and 46.4% received prior anti–PD-1 and anti–cytotoxic T-lymphocyte antigen-4, or anti-CTLA-4, therapy. The confirmed ORR was 32.9%</w:t>
      </w:r>
    </w:p>
    <w:p>
      <w:pPr>
        <w:spacing w:after="0" w:line="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(15.0% complete response) and the responses occurred with similar frequency, depth, duration, and kinetics for injected and non-injected lesions, including visceral lesions. The median duration of response was 33.7 months and overall survival rates at 1 and 2 years were 75.3% and 63.3%, respectively. A 3-year landmark overall survival analysis from the IGNYTE clinical trial was recently presented at the 2026 American Society of Clinical Oncology annual meeting in May 2026. RP1 plus nivolumab achieved a median overall survival (mOS) of 32.9 months in patients with anti–PD-1–failed advanced melanoma. At 3 years, 47.8% of all treated patients remained alive, rising to 83.5% among responders. The survival benefit was observed across all key patient subgroups, including those with varying disease stage, PD-L1 expression status, prior anti–CTLA-4 therapy, and primary or secondary anti–PD-1 resistance. The combination of RP1 and nivolumab continued to demonstrate a favorable and manageable safety profile over long-term follow-up, with predominantly Grade 1–2 constitutional side effects, no Grade 5 events, and no new safety signals identified.</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2024, we announced submission of our first Biologics License Application, or BLA, to the U.S. Food and Drug Administration, or the FDA, for RP1 (vusolimogene oderparepvec) in combination with nivolumab for the treatment of adult patients with advanced melanoma who have previously received an anti-PD-1 containing regimen, and that the FDA had granted Breakthrough Therapy designation for RP1 in combination with nivolumab in the same setting. The submission was made under the accelerated approval pathway. The FDA accepted our BLA and granted priority review with a Prescription Drug User Fee Act, or PDUFA, goal date of July 22, 2025. On July 21, 2025 the FDA issued a complete response letter, or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CRL, for the RP1 BLA for the treatment of advanced melanoma. The FDA stated in the CRL that it was unable to approve the application in its present form and that the IGNYTE trial was not considered to be an adequate and well-controlled clinical investigation that provided substantial evidence of effectiveness, including contribution of components. Furthermore, the FDA said the trial could not be adequately interpreted due to the heterogeneity of the patient population. On September 2, 2025 we announced that a type A meeting with the FDA had been scheduled to discuss the CRL following our submission of a briefing book addressing the points raised in the CRL, highlighting prior agreements related to the patient population, criteria for PD-1 resistance, and use of literature to support contribution of components. The briefing book also included an additional analysis of data from the BLA and addressed comments about the Phase 3 confirmatory trial design raised by the FDA in the CRL. On September 18, 2025 we announced that, following the type A meeting with the FDA to discuss the CRL, which was conducted on September 16, 2025, we were evaluating feedback received during the type A meeting to determine our next steps and that, at that time, a path forward under the accelerated approval pathway had not been determined. Following the evaluation of FDA feedback and minutes from the type A meeting, we resubmitted the BLA on October 9, 2025. On October 20, 2025 we announced that the FDA had accepted the resubmission of the BLA for RP1 in combination with nivolumab for the treatment of advanced melanoma in patients who progress on an anti-PD-1 containing regimen. The resubmission of the BLA included additional information, data and analyses that will be part of the BLA review. The FDA indicated that the resubmission is considered to be a complete response to the CRL and set a target action date of April 10, 2026 based on a Class 2 resubmission timeline.</w:t>
      </w:r>
    </w:p>
    <w:p>
      <w:pPr>
        <w:spacing w:after="0" w:line="22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April 10, 2026, the FDA issued a second CRL for the RP1 BLA for the treatment of advanced melanoma. The second CRL reiterated points made in the first CRL that were presumably addressed by the FDA accepting the BLA for resubmission indicating the resubmission was a complete response to the initial CRL. The second CRL also reverses on points the FDA made in the September 2025 Type A meeting following the initial CRL. We announced on May 29, 2026, that following collaborative communications with the FDA, the Company and the FDA aligned on a path forward for resubmission and reconsideration of the BLA for RP1 in combination with nivolumab for the treatment of advanced melanoma. In that announcement, we reported that the FDA indicated that it will treat the BLA resubmission as an urgent matter upon receipt and will prioritize its review in recognition of the significant unmet need for patients in the advanced melanoma community. Without an accelerated approval of the BLA for RP1 in combination with nivolumab for the treatment of advanced melanoma from this resubmitted BLA we might not be able to continue the development of RP1 for this indication, if at all, and we may be required to implement a restructuring plan and review our priorities across the RPx portfolio and the company as a whole. On June 26, 2026 we announced the FDA accepted the BLA resubmission as a Class 1 resubmission with an action date of August 2, 2026. The FDA also stated that they would convene an advisory committee meeting in late July 2026.</w:t>
      </w:r>
    </w:p>
    <w:p>
      <w:pPr>
        <w:spacing w:after="0" w:line="22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In August 2024, we announced the dosing of the first patient in the IGNYTE-3 trial, or the I-3 trial, a 2-arm randomized Phase 3 clinical trial with physician's choice of treatment as a comparator arm in anti-PD-1 failed melanoma patients. In the September 2025 type A meeting minutes following the initial CRL, the FDA stated a control arm of nivolumab in combination with relatlimab (Opdualag</w:t>
      </w:r>
      <w:r>
        <w:rPr>
          <w:rFonts w:ascii="Times New Roman" w:cs="Times New Roman" w:eastAsia="Times New Roman" w:hAnsi="Times New Roman"/>
          <w:sz w:val="23"/>
          <w:szCs w:val="23"/>
          <w:color w:val="auto"/>
          <w:vertAlign w:val="superscript"/>
        </w:rPr>
        <w:t>(R)</w:t>
      </w:r>
      <w:r>
        <w:rPr>
          <w:rFonts w:ascii="Times New Roman" w:cs="Times New Roman" w:eastAsia="Times New Roman" w:hAnsi="Times New Roman"/>
          <w:sz w:val="18"/>
          <w:szCs w:val="18"/>
          <w:color w:val="auto"/>
        </w:rPr>
        <w:t>) may be an acceptable comparator for the I-3 randomized controlled trial. However, in the second CRL we believe the FDA reverted on its position in the September 2025 type A meeting. Following the recent collaborative communications with the FDA we plan to continue working with the FDA on a path forward for the I-3 trial. We continue to enroll patients in the I-3 trial.</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our non-melanoma skin cancer, or NMSC, cohort of the IGNYTE trial, we provided a data update in December 2023 from the first 30 patients with at least 6 months of follow up including patients with cutaneous squamous cell carcinoma, or CSCC, Merkel cell carcinoma, or MCC, basal cell carcinoma, or BCC, and angiosarcoma in this cohort. The data showed that treatment with RP1 in combination with nivolumab led to an ORR of 30% which is consistent with data from the anti-PD-1 failed melanoma cohort with approximately one-third of patients responding and 60% demonstrating clinical benefit. The combination of RP1 and nivolumab was well tolerated in this patient population with a safety profile consistent with the overall experience seen with this treatment regimen to date. We provided updated data from the NMSC cohort during our June 2025 Investor Day event and in October 2025 at the European Society for Medical Oncology, or ESMO, conference. Responses to RP1 plus nivolumab occurred across the NMSC tumor types enrolled, with confirmed responses seen in patients with both anti–PD-1 naïve and anti-PD-1 failed disease, as well as both in locally advanced and metastatic disease. The ORR by NMSC tumor type for anti-PD-1 naïve patients was 100.0% (n=4) in MCC, 33.3% (n=3) in BCC, 66.7% (n=6) in angiosarcoma, and 56.3% (n=16) in CSCC. The ORR by NMSC tumor type for anti-PD-1 failed patients was 26.3% (n=19) in MCC, 30.0% (n=10) in BCC, 37.5% (n=8) in angiosarcoma, and 15.2% (n=33) in CSCC. We closed enrollment in the NMSC tumor type cohorts in the fourth quarter of 2025.</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had been furthering development of RP1 through enrollment in a Phase 1b/2 clinical trial of single agent RP1 in solid organ transplant recipients with skin cancers, including CSCC, which we referred to as the ARTACUS trial. The ARTACUS trial enrolled 69 patients to assess the safety and efficacy of RP1 in liver, kidney, heart, lung, and hematopoietic cell transplant patients with skin cancers. Most recently, Dr. Michael R. Migden presented updated data from the ARTACUS trial at the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Society for Melanoma Research 22nd International Congress in October 2025. This updated data showed anti-tumor activity in locally advanced CSCC with an ORR of 34.6% (CR rate of 23.1%) and 2-year duration of response of 61.0%. Furthermore, the data showed that RP1 monotherapy continued to be well tolerated and the safety profile continued to be similar to that observed in non-immunocompromised patients with advanced skin cancers, and, importantly, no implant rejections were attributed to the RP1 treatment. We have closed enrollment in the ARTACUS trial and are planning a publication of the data in 2026.</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previous clinical trial of RP1 in patients with CSCC, which we referred to as the CERPASS trial, is fully closed and we are planning for a study report to be available in 2026.</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also developing or are continuing to develop additional product candidates, RP2 and RP3, that have been further engineered to enhance anti-tumor immune responses and are intended to address additional tumor types, including traditionally less immune responsive tumor types. In addition to the expression of GALV-GP R(-) and human GM-CSF as in RP1, RP2 has been engineered to express an antibody-like molecule intended to block the activity of CTLA-4, a protein that inhibits the full activation of an immune response, including to tumors. RP3 has been engineered with the intent to further stimulate an anti-tumor immune response through activation of immune co-stimulatory pathways through the additional expression of the ligands for CD40 and 4-1BBL, as well as anti-CTLA-4 and GALV-GP R(-), but without the expression of GM-CSF.</w:t>
      </w:r>
    </w:p>
    <w:p>
      <w:pPr>
        <w:spacing w:after="0" w:line="20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continue the development of our product candidate RP2 with the goal of moving beyond skin cancers and aiming to treat the more prevalent tumor types commonly found in liver and lung metastasis and including those involving primary liver cancer. Notably, as previously reported, from our Phase 1 clinical trial of RP2 alone and in combination with nivolumab, we have seen durable responses from a monotherapy cohort in a variety of difficult to treat tumors as well as in combination with anti-PD-1 and in particular in patients with metastatic uveal melanoma, or mUM. In November 2023, we presented updated data from a cohort of mUM patients during a Plenary Session at the 20th Annual International Society for Melanoma Research Congress. The updated data showed RP2 led to an ORR of 29.4% (5 of 17 patients; one of the responding patients was treated with RP2 monotherapy and four of the responding patients were treated with RP2 combined with nivolumab), including responses in patients with liver, lung, and bone metastases. The median DOR at the data cutoff was 11.47 months (range of 2.78 to 21.22 with responses ongoing). Nearly all patients (15 of 17, 88.2%) in the study had progressed on or after immunotherapy with 12 of 17 patients (70.6%) having previously received both anti-PD-1 and anti-CTLA-4 therapies, including four of the responding patients. RP2 was generally well tolerated both as monotherapy and in combination with nivolumab with no additive adverse events observed. The most common grade 1 or 2 treatment related adverse events, or TRAEs, overall in both cohorts were pyrexia, chills, fatigue, hypotension and pruritis. Six patients had grade 3 TRAEs, including two cases of hypotension. There were no grade 4 or 5 TRAEs. In June 2024, we presented that the disease control rate for this cohort of mUM patients was 58.8%.</w:t>
      </w:r>
    </w:p>
    <w:p>
      <w:pPr>
        <w:spacing w:after="0" w:line="21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Leading the development of the RP2 product candidate is our REVEAL study. The REVEAL study is enrolling patients in a registration-directed study of RP2 in mUM patients who are immune checkpoint inhibitor-naïve. The REVEAL study is a randomized, Phase 2/3 open label study expected to enroll approximately 280 patients to investigate the efficacy and safety of RP2 in combination with nivolumab vs. ipilimumab in combination with nivolumab in immune checkpoint inhibitor naïve adult patients with metastatic uveal melanoma. The primary endpoints of the trial are overall survival and progression free survival, and key secondary endpoints are overall response rate and disease control rate. In January 2026 we announced the Phase 2/3 transition is expected to occur in the first quarter of 2027.</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continue our signal finding trial of RP2 in combination with atezolizumab and bevacizumab in the 2L setting of patients with hepatocellular carcinoma, or HCC, in collaboration with Roche. The protocol has been amended to include RP2 as monotherapy and we plan to release preliminary HCC data by the end of 2026. We have also opened a cohort in our RP2 study to investigate the potential to address biliary tract cancer, or BTC, through the dosing of RP2 in combination with durvalumab. We are currently evaluating these signal finding studies.</w:t>
      </w:r>
    </w:p>
    <w:p>
      <w:pPr>
        <w:spacing w:after="0" w:line="20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RP1, RP2 and RP3 are administered by direct injection into solid tumors, guided either visually or by ultrasound, computerized tomography or other imaging methods.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is intended to lead to the induction of anti-tumor immune responses leading to clinical response of tumors that have not themselves been injected.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 Oncolytic immunotherapy</w:t>
      </w:r>
    </w:p>
    <w:p>
      <w:pPr>
        <w:spacing w:after="0" w:line="25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Our product candidates are designed to induce a robust immune response against a patient’s cancer. To achieve this objective, we use oncolytic immunotherapies that combine multiple mechanisms in a single product candidate. We believe our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product candidates will initiate or enhance an immune response in patients with no or minimal pre-existing cancer immunity, including to tumor neo-antigens, and thereby increase the effectiveness of immune checkpoint blockade therapies.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 candidates are intended to act at several key points in the pathways involved in the initiation of an immune response. Following direct injection into tumors, our viruses are intended to replicate in cancer cells and then lyse, or break them open, releasing tumor antigens, including neo-antigens specific to the patient, which could otherwise be hidden from the immune system. This process of necrotic cell death releases intra-cellular markers of “danger,” the danger associated molecular patterns, or DAMPs, while the virus produces pathogen associated markers of danger, or PAMPs. These trigger various pathways of the innate immune system, including the STING pathway and pathways mediated through toll-like receptors, or TLRs, each resulting in the production of interferon. Innate immune activation would be expected to itself provide anti-tumor effects, as interferon activates natural killer cells which can destroy tumor cells. Innate immune activation would also be expected to help trigger adaptive anti-cancer immunity, in which antigen presenting cells, or APCs, are attracted to the injected tumor. APCs internalize cancer antigens, including neo-antigens, and traffic back to the draining lymph nodes where they present the antigens to T cells. Primed with the antigens, these T cells then proliferate and disperse systemically to seek and destroy cancer cells with the same antigen profile throughout the body, resulting in the potential destruction of distant tumor deposits.</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further augment these intended effects, our product candidates are genetically encoded with multiple strong, cell-killing and immune-stimulating proteins — in other words, our product candidates are “armed” with these therapeutic genes. The foundation of our oncolytic immunotherapy product candidates consists of a proprietary strain of HSV-1 that we have engineered to replicate selectively in tumors and to express a fusogenic glycoprotein, a protein that triggers the fusion of the membranes between cells. HSV-1 is both highly cell lytic and inflammatory, and also has a large carrying capacity, which makes it possible to incorporate multiple genes encoding therapeutic proteins. We believe our combination of HSV-1 with the expression of the fusogenic glycoprotein increases the natural ability of HSV-1 to kill tumor cells and to induce an anti-tumor immune response. The fusogenic functionality of our product candidates is intended not only to increase the number of tumor cells that are killed, but also to cause highly immunogenic death of tumor cells. We believe that these factors will increase the potency of the systemic anti-tumor immune response that is generated by our product candidates. With the intention of further amplifying the anti-tumor response, we have also engineered product candidates that express a range of additional potent, immune activating genes encoding therapeutic proteins in tumors.</w:t>
      </w: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RP1 serves as our lead product candidate, with additional product candidates, RP2 and RP3, designed to express additional therapeutic proteins. We believe that our development approach of further enhancing our product candidates with additional therapeutic proteins reduces clinical risk, as we are able to study the safety profile of each therapeutic protein that is intended to provide more potent anti-tumor immune effects.</w:t>
      </w:r>
    </w:p>
    <w:p>
      <w:pPr>
        <w:spacing w:after="0" w:line="2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that our ability to incorporate multiple mechanisms of action into a practical “off-the-shelf”, or a pre-manufactured drug product, approach to initiating or enhancing an anti-tumor immune response, including to neo-antigens, will offer significant advantages over the various approaches to immune activation that are currently in development, including personalized vaccine treatments. Tumor neo-antigens are uniquely present in tumors, rather than normal tissue, because they result from the genetic changes that occur as cancer develops. Unlike the antigens present in normal tissue, the immune system identifies neo-antigens as foreign. As a result, the immune system is able to mount an immune response to tumor neo-antigens in the same way that it would to the antigens contained in disease-causing micro-organisms, which the immune system also identifies as foreign. Researchers believe immune responses to tumor neo-antigens are particularly important in the immune system’s ability to combat cancer, and as a consequence various “personalized vaccine” approaches to generating immune responses to tumor neo-antigens are in development. These approaches are generally both expensive and time consuming because a vaccine cannot be designed and manufactured until a tumor biopsy is taken and analyzed in the laboratory to identify the mutated tumor antigens that will be targeted by the treatment. We also believe that our “off-the-shelf” approach may offer significant advantages over other approaches to anti-cancer immune activation that only target a single pathway of the immune system, as is the case with most of the other immuno-oncology therapies currently under development. Importantly, our product candidates are intended to maximally activate an immune response against cancer, which we believe is the missing element needed to allow anti-PD-1 or anti-PD(L)-1 therapy to treat more patients and tumor types, unlike some other therapies that are intended to act by blocking additional defense mechanisms against an anti-tumor immune response once it has been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Oncolytic Immunotherapy platform and product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63590" cy="3291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product candidate: RP1</w:t>
      </w:r>
    </w:p>
    <w:p>
      <w:pPr>
        <w:spacing w:after="0" w:line="1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lead product candidate, RP1, is a selectively replicating version of HSV-1 that expresses GALV-GP R(-) and human GM-CSF. RP1 has the following properties:</w:t>
      </w:r>
    </w:p>
    <w:p>
      <w:pPr>
        <w:spacing w:after="0" w:line="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deleted the ICP34.5-encoding gene, which enables tumor-selective virus replication;</w:t>
      </w:r>
    </w:p>
    <w:p>
      <w:pPr>
        <w:spacing w:after="0" w:line="157"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deleted the ICP47-encoding gene, which is intended to prevent the inhibition of the antigen presentation pathway otherwise caused by ICP47 binding to the transporter associated with antigen presentation. ICP47 deletion is also intended to result in the increased and earlier expression of the HSV-1 US11 gene by placing the HSV-1 US11 gene under the control of ICP47 promoter which we believe will increase virus replication in tumors without reducing tumor-selectivity; and</w:t>
      </w:r>
    </w:p>
    <w:p>
      <w:pPr>
        <w:spacing w:after="0" w:line="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inserted the sequences for GALV-GP R(-) and human GM-CSF, resulting in the expression of these therapeutic proteins with the intention of increasing both the direct tumor cell killing and the potency of the anti-tumor immune response that is induced.</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developed RP1 as a monotherapy and for use in combination with immune checkpoint blockade therapy, particularly therapies targeting PD-1 or PD-(L)-1. We believe that the robust release of tumor antigens and the highly immunogenic tumor cell death intended to be caused by RP1 will further increase the previously observed synergy between oncolytic viruses and immune checkpoint blockade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RP1 Leading Indications</w:t>
      </w:r>
    </w:p>
    <w:p>
      <w:pPr>
        <w:spacing w:after="0" w:line="16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lead indication for our lead product candidate, RP1, is the potential treatment of advanced melanoma, which is currently under BLA review with the FDA. Melanoma is a form of skin cancer characterized by the uncontrolled growth of pigment-producing cells (melanocytes) located in the skin. Metastatic melanoma is the deadliest form of the disease and occurs when cancer spreads beyond the surface of the skin to other organs. The incidence of melanoma has been increasing steadily for the last 30 years. Globally, the World Health Organization estimates that by 2035, melanoma incidence will reach 424,102, with 94,308 related deaths. We anticipate the commercial opportunity for RP1 to help improve the lives of patients with advanced melanoma is significant.</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estimate approximately 13,000 patients progress on or after PD-1 treatment annually in the U.S. with approximately 80% of these patients eligible for treatment with RP1 in combination with nivolumab, if approved. Importantly, we believe these treatments will take place in the outpatient setting, not require hospitalization and that nearly all of these patients are being treated in healthcare settings that have interventional radiology onsite or readily accessible, further supporting the anticipated rapid adoption of RP1 plus nivolumab for the treatment of advanced melanoma.</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following indications with our lead product candidate, RP1, include patients that develop skin cancers following a solid organ transplant. Individuals who receive an organ transplant face a significantly higher risk, greater than 50 times higher, of developing skin cancer following the transplant. These individuals are also on chronic immuno-suppressive treatments to reduce the risk of transplant rejection by their immune system. Adding to this risk for these individuals, anti-PD-1/L1 based cancer treatment options, which are approved and/or used in other skin cancer settings carry a high risk of transplant rejection, potentially leaving these patients without many treatment options.</w:t>
      </w:r>
    </w:p>
    <w:p>
      <w:pPr>
        <w:spacing w:after="0" w:line="2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also been investigating RP1 as a potential product candidate for the treatment of non-melanoma skin cancers, or NMSC, which is a collection of common cancer types which occurs mainly in fair-skinned populations. About 80% of all NMSC are basal cell carcinomas, squamous cell carcinomas represent about 20%, with other diagnoses representing around 1% or less.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product candidates: RP2 and RP3</w:t>
      </w:r>
    </w:p>
    <w:p>
      <w:pPr>
        <w:spacing w:after="0" w:line="2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designed our RP2 product candidate to express an anti-CTLA-4 antibody-like protein intended to block the inhibition of the immune response otherwise caused by CTLA-4. We believe that RP2 may offer advantages compared with current CTLA-4 approaches, including ipilimumab. By expressing anti-CTLA-4 only locally in the tumor and draining lymph nodes, we believe that activity will be retained, but that toxicity will be reduced. We expect that our RP2 product candidate will be used as monotherapy and/or in combination with other treatment approaches, including anti-PD-1 therapy, which, when used in combination, we believe will result in both synergy with the oncolytic immunotherapy and the expression of anti-CTLA-4 in the tumor.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RP2 Leading Indication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Uveal melanoma, or mUM, represents the predominant primary intraocular malignancy among adults, comprising over 95% of cases. Globally, the</w:t>
      </w:r>
    </w:p>
    <w:p>
      <w:pPr>
        <w:spacing w:after="0" w:line="36"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estimated annual incidence of mUM is approximately 4,800 individuals, with an estimated 1,700 new diagnoses occurring in the U.S. each year. Risk factors for developing mUM include fair skin, light-colored eyes, congenital ocular melanocytosis, melanocytoma, and the BAP1-tumour predisposition syndrome. It is estimated that greater than about 90% of mUM cases develop metastatic liver tumors. Historically, one-year survival rate of patients with distant metastases (such as liver metastases) is 15%, while reported median survival time is less than 1 year ranging from four to fifteen months. RP2 is currently being investigated in a randomized, Phase 2/3 open label study to investigate the efficacy and safety of RP2 in combination with nivolumab vs. ipilimumab in combination with nivolumab in immune checkpoint inhibitor naive adult patients with metastatic uveal melanoma.</w:t>
      </w:r>
    </w:p>
    <w:p>
      <w:pPr>
        <w:spacing w:after="0" w:line="21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have another product candidate in the portfolio as well and have designed our RP3 product candidate to express further immune-activating proteins that stimulate T cells, in addition to anti-CTLA-4 and GALV-GP R(-). These immune activating proteins are the ligands for two immune co-stimulatory pathways responsible for T cell proliferation and/or activation, the CD40L and 4-1BBL pathways. Due to program prioritization we are currently not pursuing further development of RP3 at this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believe our rights under our issued patents and, anticipated future patents from our patent applications, will provide a competitive advantage. Our success depends in part on our ability to obtain and maintain proprietary protection for our product candidates, technology and know-how, to operate without infringing the proprietary rights of others and to prevent others from infringing upon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to develop and maintain our proprietary position.</w:t>
      </w:r>
    </w:p>
    <w:p>
      <w:pPr>
        <w:spacing w:after="0" w:line="201"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For the core technology in our RPx platform and each of our product candidates, we initially filed six patent applications under the Patent Cooperation Treaty, or PCT. All six of these PCT applications have entered the national phase and are in different stages of pending and/or issued in a range of countries. Patent examination has started and continues in these national</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phase applications. Thirteen U.S. patents have been granted by the applicable authorities in the U.S. Six patents have been granted by the applicable authorities in each of the European Union and Japan. Five patents have been granted by the applicable authorities in Hong Kong, four patents have been granted by the applicable authorities in China and three patents have been granted by the applicable authorities in each of Australia and Israel. Two patents have been granted by the applicable authorities in each of Singapore and Mexico, and one patent has been granted by the applicable authorities in each of Brazil, India and South Korea. The granted U.S. patents include US patent numbers 10,570,377; 10,612,005; 10,626,377; 10,947,513; 11,427,810; 11,473,063; 12,024,724; 12,049,647; 12,059,444; 12,397,053; 12,458,696; 12,465,639; and 12,564,633 and include description and claims directed to oncolytic virus compositions of matter, pharmaceutical compositions encompassing an oncolytic virus and methods of use in treating cancer with oncolytic virus compositions. We have successfully defended all oppositions that have been brought by third-parties against our issued patents to-date and have maintained our proprietary position. We continue to vigorously pursue advancement and defense of our patents and patent applications through the respective patent offices in which they are granted or pending throughout the world. See "</w:t>
      </w:r>
      <w:r>
        <w:rPr>
          <w:rFonts w:ascii="Times New Roman" w:cs="Times New Roman" w:eastAsia="Times New Roman" w:hAnsi="Times New Roman"/>
          <w:sz w:val="18"/>
          <w:szCs w:val="18"/>
          <w:i w:val="1"/>
          <w:iCs w:val="1"/>
          <w:color w:val="auto"/>
        </w:rPr>
        <w:t>Risk factors - Risks Related to intellectual property."</w:t>
      </w:r>
    </w:p>
    <w:p>
      <w:pPr>
        <w:spacing w:after="0" w:line="1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many countries in which we file, the patent term is 20 years from the earliest date of filing a non-provisional patent application. In the United States, the patent term of a patent that covers an FDA-approved drug may also be eligible for patent term extension, which permits patent term restoration of a portion of the patent term lost during the U.S. clinical development and FDA regulatory review process. The Hatch-Waxman Act permits a patent term extension of up to five years beyond the expiration of the patent. The length of the patent term extension is related to the length of time the drug is under clinical development in the United States and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and if and when patents grant,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2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We seek to protect our proprietary technology and processes, in part, by confidentiality agreements with our employees, consultants, scientific advisors and other contractors, as well as physical security of our premises and our information technology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rights. We compete in the highly competitive markets that address cancer and face significant competition from many sources, including pharmaceutical, biopharmaceutical and biotechnology companies, as well as universities and private and public research institutions. Many of our competitors have significantly greater financial, manufacturing, marketing and drug development resources than we do. Large biopharmaceutical companies in particular have extensive experience in clinical testing and in obtaining regulatory approvals for drugs and biologicals. These companies also have significantly greater research capabilities than we do. Smaller or early-stage companies may also prove to be significant competitors, particularly through collaborative arrangements with large and established companies or universities and research institutions.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fall primarily into the following groups of treatment:</w:t>
      </w:r>
    </w:p>
    <w:p>
      <w:pPr>
        <w:spacing w:after="0" w:line="15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cancer therapies, including chemotherapy, surgery, radiation and targeted therapies;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immunotherapy antibodies and immunotherapy antibodies in clinical trials;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oncolytic immunotherapies, including T-Vec and other oncolytic immunotherapies in clinical trials;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therapies aimed at activating innate immunity such as those targeting STING and TLRs;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 vaccines including personalized vaccines and those targeting tumor neo-antigens;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cell-based therapies, such as TILs, CAR-T, T cell receptor-based, and natural killer cell therapies.</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commercial opportunity will be reduced or eliminated if our competitors develop and commercialize products that are safer, more effective, have fewer side effects, are easier to administer or are less expensive alone or in combination with other therapies than any products that we may develop alone or in combination with other therapies, especially if these get to market sooner than our products. These third parties also compete with us in recruiting and retaining qualified scientific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management personnel, establishing clinical trial sites and patient registration for clinical trials, as well as in acquiring technologies and technology licenses complementary to our programs or advantageous to our business.</w:t>
      </w:r>
    </w:p>
    <w:p>
      <w:pPr>
        <w:spacing w:after="0" w:line="8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oncolytic product candidates, if and when marketed, will compete with a number of drugs that are currently marketed or in development that also target cancer but that utilize a different mechanism of action. To compete effectively with these agents, our product candidates will need to demonstrate advantages that lead to improved clinical efficacy and safety compared with these competitors. At the same time, however, we believe that our oncolytic product candidates, if and when ultimately marketed, would likely be used principally in combination with checkpoint blockade therapies in addition to existing cancer therapies, including surgery, chemotherapy, radiation therapy and other biological therapies such as antibodies targeting particular surface receptors. We therefore believe that our product candidates, if and when marketed, would largely complement rather than compete directly with some of these existing treatment options.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do, however, expect to face direct and increasing competition from a number of companies that are also seeking to develop cancer therapies based on oncolytic viruses and other ways to prime the immune system, including neo-antigen vaccination, TILs or the like. We believe that our ability to successfully compete will depend, among other things, on our ability to:</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expeditiously advance the development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enroll patients in and successfully complete appropriate clinical trials in a timely fashion;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approval for our product candidates in their first indications as well as further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and partnerships for the development and marketing of our product candidates;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successfully, including demonstrating the safety and efficacy of our product candidates over currently approved therapies to physicians, insurers and third-party payors;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sufficient coverage from insurers and other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and protect intellectual property rights based on our innovations;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otherwise obtain and sell commercial quantities of future products to the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established an operations leadership team that we believe has extensive experience in manufacturing biologics based on viruses, including oncolytic products and gene therapy products and we operate our own in-house, approximately 63,000 square foot, U.S. based manufacturing facility in Framingham, Massachusetts. We operate our in-house manufacturing facility in order to secure our product candidates for our ongoing and planned clinical studies and, if approved, commercial launch and supply. The facility has been designed to allow us to produce enough material to cover full global commercialization of all our product candidates that are currently in development. The facility is intended to give us control over key aspects of the supply chain for our products and product candidates.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By controlling our own manufacturing facility, we aim to minimize or eliminate reliance on contract manufacturing organizations, which typically have limited capacity at commercial scale and long-lead time to conduct manufacturing campaigns. We believe that having control over the whole manufacturing process, in the U.S., will allow us to reduce cycle times, cost of goods for commercial production, other potential political or territorial cost efficiencies, and to shorten overall timelines for new product candidates in our development pipeline, as well as help us to develop drug formulations or presentations to simplify distribution and/or administration of future oncolytic immunotherapies. We also believe that having a dedicated manufacturing facility will allow us to optimize commercial-scale processes and to enhance security of supply to support market launch and commercialization of our product candidates, if approved. While we do control our own manufacturing facility, we rely on industry suppliers for raw materials and other process supplies, such as single-use manufacturing components, formulation components, sterile filters, bioreactors and other consumable components.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None of our product candidates have been approved for sale. If and when our product candidates advance closer to marketing approval, we intend to commercialize them on our own in the United States and potentially with pharmaceutical or biotechnology partners in other geographies. We may take different approaches to commercialization in different geographies. Following our reduction in force after receiving the second CRL, we no longer have in-house sales, marketing or commercialization staff and will need to rebuild these capabilities to commercialize any of our product candidates, if approved. Clinical data, the size of the opportunity for our product candidates, and the size of the commercial infrastructure required will influence our commercialization plans and decision making.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BMS</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February 2018, we entered into a Clinical Trial Collaboration and Supply Agreement with BMS. Pursuant to the agreement, BMS is providing to us, at no cost, nivolumab, its anti-PD-1 therapy, for use in combination with RP1 in our ongoing Phase 1/2 clinical trial. Under the agreement, we will sponsor, fund and conduct the clinical trial in accordance with an agreed-upon protocol. BMS granted us a non-exclusive, non-transferrable, royalty-free license (with a right to sublicense) under its intellectual property to use nivolumab in the clinical trial and has agreed to supply nivolumab, at no cost to us, for use in the clinical trial. Both parties will own the study data produced in the clinical trial, other than study data related solely to nivolumab, which will belong solely to BMS, or study data related solely to RP1, which will belong solely to us. In January 2020, the agreement was expanded to cover an additional cohort of 125 patients with anti-PD-1 failed melanoma.</w:t>
      </w:r>
    </w:p>
    <w:p>
      <w:pPr>
        <w:spacing w:after="0" w:line="108"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w:t>
      </w:r>
    </w:p>
    <w:p>
      <w:pPr>
        <w:spacing w:after="0" w:line="2" w:lineRule="exact"/>
        <w:rPr>
          <w:sz w:val="20"/>
          <w:szCs w:val="20"/>
          <w:color w:val="auto"/>
        </w:rPr>
      </w:pPr>
    </w:p>
    <w:p>
      <w:pPr>
        <w:ind w:right="40"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other party is insolvent or in bankruptcy proceedings or (z) for safety reasons. Upon termination, the licenses granted to us to use nivolumab in the clinical trial will terminate. The agreement contains representations, warranties, undertakings and indemnities customary for a transaction of this nature.</w:t>
      </w:r>
    </w:p>
    <w:p>
      <w:pPr>
        <w:spacing w:after="0" w:line="1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April 2019, we entered into a separate agreement with BMS on terms similar to the terms set forth in the agreement described above, pursuant to which BMS will provide, at no cost to us, nivolumab for use in our Phase 1 clinical trial of RP2 in combination with nivolumab.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2022, we entered into a Master Clinical Trial Collaboration and Supply Agreement with Roche in relation to our RP2 and RP3 programs in colorectal cancer, or CRC, and HCC. Under the agreement, the companies intended to collaborate in 30 patient cohort signal finding studies in third-line, or 3L, CRC and in first- and second-line, or 1L and 2L, respectively, HCC. Following our re-prioritization of our product development portfolio in December 2023, we have agreed with Roche to terminate the CRC collaboration and pursue the 2L cohort in HCC with RP2 only. Roche has continued to supply its currently approved drugs, atezolizumab and bevacizumab for the 2L cohort in HCC but is not sharing costs following our re-prioritization. Under the terms of the initial agreement we retained the responsibility of operating the clinical trials as well as retaining all the rights to the development and commercialization of our product candidates. The agreement may be terminated by either party upon sixty days prior written notice to the other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such as those we are developing. In addition, manufacturers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 Regulatory requirements are also continually evolving. By example, the FDA and governmental authorities in other countries have issued a growing body of guidance documents on various regulatory matters, including those specific to cell and gene therapy development. While FDA’s guidance is not binding, it does provide FDA’s current interpretation and approach.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and EU/UK regulation</w:t>
      </w:r>
    </w:p>
    <w:p>
      <w:pPr>
        <w:spacing w:after="0" w:line="14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biologics under the Federal Food, Drug, and Cosmetic Act, or FDCA, the Public Health Services Act, or PHSA, and their implementing regulations. The process required by the FDA before product candidates may be marketed in the United States generally involves the following:</w:t>
      </w:r>
    </w:p>
    <w:p>
      <w:pPr>
        <w:spacing w:after="0" w:line="68" w:lineRule="exact"/>
        <w:rPr>
          <w:sz w:val="20"/>
          <w:szCs w:val="20"/>
          <w:color w:val="auto"/>
        </w:rPr>
      </w:pPr>
    </w:p>
    <w:p>
      <w:pPr>
        <w:ind w:left="660" w:right="8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good laboratory practice, or GLP, regulations;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 at United States clinical trial sites;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for each clinical site, or centrally, before each trial may be initiated;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product candidate for its intended use, performed in accordance with good clinical practices, or GCPs;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maintenance of manufacturing processes to ensure the product candidate’s identity, strength, quality, purity, and potency;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(remotely or in person) of the manufacturing facility or facilities at which the products are produced to assess compliance with current good manufacturing practices, or cGMPs, and to assure that the facilities, methods, and controls are adequate to preserve the therapeutics’ identity, strength, quality, purity, and potency as well as satisfactory completion of an FDA inspection (remotely or in person) of selected clinical sites and selected clinical investigators to determine GCP compliance; and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for particular indications for use.</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process in the European Union and other countries with developed regulatory regimes is broadly comparable save that there is no dedicated BLA route in Europe as a Marketing Authorisation, or MAA, covers both small molecules, and biologics and cell and gene therapies.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testing and approval process of product candidates requires substantial time, effort, and financial resources. Satisfaction of the FDA’s and other countries’ regulatory authorities’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GLPs.</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Recently, however, in the U.S., new methods of non-animal preclinical testing are being explored. For instance, in 2025, FDA outlined a stepwise plan to reduce animal testing in preclinical safety studies with scientifically validated new approach methodologies, or NAMs, which may include organ-on-a-chip systems, computational modeling, and advanced in vitro assays, and other data.</w:t>
      </w:r>
    </w:p>
    <w:p>
      <w:pPr>
        <w:spacing w:after="0" w:line="20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Prior to commencing the first clinical trial at a United States or other country’s investigational site under and IND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(or equivalent in other countries). Additional preclinical testing, such as animal tests of reproductive adverse events and carcinogenicity, may continue after the IND is submitted.</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IND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 A separate submission to an existing IND must also be made for each successive clinical trial conducted during product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federal regulations and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Sponsors will also be required to provide FDA with diversity action plans, once this requirement goes into effect.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Special clinical trial ethical</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considerations also must be taken into account if a study involves children. Once an IND is in effect, each new clinical protocol and any amendments to the protocol must be added to the IND for FDA review and sent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adverse events or other significant safety information is found.</w:t>
      </w:r>
    </w:p>
    <w:p>
      <w:pPr>
        <w:spacing w:after="0" w:line="1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 Manufacturers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monitoring committee, or DMC, that regularly reviews accumulated data and advises the study sponsor regarding the continuing safety of the trial. This group may also review interim data to assess the continuing validity and scientific merit of the clinical trial. This group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Moreover, certain studies involving recombinant and synthetic nucleic acid molecules are subject to review by Institutional Biosafety Committees, or IBCs, under the National Institutes of Health Guidelines for Research Involving Recombinant or Synthetic Nucleic Acid Molecules.</w:t>
      </w:r>
    </w:p>
    <w:p>
      <w:pPr>
        <w:spacing w:after="0" w:line="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cGMP requirements. Investigational biologics and active ingredients imported into the United States are also subject to regulation by the FDA. Further, the export of investigational products outside of the United States is subject to regulatory requirements of the receiving country as well as United States export requirements under the FDCA.</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general, for purposes of BLA approval, human clinical trials are typically conducted in three sequential phases, which may overlap, be divided, or be combined.</w:t>
      </w:r>
    </w:p>
    <w:p>
      <w:pPr>
        <w:spacing w:after="0" w:line="81" w:lineRule="exact"/>
        <w:rPr>
          <w:sz w:val="20"/>
          <w:szCs w:val="20"/>
          <w:color w:val="auto"/>
        </w:rPr>
      </w:pPr>
    </w:p>
    <w:p>
      <w:pPr>
        <w:jc w:val="both"/>
        <w:ind w:left="660" w:right="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Trials are initially conducted in healthy human volunteers or subjects with the target disease or condition and test the product candidate for safety, dosage tolerance, structure-activity relationships, mechanism of action, absorption, metabolism, distribution, and excretion. If possible, Phase 1 trials may also be used to gain an initial indication of the activity of the product candidate.</w:t>
      </w:r>
    </w:p>
    <w:p>
      <w:pPr>
        <w:spacing w:after="0" w:line="10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Trials are conducted in limited subject populations with a specified disease or condition to evaluate the effectiveness of the product candidate for a particular indication or indications, identify optimal dosages, dosage tolerance and schedule, possible adverse effects and safety risks, and expanded evidence of safety.</w:t>
      </w:r>
    </w:p>
    <w:p>
      <w:pPr>
        <w:spacing w:after="0" w:line="189" w:lineRule="exact"/>
        <w:rPr>
          <w:rFonts w:ascii="Times New Roman" w:cs="Times New Roman" w:eastAsia="Times New Roman" w:hAnsi="Times New Roman"/>
          <w:sz w:val="18"/>
          <w:szCs w:val="18"/>
          <w:color w:val="auto"/>
        </w:rPr>
      </w:pPr>
    </w:p>
    <w:p>
      <w:pPr>
        <w:ind w:left="660" w:right="20" w:hanging="328"/>
        <w:spacing w:after="0" w:line="264"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 These adequate and well controlled clinical trials are undertaken in expanded subject populations, generally at geographically dispersed clinical trial sites, to generate enough data to provide statistically significant evidence of clinical efficacy and safety of the product for approval, to establish the overall risk benefit profile of the product, and to provide adequate information for the labeling of the product. The FDA typically requires that an NDA or BLA include data from adequate and well-controlled clinical trials which provide substantial evidence of efficacy.</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Additional kinds of data may also help to support a BLA, such as patient experience data and real-world evidence. Real world evidence may also be used to assist in clinical trial design. FDA also has different programs, such as for genetically targeted and variant protein targeted products and platform technologies which, if the relevant criteria are met, can help to streamline or expedite product development and approval.</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under certain circumstances, manufacturers and sponsors of investigational biopharmaceutical product candidates can provide access to the product candidates to certain qualifying patients outside of clinical trials. For instance, under the FDA’s expanded access program, with FDA approval and subject to certain requirements, sponsors may provide access to product candidates to patients with serious or immediately life threatening diseases or conditions for which there is no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comparable or satisfactory alternative therapy, provided that the potential patient benefit justifies the risks, the risks are not unreasonable in the context of the disease or condition to be treated, and the provision of the product candidate for the requested use will not interfere with clinical investigations. The specific expanded access criteria and requirements depend on the number of expanded access patients. Sponsors and investigators of expanded access programs must still comply with the FDA’s clinical trial guidelines and are subject to subject protection regulations. Federal and state laws in the United States, referred to as right to try laws, also establish a separate mechanism through which certain patients with life threatening diseases or conditions, who have exhausted all approved treatment options and are unable to participate in a clinical trial, may request access to investigational product candidates that have completed a Phase 1 clinical trial. While certain criteria must be met for a patient to be eligible for access to product candidates under right to try laws, these laws do not require the FDA to approve the use of the product candidate and do not require compliance with the majority of the FDA’s clinical trial regulations.</w:t>
      </w:r>
    </w:p>
    <w:p>
      <w:pPr>
        <w:spacing w:after="0" w:line="20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to further assess the product’s safety and effectiveness, and to ensure that population representative data is collected. These so-called Phase 4 trials may be made a condition to be satisfied after approval. The results of Phase 4 trials can confirm or refute the effectiveness of a product candidate and can provide important safety information.</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relation to the clinical trial in the United Kingdom or European Union and in so far as trials will be conducted in other countries with a view to obtaining a marketing authorization from the Medicines and Healthcare products Regulatory Agency, or MHRA in the United Kingdom, or the European Medicines Agency / European Commission or national Member States authorities in Europe, there are broadly equivalent GLP, GCP, cGMP and ethical approval requirements. In the European Union, these rules are memorialized in the form of Regulations, which are directly enforceable in all European Union member states or Directives, which must be implemented nationally. A new Regulation (EU) 536/2014 regarding clinical trials of medicinal products for humans, in force since January 2022, updated the clinical trials regime and included the creation of a uniform framework for the submission of applications for clinical trials by all interested EU member states. Approval of trials and enforcement of such rules is conducted by the regulatory authority in which the trial is carried out. With the departure of the United Kingdom from the European Union in January 2021, the United Kingdom is not covered by the European Union Clinical Trial Regulation and is instead subject to rules equivalent to the previous 2001 EU Clinical Trials Directive.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products</w:t>
      </w:r>
    </w:p>
    <w:p>
      <w:pPr>
        <w:spacing w:after="0" w:line="1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Biologic products may be regulated as combination products if they are intended for use in conjunction with medical devices, such as a delivery device. In such cases, the use of the two products together (i.e., the biological product and the device) must be shown to be safe and effective for the proposed intended use, and, the labeling of the two products must reflect their combined use. In some cases, the device component may require a separate premarket submission; for example, when the device component is intended for use with multiple therapeutics. In the United States, sponsors of clinical studies using investigational devices are required to comply with FDA’s investigational device exemption regulations. Once approved or cleared, the sponsor of the device component submission (or the combination product submission, if both components are covered by one premarket submission) would need to comply with FDA’s post-market device requirements, including establishment registration, device listing, device labeling, unique device identifier, quality system regulations, medical device reporting, and reporting of corrections and removals. In the European Union and United Kingdom there are similar requirements and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submission, review by the FDA, and marketing approval</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chemistry, manufacture, and controls, non-clinical studies, and clinical trial results, including negative or ambiguous results as well as positive findings, are all submitted to the FDA, along with the proposed labeling, as part of a BLA requesting approval to market the product for one or more indications. In most cases, the submission of a BLA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does not have an approved marketing application for a product that has been introduced or delivered for introduction into interstate commerce, and the applicant, including its affiliates, is submitting its first marketing application.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for applications for product candidates intended for the treatment of adult cancer which are directed at molecular targets that the FDA determines to be substantially relevant to the growth or progression of pediatric cancer, in place of the PREA investigations, sponsors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also may require submission of a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Once the FDA receives an application, it has 60 days to review the BLA to determine if it is substantially complete to permit a substantive review before it accepts the application for filing.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9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goals and policies agreed to by the FDA under PDUFA, the FDA has set the review goal of completing its review of 90% of all applications within ten months from the 60-day filing date for its initial review of a BLA. The FDA does not always meet its PDUFA goal dates for BLA submissions, and the review process may be extended if the FDA requests or the sponsor otherwise provides additional information or clarification regarding the submission.</w:t>
      </w:r>
    </w:p>
    <w:p>
      <w:pPr>
        <w:spacing w:after="0" w:line="11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FDA may also refer certain applications to an advisory committee. An advisory committee is typically a panel that includes clinicians and other experts, and may at times includes patients,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pure and potent and whether the manufacturing methods and controls are adequate to assure and preserve the product’s identity, strength, quality, potency, and purity. Before approving a BLA, the FDA typically will inspect (remotely or in person)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 BLA the FDA will inspect (remotely or in person) of one or more clinical trial sites to assure compliance with GCPs.</w:t>
      </w:r>
    </w:p>
    <w:p>
      <w:pPr>
        <w:spacing w:after="0" w:line="197"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or CRL. A CRL indicates that the review cycle of the application is complete and the application is not ready for approval, and describes all of the specific deficiencies that the FDA identified in the BLA. A CRL generally contains a statement of specific conditions that must be met in order to secure final approval of the BLA and may require additional clinical or preclinical testing in order for the FDA to reconsider the application. The deficiencies identified may be minor, for example, requiring labeling changes, or major, for example, requiring additional clinical trials. In 2025, the FDA started publicly releasing complete response letters after issuance, for both products that eventually obtained approval and products that have not yet received approval.</w:t>
      </w:r>
    </w:p>
    <w:p>
      <w:pPr>
        <w:spacing w:after="0" w:line="21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If a CRL is issued, the applicant may either: resubmit the BLA, addressing all of the deficiencies identified in the letter; withdraw the application; or request an opportunity for a hearing. The FDA has the goal of reviewing 90% of application resubmissions in either two or six months of the resubmission date, depending on the kind of resubmission. Even with submission of this additional information, the FDA ultimately may decide that the application does not satisfy the regulatory criteria for approval. If and when those conditions have been met to the FDA’s satisfaction, the FDA may issue an approval</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An approval letter authorizes commercial marketing of the product with specific prescribing information for specific indications.</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or populations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9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While there is no separate route for biologics, broadly equivalent requirements and controls apply to the submission of marketing authorization applications to the European Medicines Agency in the European Union or MHRA in the United Kingdom, and to the requirement to conduct pediatric testing and, post-approval obligations on, the holders of such marketing authorizations.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FDA expedited review and approval programs</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FDA’s fast track, priority review, accelerated approval, and breakthrough therapy programs are special programs and pathways at the agency that are intended to facilitate and expedite product development and approval. Product candidates may be eligible for fast track designation if they are intended to treat a serious or life-threatening disease or condition and demonstrate the potential to address an unmet medical need. If a sponsor applies for and receives fast track designation, the designated product candidate may be eligible for more frequent FDA interactions as well as rolling review of sections of an application before the application is complete. To qualify for rolling review, the applicant must provide and FDA must approve a schedule for the submission of the full application. User fees must also be paid before FDA will commence its review of an application submitted on a rolling basis.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Priority review may be available to product candidates that are intended to treat serious conditions and, if approved, would provide significant improvements in the safety or effectiveness of the treatment, diagnosis, or prevention of the serious condition. If a product receives priority review, FDA’s PDUFA review goal is shortened to six months following FDA acceptance of a BLA, rather than the standard review of ten months.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Product candidates eligible for FDA’s accelerated approval pathway are those that are intended to treat serious or life-threatening illnesses that provide meaningful therapeutic benefit to patients over existing treatments. Under this pathway, FDA may approve a marketing application based upon adequate and well-controlled clinical trials that evaluate a product candidate’s effect on a surrogate endpoint, which is an endpoint that is reasonably likely to predict clinical benefit, or a product’s effect on a clinical endpoint that can be measured earlier than irreversible morbidity or mortality and that is reasonably likely to predict an effect on irreversible morbidity or mortality, taking into account the severity, rarity, or prevalence of the condition and availability or lack of alternative treatments. Products approved under the accelerated approval pathway must complete Phase 4 clinical trials to demonstrate the product’s clinical benefit. By the date of approval of an accelerated approval product, FDA must specify the conditions for the required post approval studies, including enrollment targets, the study protocol, milestones, and target completion dates. FDA may also, and frequently does, require that the confirmatory Phase 4 studies be commenced prior to FDA granting a product accelerated approval. If a confirmatory study is not sufficiently advanced at the time of a marketing application, FDA can issue a complete response letter rather than approve the product. Reports on the progress of the required confirmatory studies must be submitted to FDA every 180 days after approval. If the confirmatory studies fail to verify the clinical benefit of the product, the FDA may withdraw approval of the application through a statutorily defined streamlined process. Failure to conduct the required confirmatory studies or to conduct such studies with due diligence, as well as failure to submit the required update reports can subject a sponsor to penalties. Promotional materials for a drug or biologic approved under the accelerated approval pathway are subject to FDA prior review.</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third program that may be available is the breakthrough therapy program, which is for products that are intended, alone or in combination with one or more other products, to treat a serious or life-threatening disease or condition, and for which preliminary clinical evidence indicates that the product may demonstrate substantial improvement over existing therapies on one or more clinically significant endpoints. Breakthrough therapy products may be eligible for intensive FDA guidance on development programs as early as Phase 1 clinical trials, FDA organization commitment to involve senior managers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experienced review and regulatory management staff in a proactive collaborative, proactive, and cross-disciplinary reviews, and marketing application rolling review.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designations may be rescinded if the applicable qualifying criteria are no longer met.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Biologic Product Competition and Innovation Act, or BPCIA, created an abbreviated approval pathway for biological products shown to be "biosimilar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(though a biosimilar may be licensed for fewer indications than that of its reference product),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The FDA has issued a number of guidance documents outlining its approach for review and approval of biosimilars, including guidance documents on the demonstration of interchangeability and the licensure of biosimilar and interchangeable products for fewer than all of the reference product’s licensed conditions of use. Moreover, in 2025, the FDA took steps to facilitate the development and approval of biosimilar and interchangeable products, easing the requirements for comparative efficacy studies for biosimilar products and switching studies for interchangeable products.</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and not approved for another 8 years from the date of licensure of the reference product. However, certain changes and supplements to an approved BLA, and subsequent applications filed by the same sponsor, manufacturer, licensor, predecessor in interest, or other related entity do not qualify for the twelve-year exclusivity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maintains a publicly-available online database of licensed biological products, which is commonly referred to as the “Purple Book”. The Purple</w:t>
      </w:r>
    </w:p>
    <w:p>
      <w:pPr>
        <w:spacing w:after="0" w:line="63"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Book lists product names, dates of licensure, and applicable periods of exclusivity. Further, pursuant to a statute to enable biological product patent transparency, the reference product sponsor must provide patent information and patent expiry dates to the FDA following the exchange of patent information between biosimilar and reference product sponsors. This information is then published in the Purple Book.</w:t>
      </w:r>
    </w:p>
    <w:p>
      <w:pPr>
        <w:spacing w:after="0" w:line="9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European Union there is a period of 8 years of data protection and an additional 2 years of marketing protection. The marketing protection can be extended by 1 year to a total of 11 years for the authorization of a new indication that demonstrates significant benefit over existing treatments. Those seeking to market biosimilars cannot apply on an abridged basis for a marketing authorization for eight years from when the reference product was first</w:t>
      </w:r>
    </w:p>
    <w:p>
      <w:pPr>
        <w:ind w:right="100"/>
        <w:spacing w:after="0" w:line="266" w:lineRule="auto"/>
        <w:rPr>
          <w:sz w:val="20"/>
          <w:szCs w:val="20"/>
          <w:color w:val="auto"/>
        </w:rPr>
      </w:pPr>
      <w:r>
        <w:rPr>
          <w:rFonts w:ascii="Times New Roman" w:cs="Times New Roman" w:eastAsia="Times New Roman" w:hAnsi="Times New Roman"/>
          <w:sz w:val="18"/>
          <w:szCs w:val="18"/>
          <w:color w:val="auto"/>
        </w:rPr>
        <w:t>authorized in the European Union and cannot place it on the market for 10 or 11 years from such first authorization. Similar provisions apply in the United Kingdom. The European Union has recently agreed (although has not yet adopted) a new regulatory regime that will reduce the baseline period of protection to 8 years of data protection and 1 year of market protection, with the possibility of extending the market protection period if certain criteria are met. These changes will not apply in the United Kingdom.</w:t>
      </w:r>
    </w:p>
    <w:p>
      <w:pPr>
        <w:spacing w:after="0" w:line="189"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If approved, biologics may also be eligible for periods of United States patent term restoration. If a timely application is made and if granted, patent term restoration extends the patent life of a single unexpired patent, that has not previously been extended, for a maximum of five years. The total patent life with the extension also cannot exceed fourteen years from the product’s approval date. Subject to the prior limitations, the period of the extension is calculated through an equation that takes into account half of the time from the effective date of an IND to the initial submission of a complete marketing application and all the time between the submission of the marketing application and its approval. This period may also be reduced by any time that the applicant did not act with due diligence.</w:t>
      </w:r>
    </w:p>
    <w:p>
      <w:pPr>
        <w:spacing w:after="0" w:line="21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In the European Union and United Kingdom, a supplementary protection certificate, or SPC, can similarly extend a patent term for a maximum of five years if the relevant criteria are met, although this is not limited to biological products. A further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900"/>
        <w:spacing w:after="0" w:line="253" w:lineRule="auto"/>
        <w:rPr>
          <w:sz w:val="20"/>
          <w:szCs w:val="20"/>
          <w:color w:val="auto"/>
        </w:rPr>
      </w:pPr>
      <w:r>
        <w:rPr>
          <w:rFonts w:ascii="Times New Roman" w:cs="Times New Roman" w:eastAsia="Times New Roman" w:hAnsi="Times New Roman"/>
          <w:sz w:val="18"/>
          <w:szCs w:val="18"/>
          <w:color w:val="auto"/>
        </w:rPr>
        <w:t>six-month additional extension is available if the SPC relates to a medicinal product for which data has been submitted according to a Pediatric Investigation Plan.</w:t>
      </w:r>
    </w:p>
    <w:p>
      <w:pPr>
        <w:ind w:right="180"/>
        <w:spacing w:after="0" w:line="252" w:lineRule="auto"/>
        <w:rPr>
          <w:sz w:val="20"/>
          <w:szCs w:val="20"/>
          <w:color w:val="auto"/>
        </w:rPr>
      </w:pPr>
      <w:r>
        <w:rPr>
          <w:rFonts w:ascii="Times New Roman" w:cs="Times New Roman" w:eastAsia="Times New Roman" w:hAnsi="Times New Roman"/>
          <w:sz w:val="18"/>
          <w:szCs w:val="18"/>
          <w:color w:val="auto"/>
        </w:rPr>
        <w:t>In an effort to increase competition in the biologic product marketplace, Congress, the executive branch, and FDA have taken certain legislative and regulatory steps. By way of example, measures have been proposed and implemented to facilitate product importation. Moreover, the 2020 Further Consolidated Appropriations Act included provisions requiring that sponsors of approved biologic products, including those subject to REMS, provide samples of the approved products to persons developing biosimilar products within specified timeframes, in sufficient quantities, and on commercially reasonable market-based terms. Failure to do so can subject the approved product sponsor to civil actions, penalties, and responsibility for attorney’s fees and costs of the civil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pervasive and continuing regulation by the FDA, including, among other things, requirements related to manufacturing, recordkeeping, and reporting, including adverse experience reporting, deviation reporting, shortage reporting, risk management plans, supply chain security, and periodic reporting, product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notice or review and approval. There also are continuing annual program user fee requirements for approved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cGMP and other requirements, which impose certain procedural and documentation requirements upon sponsors and third-party manufacturers. The information that must be submitted to FDA regarding manufactured products further includes the volume of drugs produced during the prior year. Manufacturers must continue to expend time, money, and effort in the areas of production and quality-control to maintain compliance with cGMPs. Regulatory authorities may withdraw product approvals, require label modifications or request product recalls, among other actions, if a company fails to comply with regulatory standards, if it encounters problems following initial marketing, or if previously unrecognized problems are subsequently discovered. Many states also regulate the distribution of drug product samples and commercial product.</w:t>
      </w:r>
    </w:p>
    <w:p>
      <w:pPr>
        <w:spacing w:after="0" w:line="20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 Within recent years, the President and the FDA have also taken actions to encourage the use of U.S. domestic manufacturing sites, which may impact manufacturing operations. Accordingly, manufacturers must continue to expend time, money, and effort in the area of production and quality control to maintain cGMP compliance.</w:t>
      </w:r>
    </w:p>
    <w:p>
      <w:pPr>
        <w:spacing w:after="0" w:line="2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A company can make only those claims relating to safety and efficacy, purity, and potency that are consistent with the FDA approved label. All promotional and advertising statements must further be truthful and non-misleading, adequately The FDA has become increasingly active in the advertising and promotional spaces, including issuing new and updated guidances and increasing its enforcement activity regarding promotion and advertising, both in the areas of promotional statements to healthcare providers and direct to consumer advertising. Physicians, in their independent professional medical judgment, may prescribe legally available products for unapproved indications that are not described in the product’s labeling and that differ from those tested and approved by the FDA. Biopharmaceutical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procurement and non-procurement programs, and refusal of orders under existing government contracts.</w:t>
      </w:r>
    </w:p>
    <w:p>
      <w:pPr>
        <w:spacing w:after="0" w:line="21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Moreover, the Drug Quality and Security Act imposes obligations on manufacturers of biopharmaceutical products related to product tracking and tracing. Among the requirements of this legislation, manufacturers are required to provide certain information regarding the products to individuals and entities to which product ownership is transferred, are required to label products with a product identifier, and are required to keep certain records regarding the</w:t>
      </w:r>
    </w:p>
    <w:p>
      <w:pPr>
        <w:ind w:right="120"/>
        <w:spacing w:after="0" w:line="242" w:lineRule="auto"/>
        <w:rPr>
          <w:sz w:val="20"/>
          <w:szCs w:val="20"/>
          <w:color w:val="auto"/>
        </w:rPr>
      </w:pPr>
      <w:r>
        <w:rPr>
          <w:rFonts w:ascii="Times New Roman" w:cs="Times New Roman" w:eastAsia="Times New Roman" w:hAnsi="Times New Roman"/>
          <w:sz w:val="18"/>
          <w:szCs w:val="18"/>
          <w:color w:val="auto"/>
        </w:rPr>
        <w:t>product. The transfer of information to subsequent product owners must be transferred electronically and interoperably. Manufacturers must further verify that purchasers of the manufacturers’ products are appropriately licensed. Additionally, under this legislation, manufactures have product investigation, quarantine, disposition, and notification responsibilities related to counterfeit, diverted, stolen, and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imposed through this legislation on other companies within the biopharmaceutical product supply chain, such as distributors and dispensers.</w:t>
      </w:r>
    </w:p>
    <w:p>
      <w:pPr>
        <w:spacing w:after="0" w:line="1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including annual reports and deviation reports, are required following FDA approval of a BLA. 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procurement and non-procurement programs, refusal of orders under existing government contracts, exclusion from participation in federal and state healthcare programs, restitution, disgorgement, civil penalties, criminal fines and imprisonment, and result in adverse publicity, among other adverse consequences.</w:t>
      </w:r>
    </w:p>
    <w:p>
      <w:pPr>
        <w:spacing w:after="0" w:line="1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FDA post-approval requirements are continually evolving. For example, in March 2020, the U.S. Congress passed the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issued guidance on the reporting of the volume of drugs produced, which reporting will require additional administrative efforts by drug manufacturers. In recent years, both the U.S. Congress and the President have taken actions to encourage the use of domestic pharmaceutical suppliers.</w:t>
      </w:r>
    </w:p>
    <w:p>
      <w:pPr>
        <w:spacing w:after="0" w:line="12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Broadly equivalent requirements, controls and sanctions apply to supply, QA, manufacture, labelling, advertising, pharmacovigilance and tracing of medicinal products as imposed by European Union and United Kingdom laws and enforced by European Union or United Kingdom national regulatory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biologics and oncology programs</w:t>
      </w:r>
    </w:p>
    <w:p>
      <w:pPr>
        <w:spacing w:after="0" w:line="14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1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of the manufacturer’s tests performed on the lot. The FDA may also perform certain confirmatory tests on lots of some products before releasing the lots for distribution by the manufacturer.</w:t>
      </w:r>
    </w:p>
    <w:p>
      <w:pPr>
        <w:spacing w:after="0" w:line="19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There are also a number of additional standards that apply to oncolytic virus products. The FDA has issued various applicable guidance documents on factors that the agency considers during product development including, but not limited to, preclinical assessments; chemistry manufacturing and controls; and long-term patient and clinical study subject follow up and regulatory reporting. In the European Union and United Kingdom, while there is no direct equivalent to the separate route for biologics, the EMA and MHRA issue scientific guidelines on biological medicinal products that should be followed and incorporated into the marketing authorization application for biological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oncology product candidates, FDA has also established a number of different projects, intended to address different aspects of oncology</w:t>
      </w:r>
    </w:p>
    <w:p>
      <w:pPr>
        <w:spacing w:after="0" w:line="2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development. For instance, FDA’s Project Optimus is an initiative at FDA to reform dose optimization and selection. Project FrontRunner is aimed at encouraging drug sponsors to potentially pursue the development of products for earlier clinical settings, rather than for the treatment of patients who have</w:t>
      </w:r>
    </w:p>
    <w:p>
      <w:pPr>
        <w:spacing w:after="0" w:line="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received a number of different prior therapies. Project Confirm is a third FDA initiative, which aims to promote transparency regarding the outcomes related to accelerated approval products.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regulatory agencies may also regulate our use of biological materials, which may necessitate that we, our manufacturers, or other third parties with whom we work obtain permits and otherwise comply with regulatory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and abuse, data privacy and security, and transparency laws and regulations</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 as well as state and federal consumer protection and unfair competition laws.</w:t>
      </w:r>
    </w:p>
    <w:p>
      <w:pPr>
        <w:spacing w:after="0" w:line="1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federal Anti-Kickback Statute, which regulates, among other things, marketing practices, educational programs, pricing policies, and relationships with healthcare providers or other entities,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for the furnishing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biopharmaceutical manufacturers on one hand and prescribers, purchasers, and formulary managers, on the other, as well as to free trial and starter prescriptions provided through pharmacies. There are certain statutory exceptions and regulatory safe harbors protecting some common activities from prosecution. Health and Human Services, or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the regulation expressly provides that rebates to plan sponsors under Medicare Part D either directly to the plan sponsor under Medicare Part D, or indirectly through a pharmacy benefit manager will not be protected under the anti-kickback discount safe harbor. Recent legislation has delayed implementation of the aforementioned regulation until January 1, 2032.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the facts and circumstances. Several U.S. courts have interpreted the statute’s intent requirement to mean that if any one purpose of an arrangement involving remuneration is to induce referrals of federal healthcare covered business, including purchases of products paid by federal healthcare programs, the statute has been violated. The ACA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failure to comply with cGMP requirements, and allegations as to misrepresentations with respect to products, contract requirements and services rendered. In addition, private payers have filed follow-on lawsuits alleging fraudulent misrepresentation. Intent to deceive is not required to establish liability under the civil False Claims Act.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under most circumstances, pursue the case alone. The civil False Claims Act provides for treble damages and a civil penalty for each false claim, such as an invoice or pharmacy claim for reimbursement, which can aggregate into hundreds of millions of dollars. For these reasons, since 2004, civil False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Claims Act lawsuits against biopharmaceutical companies have increased significantly in volume and breadth, leading to several substantial civil and criminal settlements, as much as $3.0 billion, regarding certain sales practices and promoting off label uses. Civil False Claims Act liability may further be imposed for known Medicare or Medicaid overpayments that are not refunded within 60 days of discovering the overpayment, even if the overpayment was not caused by a false or fraudulent act. In addition, judgment for violating the civil False Claims Act may result in exclusion from participation in federal health care programs, suspension and debarment from government procurement and non-procurement programs, and refusal of orders under existing government contracts.</w:t>
      </w:r>
    </w:p>
    <w:p>
      <w:pPr>
        <w:spacing w:after="0" w:line="10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Unlike the civil False Claims Act, the criminal False Claims Act requires proof of intent to submit a false claim.</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civil monetary penalties statute is another potential statute under which biopharmaceutical companies may be subject to enforcement. Among other things, the civil monetary penalties statute imposes penalties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11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civil monetary penalties statute, subject to certain exceptions, prohibits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9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therapeutics, including, but not limited to, by Medicaid or Medicare requires manufacturers to submit certified pricing information to CMS. The Medicaid Drug Rebate statute requires manufacturers to calculate and report price points, which are used to determine Medicaid rebate payments shared between the states and the federal government and Medicaid payment rates for certain therapeutics. The Medicaid Drug Rebate statute also imposes inflation penalties, and recent legislative changes have removed the caps limiting the magnitude of these Medicaid penalties and the implementation of new inflation penalties applicable to the Medicare program. In addition to the Medicaid statutory rebate, states are authorized to negotiate supplemental rebates on pharmaceuticals included in their formularies. For therapeutics paid under Medicare Part B, manufacturers must also calculate and report their Average Sales Price, which is used to determine the Medicare Part B payment rate. For products approved under a BLA (including biosimilars), or an NDA, the Veterans Health Care Act, or VHCA, requires manufacturers to calculate and report to the Department of Veterans Affairs, or VA, a different price called the Non-Federal Average Manufacturer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therapeutics dispensed by retail pharmacies when paid by the TRICARE Program. All of these price reporting requirements create risk of inadvertently submitting false information to the government, and potential FCA liability.</w:t>
      </w:r>
    </w:p>
    <w:p>
      <w:pPr>
        <w:spacing w:after="0" w:line="12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VHCA also requires manufacturers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(e.g., Federal Acquisition Regulations), including submission of commercial sales and pricing information and certification of compliance with the Trade Agreements Act,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program based on the manufacturer’s reported Medicaid pricing information. The 340B program has its own regulatory authority to impose sanctions for non-compliance and adjudicate overcharge claims against manufacturers by the purchasing entities.</w:t>
      </w:r>
    </w:p>
    <w:p>
      <w:pPr>
        <w:spacing w:after="0" w:line="12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as amended, or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federal Physician Payments Sunshine Act and its implementing regulations, manufacturers of biologics for which payment is available under Medicare, Medicaid, or the Children’s Health Insurance Program (with certain exceptions) must make annual reports to CMS regarding payments and other transfers of value made to or at the request of covered recipients, such as, but not limited to, U.S. licensed physicians, physician assistants, nurse practitioners, clinical nurse specialists, and certified registered nurse anesthetists and U.S. teaching hospitals, as well as ownership and investment interests held by physicians and their immediate family. Certain research payments, including for clinical trials, are included within the ambit of this law. CMS makes the reported information publicly available.</w:t>
      </w:r>
    </w:p>
    <w:p>
      <w:pPr>
        <w:spacing w:after="0" w:line="20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There are also federal consumer protection and unfair competition laws that broadly regulate marketplace activities and activities that potentially harm consumers.</w:t>
      </w:r>
    </w:p>
    <w:p>
      <w:pPr>
        <w:spacing w:after="0" w:line="18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Further, we may be subject to data privacy and security regulation by both the federal government and the states in which we conduct our business. HIPAA, as amended by the Health Information Technology for Economics and Clinical Health Act, or HITECH Act, and its respective implementing regulations imposes requirements on covered entities relating to the privacy, security, and transmission of certain individually identifiable health information known as protected health information. Among other things, the HITECH Act,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The HITECH Act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HIPAA imposes certain privacy requirements with respect to the use and disclosure of protected health information for research purposes, which will impact how we conduct our clinical trials. In addition, other federal and state laws, such as the California Consumer Privacy Act, may govern the privacy and security of health and other information in certain circumstances, many of which differ from each other in significant ways and may not be preempted by HIPAA, thus complicating compliance efforts. For example, certain states, such as Washington, Nevada and Connecticut, have enacted new privacy laws with respect to consumer health data that is not protected health information governed by HIPAA.</w:t>
      </w:r>
    </w:p>
    <w:p>
      <w:pPr>
        <w:spacing w:after="0" w:line="21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third-party payor, including commercial insurers. Certain state laws also regulate manufacturers’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require the registration of pharmaceutical sales representatives; or require manufacturers to track and report information related to payments, gifts, and other items of value to physicians and other healthcare providers. Recently, states have enacted or are considering legislation intended to make drug prices more transparent and deter significant price increases. These laws may affect our future sales, marketing, and other promotional activities by imposing administrative and compliance burdens.</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laws that apply to us, we may be subject to penalties or other enforcement actions, including significant civil monetary penalties, damages, criminal fines, disgorgement, imprisonment, exclusion from participation in government healthcare programs, corporate integrity agreements, non- and deferred prosecution agreements, suspension and debarment from government procurement and non-procurement programs, and refusal of orders under existing government contracts, reputational harm, diminished profits and future earnings, and the curtailment or restructuring of our operations, any of which could adversely affect our ability to operate our business and our results of operations.</w:t>
      </w:r>
    </w:p>
    <w:p>
      <w:pPr>
        <w:spacing w:after="0" w:line="12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generally</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payor programs at the federal and state levels, including, but not limited to,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the health care program for military personnel, retirees, and related beneficiaries.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amongst others, the Medicare or Medicaid programs for such products and services.</w:t>
      </w:r>
    </w:p>
    <w:p>
      <w:pPr>
        <w:spacing w:after="0" w:line="11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manufacturers in order to reduce the plans’ net costs. These restrictions and limitations influence the purchase of healthcare services and products and lower the realization on manufacturers’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FDA-approved products for a particular indication or might impose high copayment amounts to influence patient choice. Third-party payors also control costs by requiring prior authorization or imposing other dispensing restrictions, such as, but not limited to step edits,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manufacturers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over the lifecycle of a product. All of these conditions can affect realization and return on investment.</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amongst others, Medicare, Medicaid, and healthcare reform, biopharmaceutical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but not limited to, Medicare and Medicaid, private health insurers, and other third-party payors.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and/or health technology assessment studies in order to demonstrate the medical necessity and cost-effectiveness of our products, in addition to the costs required to obtain the FDA and European approvals. Our product candidates may not be considered medically necessary or cost-effective, or the rebate percentages required to secure coverage may not yield an adequate margin over cost.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therapeutic development. Legislative or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there are recent changes in Europe to coordinate the health technology assessment process, separate negotiations take place with the relevant pricing and reimbursement authorities in each member state and may include a variety of risk share agreements with payors.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1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biopharmaceutical industry has been a particular focus of these efforts and has been significantly affected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legislative initiatives, such as, but not limited to, the Inflation Reduction Act, or IRA, and the Bayh-Dole Act march-in rights expansion.</w:t>
      </w:r>
    </w:p>
    <w:p>
      <w:pPr>
        <w:spacing w:after="0" w:line="23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For example, on November 27, 2020, CMS issued an interim final rule implementing a Most Favored Nation payment model under which reimbursement for certain Medicare Part B drugs and biologicals would have been based on a price that reflected the lowest per capita Gross Domestic Product-adjusted (GDP-adjusted) price of any non-U.S. member country of the Organization for Economic Co-operation and Development (OECD) with a GDP per capita that was at least sixty percent of the U.S. GDP per capita. Any reduction in reimbursement from Medicare and other government programs may result in a similar reduction in payments from private payors. This rule has now been rescinded, but other efforts to address the costs of pharmaceuticals have been adopted, including the Inflation Reduction Act of 2022, or the IRA. The IRA requires manufacturers of selected drugs to negotiate discounted prices with the Secretary of the Department of Health and Human Services. Failure to reach an agreement can subject manufacturers to an excise tax or withdrawal of all drug products from coverage under Medicare and Medicaid. The legislation also requires manufacturers to pay rebates for drugs in Medicare Part D whose price increases exceed inflation and caps Medicare out-of-pocket drug costs at $2,000 a year. Failure to participate in negotiations or to reach an agreement can result in a manufacturer being required to withdraw all drug products from coverage under Medicare and Medicaid. Drug price negotiations and other program implementation measures could further be affected by the ongoing changes in leadership at Health and Human Services (HHS) and CMS under the current administration. In November 2025, CMS also introduced the GENEROUS Model, which requires manufacturers to provide rebates aligned with most favored nation pricing to participating state Medicaid programs that opt into the program. These and any additional healthcare reform measures could further constrain our business or limit the amounts that federal and state governments will pay for healthcare products and services in the U.S., which could result in additional pricing pressures.</w:t>
      </w:r>
    </w:p>
    <w:p>
      <w:pPr>
        <w:spacing w:after="0" w:line="1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Moreover, the ACA broadened access to health insurance, attempts to reduce or constrain the growth of healthcare spending, enhanced remedies against fraud and abuse, added new transparency requirements for healthcare and health insurance industries, imposed new taxes and fees on the health care industry, and imposed additional health policy reforms. The law expanded the eligibility criteria and mandatory eligibility categories for Medicaid programs, thereby potentially increasing both the volume of sales and manufacturers’ Medicaid rebate liability. The law also expanded the 340B discount program that mandates discounts to certain hospitals, community centers, and other qualifying providers, by expanding the categories of entities eligible to purchase under the program. In addition, the ACA authorized civil monetary penalties for violating 340B pricing requirements, and regulations implementing this authority became effective on January 1, 2019. The ACA revised the definition of “average manufacturer price”, or AMP, for reporting purposes, which generally increased the amount of Medicaid rebates to states and created a separate AMP for certain categories of administered therapeutics provided in non-retail outpatient settings. The law additionally extended manufacturer’s Medicaid rebate liability to covered therapeutics dispensed to patients enrolled in Medicaid managed care organizations and increased the statutory minimum rebates a manufacturer must pay under the Medicaid Drug Rebate program. The revisions to the AMP definition and Medicaid rebate formula can have the further effect of increasing the required 340B discounts. Finally, the ACA imposes a significant annual fee on companies that manufacture or import branded prescription therapeutic products. Substantial new provisions affecting compliance have also been enacted through the ACA and otherwise, including the reporting of therapeutic sample distribution, which may require us to modify our business practices with healthcare practitioners. Although the ACA was later amended to repeal the individual insurance mandate, and efforts to repeal and replace portions of the law may continue, it is likely that pressure on biopharmaceutical pricing, especially under the Medicare program, will continue, and may also increase our regulatory burdens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operating costs. Moreover, in the coming years, additional changes could be made to governmental healthcare programs that could significantly impact the success of our product candidates.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Most recently, on April 15, 2025, the U.S. Administration released Executive Order entitled </w:t>
      </w:r>
      <w:r>
        <w:rPr>
          <w:rFonts w:ascii="Times New Roman" w:cs="Times New Roman" w:eastAsia="Times New Roman" w:hAnsi="Times New Roman"/>
          <w:sz w:val="18"/>
          <w:szCs w:val="18"/>
          <w:i w:val="1"/>
          <w:iCs w:val="1"/>
          <w:color w:val="auto"/>
        </w:rPr>
        <w:t>Lowering Drug Prices by Once Again Putting Americans First</w:t>
      </w:r>
      <w:r>
        <w:rPr>
          <w:rFonts w:ascii="Times New Roman" w:cs="Times New Roman" w:eastAsia="Times New Roman" w:hAnsi="Times New Roman"/>
          <w:sz w:val="18"/>
          <w:szCs w:val="18"/>
          <w:color w:val="auto"/>
        </w:rPr>
        <w:t>. Amongst other agencies, it directs the Secretary of HHS to take wide-ranging steps aimed to lower U.S. drug prices, including prices for biologic products. Solely by example, the Executive Order requires the Secretary to propose and seek comment and guidance on the differential treatment of small and large molecule drug products under the IRA’s Medicare Drug Price Negotiation Program. Depending on the ultimate outcome of these steps, the pricing and reimbursement rates for any of our approved drug products, and our ultimate revenue realization could be adversely impacted.</w:t>
      </w:r>
    </w:p>
    <w:p>
      <w:pPr>
        <w:spacing w:after="0" w:line="104" w:lineRule="exact"/>
        <w:rPr>
          <w:sz w:val="20"/>
          <w:szCs w:val="20"/>
          <w:color w:val="auto"/>
        </w:rPr>
      </w:pPr>
    </w:p>
    <w:p>
      <w:pPr>
        <w:jc w:val="both"/>
        <w:ind w:right="600"/>
        <w:spacing w:after="0" w:line="289" w:lineRule="auto"/>
        <w:rPr>
          <w:sz w:val="20"/>
          <w:szCs w:val="20"/>
          <w:color w:val="auto"/>
        </w:rPr>
      </w:pPr>
      <w:r>
        <w:rPr>
          <w:rFonts w:ascii="Times New Roman" w:cs="Times New Roman" w:eastAsia="Times New Roman" w:hAnsi="Times New Roman"/>
          <w:sz w:val="17"/>
          <w:szCs w:val="17"/>
          <w:color w:val="auto"/>
        </w:rPr>
        <w:t>The cost of biopharmaceuticals continues to generate substantial governmental and third-party payor interest. We expect that the biopharmaceutical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w:t>
      </w:r>
    </w:p>
    <w:p>
      <w:pPr>
        <w:spacing w:after="0" w:line="9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Some third-party payors also require pre-approval of coverage for new or innovative devices or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w:t>
      </w:r>
    </w:p>
    <w:p>
      <w:pPr>
        <w:spacing w:after="0" w:line="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 Budget Control Act of 2011, as amended, created the Joint Select Committee on Deficit Reduction to recommend proposals in spending reductions to Congress. The Joint Select Committee on Deficit Reduction did not achieve its targeted deficit reduction of at least $1.2 trillion for the years 2013 through 2021, triggering the legislation’s automatic reductions to several government programs. These reductions include aggregate reductions to Medicare payments to providers of up to 2% per fiscal year. The Bipartisan Budget Act of 2018 retained the federal budget “sequestration” Medicare payment reductions of 2%, at present that reduction has been extended through 2032. The American Taxpayer Relief Act of 2012 further reduced Medicare payments to several categories of healthcare providers and increased the statute of limitations period for the government to recover overpayments to providers from three to five years. 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further limit the prices we are able to charge, or the amounts of reimbursement available, for our product candidates if approved and commercialized.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or representatives of international organizations for the purpose of influencing any act or decision of the foreign entity in order to assist the individual or business in obtaining or retaining business or obtaining an improper advantage. The FCPA also obligates companies whose securities are listed in the United States to comply with books and records and accounting control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by compliance monitors, and suspension and debarment from government contracts, and refusal of orders under existing government contracts.</w:t>
      </w:r>
    </w:p>
    <w:p>
      <w:pPr>
        <w:spacing w:after="0" w:line="12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foreign anti-corruption regimes are arguably of wider application. For instance, the U.K. Bribery Act 2010 applies to dealings with any decision maker whether in the private or public sector in a position of trust.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As of March 31, 2026, we employed 465 employees, all of which are full-time employees. Of the 465 employees, 349 are in research and development and 116 are in selling, general and administrative functions. In April 2026, we implemented a plan for a restructuring, which included a reduction of our workforce by approximately 55%. Without a near-term accelerated approval of our BLA for RP1 plus nivolumab for the treatment of advanced melanoma, we may be required to initiate a further reduction in our workforce. We have never had a work stoppage, and none of our employees are represented by a labor organization or under any collective bargaining arrangements. We consider our employee relations to be good.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that developing an inclusive culture with talent reflecting a diverse range of backgrounds, experiences, and perspectives is important to attracting and retaining the top talent necessary to deliver on our growth strategy. As such, we strive for, and are investing in, a work environment where our employees feel inspired and included.</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focus on identifying, attracting, retaining and developing highly talented and motivated employees. Our equity and cash incentive plans are aligned to attract, retain and reward our employees through the granting of stock-based and cash-based compensation awards. We conduct annual internal and external pay reviews to ensure fair and equitable pay for our employees, which includes an internal pay equity analysis, as well as the use of an external compensation analysis expert for the review of our employees' pay against external market data. We believe motivating our employees to perform at their highest level and take pride in achieving company goals increases stockholder value.</w:t>
      </w:r>
    </w:p>
    <w:p>
      <w:pPr>
        <w:spacing w:after="0" w:line="1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committed to our employees’ health, safety and well-being. Our work paradigm is flexible and designed to accommodate a range of work profiles. Our workforce is a combination of full-time on-site, hybrid, and fully remote employees, including both at our manufacturing facility as well as in our offices in Woburn and the United Kingdom. We offer a wide variety of competitive benefits to support our employees' physical, mental and financial well-being. Our benefits package is comprehensive in coverage and offers options to support all employees in staying healthy, planning for their future and developing their careers. Our management continues to assess and respond to the evolving needs of our workforce.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Delaware corporation organized in July 2017. Our principal executive offices are located at 500 Unicorn Park Drive, Suite 303, Woburn, MA 01801, and our telephone number is (781) 222-9600. Our website is www.replimune.com. Information that is contained on, or that can be accessed through, our website is not incorporated by reference into this Annual Report on Form 10-K, and you should not consider information on our website to be part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the investor relations portion of our website our Annual Reports on Form 10-K, Quarterly Reports on Form 10-Q, Current Reports on Form 8-K, Proxy Statements for our annual meetings of stockholders, and amendments to those reports, as soon as reasonably practicable after we file such material with, or furnish it to, the Securities and Exchange Commission, or SEC. These filings are available for download free of charge on the investor relations portion of our website located at https://ir.replimune.com. The SEC also maintains a website that contains reports, proxy and information statements and other information about issuers, like us, that file electronically with the SEC. The address of that website is https://www.sec.gov.</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our audited consolidated financial statements and related notes and “Management’s discussion and analysis of results of operations and financial condition.” If any of the following risks are realized, our business, financial condition, operating results and prospects could be materially and adversely affected. In that event, the price of our common stock could decline, and you could lose part or all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risks that may affect our business, operating results and financial condition include, but are not necessarily limited to, those relating to:</w:t>
      </w:r>
    </w:p>
    <w:p>
      <w:pPr>
        <w:spacing w:after="0" w:line="117" w:lineRule="exact"/>
        <w:rPr>
          <w:sz w:val="20"/>
          <w:szCs w:val="20"/>
          <w:color w:val="auto"/>
        </w:rPr>
      </w:pPr>
    </w:p>
    <w:p>
      <w:pPr>
        <w:ind w:left="660" w:right="4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for our product candidates, and the timing, scope or likelihood of regulatory filings and approvals for any of our product candidates;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any future product candidates based on our novel and proprietary RPx platform and successfully complete clinical trials and prepare for and successfully complete inspections, submissions and reviews of licensing applications;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 for use in combination with other checkpoint blockade therapies, including anti-PD-1;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any product candidate for which we receive regulatory approval and our expectations regarding the size of the patient populations or the market acceptance of our product candidates if approved for commercial use;</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biopharmaceutical companies, biotechnology companies and other third parties and risks associated with such third parties developing or commercializing products more quickly or marketing them more successfully than us;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in the field of immuno-oncology including clinical or commercial developments that may be attributed to our product candidates;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the likelihood that we will continue to incur substantial and increasing net losses in the future, and/or the likelihood that we will require additional financing to achieve our goals;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or alleged violation of any third-party intellectual property rights;</w:t>
      </w:r>
    </w:p>
    <w:p>
      <w:pPr>
        <w:spacing w:after="0" w:line="54" w:lineRule="exact"/>
        <w:rPr>
          <w:rFonts w:ascii="Times New Roman" w:cs="Times New Roman" w:eastAsia="Times New Roman" w:hAnsi="Times New Roman"/>
          <w:sz w:val="18"/>
          <w:szCs w:val="18"/>
          <w:color w:val="auto"/>
        </w:rPr>
      </w:pPr>
    </w:p>
    <w:p>
      <w:pPr>
        <w:ind w:left="660" w:right="10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qualify, obtain approval for, and maintain successful operation, approval and qualification of our in-house manufacturing operations;</w:t>
      </w:r>
    </w:p>
    <w:p>
      <w:pPr>
        <w:spacing w:after="0" w:line="68"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quantities of raw material supplies to build or maintain our product candidate supplies or otherwise operate our in-house manufacturing facility;</w:t>
      </w:r>
    </w:p>
    <w:p>
      <w:pPr>
        <w:spacing w:after="0" w:line="54"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quantities of materials and supplies to conduct our clinical trials, such as comparative, control and/or standard of care therapies including chemotherapeutic agents that are currently in short supply in the industry;</w:t>
      </w:r>
    </w:p>
    <w:p>
      <w:pPr>
        <w:spacing w:after="0" w:line="8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our in-house manufacturing facility and our reliance on third-party collaborators and clinical trial service providers, which may be single or of limited source;</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domestic and foreign laws, rules and regulations and the consequences in the event that we fail to comply with such laws, rules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train and retain additional qualified professionals;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developments and projections relating to our competitors and our industry;</w:t>
      </w:r>
    </w:p>
    <w:p>
      <w:pPr>
        <w:spacing w:after="0" w:line="117" w:lineRule="exact"/>
        <w:rPr>
          <w:rFonts w:ascii="Times New Roman" w:cs="Times New Roman" w:eastAsia="Times New Roman" w:hAnsi="Times New Roman"/>
          <w:sz w:val="18"/>
          <w:szCs w:val="18"/>
          <w:color w:val="auto"/>
        </w:rPr>
      </w:pPr>
    </w:p>
    <w:p>
      <w:pPr>
        <w:ind w:left="660" w:right="10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increased costs associated with tariffs imposed or threatened by the current U.S. administration on pharmaceuticals and pharmaceutical ingredients where there is no available exception;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trade and military conflicts between Russia-Ukraine and Israel-Hamas and U.S.-China, including imposed and threatened tariffs, and other international hostilities and conflicts, and their impact on the global economy and related governmental imposed sanctions and potential material supplies and supply chain disruptions and global or national economic impacts such as inflation.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various stages of development, are not approved for commercial sale and might never receive regulatory approval or become commercially viable. We cannot be certain that we will be able to successfully develop our product candidates or obtain regulatory approval for our product candidates, including following the CRLs we received for our BLA of RP1 in combination with nivolumab for the treatment of advanced melanoma. We have never generated any revenue from product sales and may never be profitable.</w:t>
      </w:r>
    </w:p>
    <w:p>
      <w:pPr>
        <w:spacing w:after="0" w:line="16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All of our product candidates are in various stages of research or clinical development. We have not generated any revenue from the sale of any product to date. Our lead product candidate, RP1, and any other product candidates require extensive preclinical and/or clinical testing and regulatory review from the FDA prior to approval and commercial use. It is possible that the FDA will not approve an application that we may submit, or our product candidates may not obtain appropriate regulatory approvals necessary for us to commence clinical trials for our product candidates. Any delay or failure in obtaining required approvals could have a material adverse effect on our business. For example, in July 2025, we received a CRL from the FDA in connection with our BLA for RP1 in combination with nivolumab for the treatment of advanced melanoma. Following discussions with the agency, in October 2025, the FDA accepted our resubmission of the BLA for RP1. On April 10, 2026, the FDA issued a second CRL in connection with our BLA for RP1 for the treatment of advanced melanoma. On May 29, 2026, we announced that following collaborative communications with the FDA, we will resubmit our BLA for RP1 in combination with nivolumab for the treatment of advanced melanoma. On June 26, 2026 we announced the FDA accepted the BLA resubmission as a Class 1 resubmission with an action date of August 2, 2026. The FDA also stated that they would convene an advisory</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committee meeting in late July 2026. There is no assurance that following the FDAs acceptance of our resubmission of our BLA for RP1 in combination with nivolumab, we will be able to satisfy the FDA’s concerns.</w:t>
      </w:r>
    </w:p>
    <w:p>
      <w:pPr>
        <w:spacing w:after="0" w:line="16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 If we are unable to obtain regulatory approval from the FDA, or any approval contains significant limitations, we may not be able to obtain sufficient funding or generate sufficient revenue to continue the development of RP1.</w:t>
      </w:r>
    </w:p>
    <w:p>
      <w:pPr>
        <w:spacing w:after="0" w:line="208"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In addition, any of our other research and development efforts may not be successful. Furthermore, even if our clinical development efforts result in what we believe to be positive data, our product candidates, including RP1, may not receive regulatory approval or be successfully introduced and marketed at prices that would permit us to operate profitably.</w:t>
      </w:r>
    </w:p>
    <w:p>
      <w:pPr>
        <w:spacing w:after="0" w:line="1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able to commercialize our product candidates if our preclinical studies do not produce successful results and/or our clinical trials do not demonstrate the safety and efficacy of our product candidates.</w:t>
      </w:r>
    </w:p>
    <w:p>
      <w:pPr>
        <w:spacing w:after="0" w:line="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occurrence of unexpected or unacceptable adverse events or the failure to demonstrate efficacy in clinical trials. Clinical development is expensive and can take many years to complete, and its outcome is inherently uncertain.</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results of preclinical studies, preliminary study results, and early clinical trials of our product candidates may not be predictive of the results of later stage clinical trials. Our product candidates may not perform as we expect, may ultimately have a different or no impact on tumors, may have a different mechanism of action than we expect in humans, and may not ultimately prove to be safe and effective.</w:t>
      </w:r>
    </w:p>
    <w:p>
      <w:pPr>
        <w:spacing w:after="0" w:line="9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Preliminary and final results from preclinical studies and early stage trials, and trials in compounds that we believe are similar to ours, may not be representative of results that are found in larger, controlled, blinded, and longer-term studies. Product candidates may fail at any stage of preclinical or clinical development. Product candidates may fail to show the desired safety and efficacy traits even if they have progressed through preclinical studies or initial clinical trials. Preclinical studies and clinical trials may also reveal unfavorable product candidate characteristics, including safety concerns. A number of companies in the biopharmaceutical industry have suffered significant setbacks in clinical trials, notwithstanding promising results in earlier preclinical studies or clinical trials or promising mechanisms of action.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Moreover, should there be an issue with the design of a clinical trial, our results may be impacted. We may not discover such a flaw until the clinical trial is at an advanced stage, the data is being reviewed or during the license application process.</w:t>
      </w:r>
    </w:p>
    <w:p>
      <w:pPr>
        <w:spacing w:after="0" w:line="1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conduct a clinical trial at a prospective trial site, or amend trial protocols, or may require that we modify or amend our clinical trial protocols;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and/or contract research organizations, or CROs;</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53"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findings of undesirable effects caused by a chemically or mechanistically similar therapeutic or therapeutic candidate;</w:t>
      </w:r>
    </w:p>
    <w:p>
      <w:pPr>
        <w:spacing w:after="0" w:line="117" w:lineRule="exact"/>
        <w:rPr>
          <w:sz w:val="20"/>
          <w:szCs w:val="20"/>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facilities or the manufacturing process for our product candidates may impact how our product candidates perform in clinical trials;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could be adopted in marketing approval policies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statutes or regulations could be amended or new ones could be adopted;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could be adopted in the regulatory review process for submitted product applications;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BLA or equivalent authorizations from comparable foreign regulatory authorities;</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we may not be able to obtain them on favorable terms due to reasons, such as international trade policies and supply chain disruptions, including the imposition of tariffs;</w:t>
      </w:r>
    </w:p>
    <w:p>
      <w:pPr>
        <w:spacing w:after="0" w:line="54"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or gather, as applicable, additional clinical trials, analyses, reports, data, or preclinical trials, or we may abandon product development programs. For example, the FDA may determine that larger trials, Phase 3 trials, randomized and controlled clinical trials, or clinical trials designed to replicate results found in our registrational or pivotal trials are required before we may file a BLA or before the FDA will approve or maintain a marketing application;</w:t>
      </w:r>
    </w:p>
    <w:p>
      <w:pPr>
        <w:spacing w:after="0" w:line="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 and the FDA or comparable foreign regulatory authorities may require changes to our study designs or study data analysis that may make further study impractical or not financially prudent;</w:t>
      </w:r>
    </w:p>
    <w:p>
      <w:pPr>
        <w:spacing w:after="0" w:line="6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ultimately disagree with the design or our conduct of our preclinical studies or clinical trials, finding that they do not support product candidate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 or may find that such data is not sufficiently representative;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testing, comparability or quality processes or our manufacturing facilities for clinical and future commercial supplies and may delay approval, refuse to approve or rescind approval of a product candidate;</w:t>
      </w:r>
    </w:p>
    <w:p>
      <w:pPr>
        <w:spacing w:after="0" w:line="67"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including our registration directed or registration intended trials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3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decide that our intended pathways, including accelerated approval, are not appropriate for our product candidates, requiring that we</w:t>
      </w:r>
    </w:p>
    <w:p>
      <w:pPr>
        <w:spacing w:after="0" w:line="49" w:lineRule="exact"/>
        <w:rPr>
          <w:rFonts w:ascii="Times New Roman" w:cs="Times New Roman" w:eastAsia="Times New Roman" w:hAnsi="Times New Roman"/>
          <w:sz w:val="18"/>
          <w:szCs w:val="18"/>
          <w:color w:val="auto"/>
        </w:rPr>
      </w:pPr>
    </w:p>
    <w:p>
      <w:pPr>
        <w:jc w:val="both"/>
        <w:ind w:left="660" w:right="2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studies. For example, in recent years the accelerated approval pathway has come under significant FDA and public scrutiny. Accordingly, depending on the results of our studies, the FDA may be more conservative in granting accelerated approval or, if granted, may be more apt to withdrawal approval if clinical benefit is not confirmed. For instance, our confirmatory studies may not confirm a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right="40"/>
        <w:spacing w:after="0" w:line="289" w:lineRule="auto"/>
        <w:rPr>
          <w:sz w:val="20"/>
          <w:szCs w:val="20"/>
          <w:color w:val="auto"/>
        </w:rPr>
      </w:pPr>
      <w:r>
        <w:rPr>
          <w:rFonts w:ascii="Times New Roman" w:cs="Times New Roman" w:eastAsia="Times New Roman" w:hAnsi="Times New Roman"/>
          <w:sz w:val="17"/>
          <w:szCs w:val="17"/>
          <w:color w:val="auto"/>
        </w:rPr>
        <w:t>clinical benefit, in which case, the FDA could withdraw the product from the market, we may choose to voluntarily withdraw the product from the market, or we may need to conduct further studies to determine whether the product has a clinical benefit. Even if accelerated approval is granted, payors, including governmental payors, may be less welling to provide sufficient reimbursement for products approved via accelerated approval;</w:t>
      </w:r>
    </w:p>
    <w:p>
      <w:pPr>
        <w:spacing w:after="0" w:line="50" w:lineRule="exact"/>
        <w:rPr>
          <w:sz w:val="20"/>
          <w:szCs w:val="20"/>
          <w:color w:val="auto"/>
        </w:rPr>
      </w:pPr>
    </w:p>
    <w:p>
      <w:pPr>
        <w:ind w:left="660" w:right="1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any special designations that our product candidates have received, including breakthrough designation. For instance, the FDA may find that, following designation, our product candidates no longer qualify for the designation due to changed circumstances or study results. This may result in the FDA rescinding a designation that we previously received. Any such designation also may not expedite or otherwise facilitate product development;</w:t>
      </w:r>
    </w:p>
    <w:p>
      <w:pPr>
        <w:spacing w:after="0" w:line="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or necessary inspections before an approval can be issued may be delayed;</w:t>
      </w:r>
    </w:p>
    <w:p>
      <w:pPr>
        <w:spacing w:after="0" w:line="94" w:lineRule="exact"/>
        <w:rPr>
          <w:rFonts w:ascii="Times New Roman" w:cs="Times New Roman" w:eastAsia="Times New Roman" w:hAnsi="Times New Roman"/>
          <w:sz w:val="18"/>
          <w:szCs w:val="18"/>
          <w:color w:val="auto"/>
        </w:rPr>
      </w:pPr>
    </w:p>
    <w:p>
      <w:pPr>
        <w:ind w:left="660" w:right="20" w:hanging="328"/>
        <w:spacing w:after="0" w:line="245"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there may be events outside of our control, including, with respect to the budget, staffing, and funding of the U.S. Federal government, the FDA’s ability to hire and retain key personnel, the FDA’s ability to accept user fees, and other regulatory and policy changes. Disruptions at the FDA may slow the time to approval of a new drug or may otherwise impact our ability to obtain guidance from and interact with the agency. For instance, in recent years, the U.S. Federal government has experienced shutdowns. Should there be a prolonged government shutdown, it could significantly impact the ability of the FDA to review or slow the FDA in its review of any of our submissions or applications, which could have a materially adverse impact on our business;</w:t>
      </w:r>
    </w:p>
    <w:p>
      <w:pPr>
        <w:spacing w:after="0" w:line="210" w:lineRule="exact"/>
        <w:rPr>
          <w:rFonts w:ascii="Arial" w:cs="Arial" w:eastAsia="Arial" w:hAnsi="Arial"/>
          <w:sz w:val="22"/>
          <w:szCs w:val="22"/>
          <w:color w:val="auto"/>
        </w:rPr>
      </w:pPr>
    </w:p>
    <w:p>
      <w:pPr>
        <w:ind w:left="660" w:right="120" w:hanging="328"/>
        <w:spacing w:after="0" w:line="27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within the FDA, including its leadership may impede or delay our ability to develop and obtain approval for our product candidates, including due to changing priorities and policies. By example, over the last year, there have been a number of different leadership changes within the agency, which may continue; and</w:t>
      </w:r>
    </w:p>
    <w:p>
      <w:pPr>
        <w:spacing w:after="0" w:line="6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8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Our development costs will also increase if we experience delays in testing or approvals, and we may not have sufficient funding to complete the testing and approval process for any of our product candidates. We will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these occur, our business, financial condition, results of operations, stock price and prospects may be materially harmed.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data may not accurately reflect the complete results of a particular study or trial.</w:t>
      </w:r>
    </w:p>
    <w:p>
      <w:pPr>
        <w:spacing w:after="0" w:line="243"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We may publicly disclose topline or interim data from time to time, which is based on a preliminary analysis of then-available efficacy and safety data. As topline or interim data,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and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and interim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and interim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product candidates will be used in combination with third-party drugs, some of which are still in development, and we have limited or no control over the supply, regulatory status, or regulatory approval of such drugs.</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product candidates may be administered in combination with checkpoint blockade drugs, a class of drugs that are intended to stop tumor cells from “switching off” an immune system attack against themselves. We have entered into agreements with BMS for the supply of nivolumab, its anti-PD-1 therapy, for use in connection with our ongoing IGNYTE Phase 1/2 trials with RP1, our Phase 1/2 clinical trial with RP2 and our Phase 1 and Phase 2 clinical trials with RP3 where we decide to use nivolumab. We have also entered into a clinical collaboration agreement with Regeneron, which includes the supply of cemiplimab, its anti-PD-1 therapy, for clinical trials conducted thereunder. Additionally, our signal finding study in HCC is being developed in combination with atezolizumab and bevacizumb under a supply and clinical collaboration agreement with Roche. We may enter into additional agreements for the supply of anti-PD-1 products for use in combination with and for the continued development of one or more of our product candidates. Although we have entered into such collaboration and supply agreements, and may continue to do so, our partners may remain in control of the supply and other decisions relating to their products or product candidates and we rely on their adherence to the terms of such agreements for the proper execution of their obligations. Our ability to develop and ultimately commercialize our product candidates used in combination with nivolumab, cemiplimab, atezolizumab, bevacizumab or any other checkpoint blockade therapy will depend on our ability to access such drugs on commercially reasonable terms for the clinical trials and their availability for use with the commercialized product, if approved. We cannot be certain that current or potential future commercial relationships will provide us with a steady supply of such drugs on commercially reasonable terms or at all.</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availability and expense of purchasing checkpoint blockade therapies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spacing w:after="0" w:line="1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the development of our product candidates for use in combination with another product or product candidate may present challenges that are not faced for single agent product candidates. While we have opened a clinical trial for use of RP1 as a monotherapy, we are generally developing RP1 and our other product candidates for use in combination with anti-PD-1 or potentially anti-PD(L)-1 therapies and may develop RP1 or our other product candidates for use with other therapies. Although we intend for some of our trials to support registrational filings, the FDA may require us to use more complex clinical trial designs in order to evaluate the contribution of each product and product candidate to any observed effects. It is possible that the results of these trials could show that any positive previous trial results are attributable to the therapy with which our products were combined and not our product candidates. Moreover, following product approval, the FDA may require that products used in conjunction with each other be cross-labeled for combined use or the FDA may pull back a previously granted marketing license if a confirmational trial does not result in data supporting an earlier approval. To the extent that we do not have rights to the other product, this may require us to work with a third party to satisfy such a requirement. Developments related to the other product may further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event that BMS or Roche or any future collaborator or supplier cannot continue to supply their products on commercially reasonable terms or at all, we would need to identify alternatives for accessing an anti-PD-1 therapy. Additionally, should the supply of products from BMS or Roche or any of our current or future collaborators or suppliers be interrupted, delayed or otherwise be unavailable to us, our clinical trials may be delayed, interrupted or halted. In the event we are unable to source a supply of an acceptable alternative anti-PD-1 therapy, or are unable to do so on commercially reasonable terms, our business, financial condition, results of operations, stock price and prospects may be materially harmed.</w:t>
      </w:r>
    </w:p>
    <w:p>
      <w:pPr>
        <w:spacing w:after="0" w:line="3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underlying problem with our proprietary RPx platform would adversely affect our business and may require us to discontinue development of product candidates based on the same or similar therapeutic approaches.</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invested, and we expect to continue to invest, significant efforts and financial resources in the development of product candidates based on our RPx platform. Our ability to generate any revenues from the sale of our product candidates will depend heavily on the successful development, regulatory approval and commercialization of one or more of these product candidates using our RPx platform. Since all of the product candidates in our current pipeline are based on our proprietary RPx platform, if any of our product candidates fail in development as a result of any underlying problem with our proprietary RPx platform, then we may be required to discontinue development of all product candidates that are based on our RPx platform. If we were required to discontinue development of our product candidates that are based on our RPx platform, or if any of them were to fail to receive regulatory approval or achieve sufficient market acceptance, we could be prevented from or significantly delayed in achieving profitability. We can provide no assurance that we would be successful at developing other product candidates based on an alternative therapeutic approach from our RPx platform.</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additional product candidates, our commercial opportunity could be limited.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While our lead product candidate is RP1, we intend to continue to pursue clinical development of additional product candidates, including RP2 and, in the future potentially reinitiating development plans with RP3. Developing, obtaining marketing approval for, and commercializing additional product candidates will require substantial additional funding and will be subject to the risks of failure inherent in medical product development. We cannot assure our shareholders that we will be able to successfully advance any of these additional product candidates through the development process.</w:t>
      </w:r>
    </w:p>
    <w:p>
      <w:pPr>
        <w:spacing w:after="0" w:line="9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Even if we obtain approval from the FDA or comparable foreign regulatory authorities to market additional product candidates for the treatment of solid tumors, we cannot assure our shareholders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development efforts are successful, we may not obtain regulatory approval for any of our product candidates in the United States or other jurisdictions, which would prevent us from commercializing our product candidates. 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or sell any of our product candidates before we receive regulatory approval from the FDA or comparable foreign regulatory authorities, and we may never receive such regulatory approval for any of our product candidates.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(remotely or in person) of manufacturing facilities and clinical trial sites by, the regulatory authorities. If we do not receive approval from the FDA and comparable foreign regulatory authorities for any of our product candidates, we will not be able to commercialize such product candidates in the United States or in other jurisdictions. If significant delays in obtaining approval for and commercializing our product candidates occur in any jurisdiction, our business, financial condition, results of operations, stock price and prospects will be materially harmed. Even if our product candidates are approved, they may:</w:t>
      </w:r>
    </w:p>
    <w:p>
      <w:pPr>
        <w:spacing w:after="0" w:line="80" w:lineRule="exact"/>
        <w:rPr>
          <w:sz w:val="20"/>
          <w:szCs w:val="20"/>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limitations on the indicated uses or patient populations for which they may be marketed, distribution restrictions, or other conditions of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significant safety warnings, including boxed warnings, contraindications, and precautions;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approved with label statements necessary or desirable for successful commercialization; or</w:t>
      </w:r>
    </w:p>
    <w:p>
      <w:pPr>
        <w:spacing w:after="0" w:line="15" w:lineRule="exact"/>
        <w:rPr>
          <w:rFonts w:ascii="Times New Roman" w:cs="Times New Roman" w:eastAsia="Times New Roman" w:hAnsi="Times New Roman"/>
          <w:sz w:val="18"/>
          <w:szCs w:val="18"/>
          <w:color w:val="auto"/>
        </w:rPr>
      </w:pPr>
    </w:p>
    <w:p>
      <w:pPr>
        <w:ind w:left="660" w:right="320" w:hanging="328"/>
        <w:spacing w:after="0" w:line="24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requirements for costly post-market testing and surveillance, or other requirements, including the submission of a REMS or equivalent post-marketing measures to monitor the safety or efficacy of the products.</w:t>
      </w:r>
    </w:p>
    <w:p>
      <w:pPr>
        <w:spacing w:after="0" w:line="20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previously submitted a BLA to the FDA for our lead product candidate, RP1. In January 2025, the FDA accepted our BLA and granted priority review with a PDUFA action date of July 22, 2025. On July 21, 2025 the FDA issued a CRL stating it was not able to approve the BLA for RP1 in its present form. Following discussions with the agency, in October 2025 the FDA accepted our resubmission of the BLA for RP1. On April 10, 2026 the FDA issued a second CRL to our BLA for RP1 for the treatment of advanced melanoma. On May 29, 2026, we announced that following collaborative communications with the FDA, we will resubmit our BLA for RP1 in combination with nivolumab for the treatment of advanced melanoma. On June 26, 2026 we announced the FDA accepted the BLA resubmission as a Class 1 resubmission with an action date of August 2, 2026. The FDA also stated that they would convene an advisory committee meeting in late July 2026. There can be no assurance that the deficiencies identified in the CRLs will be addressed to the FDA’s satisfaction in the resubmitted BLA.</w:t>
      </w:r>
    </w:p>
    <w:p>
      <w:pPr>
        <w:spacing w:after="0" w:line="214"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8"/>
          <w:szCs w:val="18"/>
          <w:color w:val="auto"/>
        </w:rPr>
        <w:t>Furthermore, the FDA retains the right not to approve the BLA or to require additional information, or to raise additional issues to support regulatory approval of RP1, which could further delay or prevent its approval or limit the approved commercial use. The FDA could also require post-market commitments or requirements following an approval that are onerous, costly or may not be feasible in the time required by the FDA and that ultimately limit or inhibit the continued development or commercialization of RP1. In addition, either the substance of the items identified by the FDA in either or both of the CRLs, or the CRLs themselves, could have an adverse impact on our efforts to obtain marketing authorization for RP1 from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Our ability to market, sell, distribute, obtain acceptable reimbursement for, set pricing for, and continue to operate and develop RP1 may be further delayed, adversely affected or prevented altogether. If we discontinue the development of RP1, we may be forced to implement a restructuring plan, which could have an adverse impact on our ability to efficiently commercialize our other product candidates, if approved. Additionally, a restructuring plan could result in disruptions to our business including potential impairment charges, restructuring costs, or costs that are greater than expected. We may ultimately be prevented from or significantly delayed in achieving profitability and our business, financial condition, results of operations, stock price and prospects may be materially harmed.</w:t>
      </w:r>
    </w:p>
    <w:p>
      <w:pPr>
        <w:spacing w:after="0" w:line="19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our product candidates as expected, and our ability to generate revenue may be materially impaired.</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These regulatory requirements may require us to amend our clinical trial protocols, conduct additional preclinical studies or clinical trials that may require regulatory or IRB approval, require additional or different analysis of clinical data or otherwise cause delays in the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or a comparable foreign regulatory authority may determine that our product candidates have undesirable side effects that could delay or prevent their regulatory approval or commercialization.</w:t>
      </w:r>
    </w:p>
    <w:p>
      <w:pPr>
        <w:spacing w:after="0" w:line="9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undesirable side effects or serious adverse events will not be caused by or associated with RP1 or our other product candidates as they continue through or enter clinical development. Serious adverse events or 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The FDA or comparable foreign regulatory authority requests for additional data or information could also result in substantial delays in the approval of our product candidates.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our product candidates. Undesirable side effects may limit the potential market for any approved products or could result in the discontinuation of the sales and marketing of the product, or withdrawal of product approvals. Later discovered undesirable side effects may further result in the imposition of a REMS, label revisions, post approval study requirements, or other testing and surveillance.</w:t>
      </w:r>
    </w:p>
    <w:p>
      <w:pPr>
        <w:spacing w:after="0" w:line="1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associated with serious adverse events or undesirable side effects or have properties that are unexpected, we may need to abandon development or limit development of that product candidate to certain uses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167"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subject to review by an FDA advisory committee, and an unfavorable recommendation could adversely affect our business.</w:t>
      </w:r>
    </w:p>
    <w:p>
      <w:pPr>
        <w:spacing w:after="0" w:line="185" w:lineRule="exact"/>
        <w:rPr>
          <w:sz w:val="20"/>
          <w:szCs w:val="20"/>
          <w:color w:val="auto"/>
        </w:rPr>
      </w:pPr>
    </w:p>
    <w:p>
      <w:pPr>
        <w:jc w:val="both"/>
        <w:ind w:right="380"/>
        <w:spacing w:after="0"/>
        <w:rPr>
          <w:sz w:val="20"/>
          <w:szCs w:val="20"/>
          <w:color w:val="auto"/>
        </w:rPr>
      </w:pPr>
      <w:r>
        <w:rPr>
          <w:rFonts w:ascii="Times New Roman" w:cs="Times New Roman" w:eastAsia="Times New Roman" w:hAnsi="Times New Roman"/>
          <w:sz w:val="18"/>
          <w:szCs w:val="18"/>
          <w:color w:val="auto"/>
        </w:rPr>
        <w:t>The FDA may convene an advisory committee to review and evaluate data relating to one or more of our product candidates. Advisory committees are comprised of independent experts who provide recommendations to the FDA regarding the approval, labeling, post-marketing requirements, and other regulatory matters associated with product candidates. Although the FDA is not bound by an advisory committee's recommendation, it generally gives significant weight to the committee's views when making regulatory decisions.</w:t>
      </w:r>
    </w:p>
    <w:p>
      <w:pPr>
        <w:spacing w:after="0" w:line="212"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If an advisory committee reviewing one of our product candidates recommends against approval, expresses concerns regarding the safety, efficacy, manufacturing, labeling, or risk-benefit profile of the product candidate, or recommends additional clinical studies or other requirements, the FDA may delay, limit, or deny approval. Even if the advisory committee ultimately recommends approval, the FDA may impose significant restrictions on the approved indication, require post-marketing commitments, or otherwise limit the commercial opportunity for the product candidate.</w:t>
      </w:r>
    </w:p>
    <w:p>
      <w:pPr>
        <w:spacing w:after="0" w:line="20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announcement of an advisory committee meeting, the committee's deliberations, the publication of briefing materials, or the committee's recommendation may create significant uncertainty regarding the regulatory prospects of our product candidates and could result in substantial volatility in the market price of our common stock. An unfavorable outcome could materially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 stage clinical trials towards approval and commercialization, it is common that various aspects of the development program, such as manufacturing methods, facilities, equipment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or notification to, or approval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w:t>
      </w:r>
    </w:p>
    <w:p>
      <w:pPr>
        <w:spacing w:after="0" w:line="18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by the FDA or comparable foreign regulatory authorities is limited to those specific indications and conditions for which approval has been granted, and we may be subject to substantial fines, penalties, injunctions, or other enforcement actions, including criminal actions, if we are determined to be promoting the use of our products for unapproved or “off label” uses, resulting in damage to our reputation and business.</w:t>
      </w:r>
    </w:p>
    <w:p>
      <w:pPr>
        <w:spacing w:after="0" w:line="18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 label uses, and our business, financial condition, results of operations, stock price and prospects may be materially harmed. We also must sufficiently substantiate any claims that we make for our products, including claims comparing our products to other companies’ products, and must abide by the FDA’s and comparable foreign regulatory authorities’ strict requirements regarding the content of promotion and advertising.</w:t>
      </w:r>
    </w:p>
    <w:p>
      <w:pPr>
        <w:spacing w:after="0" w:line="2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relevant regulatory authorities. These off 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 label use.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 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 label promotion. The FDA has also requested that companies enter into consent decrees or permanent injunctions under which specified promotional conduct is changed or curtailed.</w:t>
      </w:r>
    </w:p>
    <w:p>
      <w:pPr>
        <w:spacing w:after="0" w:line="20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 label uses can also subject us to false claims and other litigation under federal and state statutes. These include fraud and abuse and consumer protection laws, which can lead to civil and criminal penalties and fines and agreements with governmental authorities that materially restrict the manner in which we promote or distribute therapeutic products and conduct our business. These restrictions could include corporate integrity agreements and non- or deferred prosecution agreements and could lead to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In addition, False Claims Act lawsuits may expose manufacturers to follow-on claims by private payers based on fraudulent marketing practices. This growth in litigation has increased the risk that a biopharmaceutical company will have to defend a false claims action, pay civil penalties, criminal fines or restitution,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 promotion of biopharmaceutical products is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88"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comparable foreign regulatory authorities, including requirements related to the manufacturing processes, post approval clinical data, labeling, packaging, distribution, adverse event reporting, supply obligations and shortage reporting, risk management plans, supply chain security,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or cGMP, requirements relating to manufacturing, quality control, quality assurance, and corresponding maintenance of records and documents, and good clinical practices, or GCPs, for any clinical trials that we conduct post approval.</w:t>
      </w:r>
    </w:p>
    <w:p>
      <w:pPr>
        <w:spacing w:after="0" w:line="121"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8"/>
          <w:szCs w:val="18"/>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 approval studies or post-market surveillance. Any such restrictions could limit sales of the product.</w:t>
      </w:r>
    </w:p>
    <w:p>
      <w:pPr>
        <w:spacing w:after="0" w:line="4"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We and any of our suppliers or collaborators, including our contract manufacturers, could be subject to periodic unannounced inspections by the FDA or other comparable foreign regulatory authorities to monitor and ensure compliance with cGMPs and other regulatory requirements. Application holders must further notify the FDA, and depending on the nature of the change, obtain FDA preapproval for product and manufacturing changes.</w:t>
      </w:r>
    </w:p>
    <w:p>
      <w:pPr>
        <w:spacing w:after="0" w:line="13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boxed warnings, contraindications, precautions, and restrictions on the approved indication or 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similar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candidate is administered;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conducting a review into safety information, or issuance of safety alerts, Dear Healthcare Provider letters, press releases, or other communications containing warnings or other safety information about the product candidate;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5" w:lineRule="exact"/>
        <w:rPr>
          <w:rFonts w:ascii="Times New Roman" w:cs="Times New Roman" w:eastAsia="Times New Roman" w:hAnsi="Times New Roman"/>
          <w:sz w:val="18"/>
          <w:szCs w:val="18"/>
          <w:color w:val="auto"/>
        </w:rPr>
      </w:pPr>
    </w:p>
    <w:p>
      <w:pPr>
        <w:ind w:left="660" w:right="220" w:hanging="328"/>
        <w:spacing w:after="0" w:line="23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procurement and non-procurement programs, and refusal of orders under existing government contracts, exclusion from federal healthcare programs, consent decrees, corporate integrity agreements, or non- or deferred prosecution agreements;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the imposition of civil penalties, criminal fines, or imprisonment.</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93"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Further, action in one country may lead to similar or different action in another. Changes in medical practice and standard of care may also impact the marketability of our product candidates.</w:t>
      </w:r>
    </w:p>
    <w:p>
      <w:pPr>
        <w:spacing w:after="0" w:line="1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Should any of the above actions take place, we could be prevented from or significantly delayed in achieving profitability. Further, the cost of compliance with post approval regulations may have a negative effect on our operations and business and could adversely impact our business, financial condition, results of operations, stock price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conduct clinical trials for product candidates outside the United States, and the FDA and comparable foreign regulatory authorities may not accept data from such trials.</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currently conduct clinical trials outside the United States. The acceptance by the FDA or comparable foreign regulatory authority of study data from clinical trials conducted outside the United States or another 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Even if the foregoing is complied with, there can be no assurance that the FDA or any comparable foreign regulatory authority will accept data from trials conducted outside of the United States or the applicable jurisdiction. By example, over the last year, new policies have been proposed to encourage companies to conduct clinical trials in the United States. If the FDA or any comparable foreign regulatory authority does not accept 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w:t>
      </w:r>
    </w:p>
    <w:p>
      <w:pPr>
        <w:spacing w:after="0" w:line="19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7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RP1 or any of our other product candidates, comparable foreign regulatory authorities must also approve the manufacturing, marketing and promotion of the product candidate in those countries. The CRLs that we have received for RP1 may also impact foreign regulatory authorities’ willingness to grant marketing authorization in their countries. Approval procedures vary among jurisdictions and can involve requirements and administrative review periods different from and, in some cases,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Additionally, with the full departure of the United Kingdom from the European Union in January 2021, commonly referred to as Brexit, there is continuing regulatory uncertainty in the United Kingdom. Since a significant proportion of the regulatory framework in the United Kingdom is derived from European Union directives and regulations, and the degree to which the United Kingdom and European Union regulatory regimes align or diverge could materially impact the execution of our clinical trials or approval of our product candidates in the United Kingdom or the European Union.</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RP1 or any of our other product candidates for which we receive regulatory approval, or experience significant delays in doing so, our business will be materially harmed.</w:t>
      </w:r>
    </w:p>
    <w:p>
      <w:pPr>
        <w:spacing w:after="0" w:line="9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RP1 or any of our other product candidates, our ability to generate revenues from our product candidates will depend on our success in:</w:t>
      </w:r>
    </w:p>
    <w:p>
      <w:pPr>
        <w:spacing w:after="0" w:line="54" w:lineRule="exact"/>
        <w:rPr>
          <w:sz w:val="20"/>
          <w:szCs w:val="20"/>
          <w:color w:val="auto"/>
        </w:rPr>
      </w:pPr>
    </w:p>
    <w:p>
      <w:pPr>
        <w:ind w:left="5540" w:right="3340" w:hanging="5208"/>
        <w:spacing w:after="0" w:line="970"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whether alone or in collaboration with others;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7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 approved label with claims that are necessary or desirable for successful marketing, and that does not contain safety or other limitations that would impede our ability to market the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our product candidates through marketing, sales and promotion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product candidates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product candidates in sufficient quantities and at acceptable quality and cost to meet commercial demand at launch and thereafter;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partnerships with, or offering licenses to, third parties to promote and sell product candidates in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or alleged violation of any third-party intellectual property rights;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appropriate coverage, pricing and reimbursement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and efficacy profile of our product candidates following launch.</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15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oncolytic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our product candidates are intended to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19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authority approval for their products more rapidly than we may obtain approval for ours, which could result in our competitors establishing a strong market position before we are able to enter the market. Further, depending on the specific competing product, earlier approval of a competitor’s products could block us from receiving approval and could require that we change our development strategy. In addition, our ability to compete may be affected in many cases by insurers or other third-party payors coverage decisions or third-party intellectual property rights that another may allege are violated by our product candidates.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training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and when our product candidates receive marketing approval, we intend to commercialize our product candidates on our own in the United States and potentially with pharmaceutical or biotechnology partners in other geographies. In order to commercialize our products, we must continue to build our marketing, sales, and distribution capabilities or make arrangements with third parties to perform these services, and we may not be successful in doing so. We have incurred and we expect we will continue to incur expenses prior to product launch or even approval in order to recruit a sales force and develop a marketing and sales infrastructure. If a commercial launch is delayed as a result of FDA or comparable foreign regulatory authority requirements or other reasons, we would incur these expenses prior to being able to realize any revenue from sales of our product candidates. Our sales force and marketing teams may not be successful in commercializing our product candidates. This may be costly, and our investment would be lost if we cannot retain or reposition our sales and marketing personnel.</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biopharmaceutical products, and there are significant risks involved in building, managing, growing and operating a commercial infrastructure. The establishment and development of commercial capabilities, including compliance plans, to market any products we may develop is, and will continue to be expensive and time consuming and could delay any product launch, and we may not be able to successfully develop this capability. We have and will continue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spacing w:after="0" w:line="106"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In the event we are unable to develop an effective marketing and sales infrastructure, we may not be able to commercialize our product candidates in the United States or elsewhere in an effective manner,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5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pricing and reimbursement by government and private health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comparable foreign regulatory authorities or to which we agree as part of a mandatory REMS or voluntary risk management plan;</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intellectual property rights that another may allege are violated by our product candidates;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 or engaging a contract sales organization.</w:t>
      </w:r>
    </w:p>
    <w:p>
      <w:pPr>
        <w:spacing w:after="0" w:line="200" w:lineRule="exact"/>
        <w:rPr>
          <w:sz w:val="20"/>
          <w:szCs w:val="20"/>
          <w:color w:val="auto"/>
        </w:rPr>
      </w:pPr>
    </w:p>
    <w:p>
      <w:pPr>
        <w:spacing w:after="0" w:line="303"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evolve from a company primarily involved in research and development to a company also expected to be involved in commercialization, we may encounter difficulties in managing our growth and expanding our operations successfully.</w:t>
      </w:r>
    </w:p>
    <w:p>
      <w:pPr>
        <w:spacing w:after="0" w:line="18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anticipate that, as our operations expand and, assuming that our development, testing, studies and trials are successful, we will need to expand our internal manufacturing, marketing and sales capabilities. Managing our future growth will impose significant added responsibilities on members of our management team and will be time consuming and costly. We must be able to manage our development efforts effectively; manage our clinical trials effectively; hire, train and integrate additional management, development, administrative and sales and marketing personnel; and improve managerial, development, operational and finance systems, all of which may impose a strain on our administrative and operational infrastructure.</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approach to the treatment of cancer, which makes it difficult to predict the time and cost of product candidate development.</w:t>
      </w:r>
    </w:p>
    <w:p>
      <w:pPr>
        <w:spacing w:after="0" w:line="17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have concentrated all of our research and development efforts on our product candidates based on our proprietary RPx platform, and our future success depends on the successful development of this therapeutic approach. There can be no assurance that any development problems we experience in connection with our product candidates, whether arising from our past work, or future work, will not cause significant delays or unanticipated costs, or that such development problems can be solved. Should we encounter development problems, including unfavorable preclinical or clinical trial results, the FDA and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 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oncolytic immunotherapies. Limited immunotherapies, particularly oncolytic immunotherapies, have received FDA approval to date. Any product candidates that are approved may be subject to extensive post approval regulatory requirements, including requirements pertaining to manufacturing, distribution, and promotion. We may need to devote significant time and resources to compliance with these requirements.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broad market acceptance, the revenues that we generate from their sales may be limited, and we may never become profitable.</w:t>
      </w:r>
    </w:p>
    <w:p>
      <w:pPr>
        <w:spacing w:after="0" w:line="9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could be prevented from or significantly delayed in achieving profitability.</w:t>
      </w:r>
    </w:p>
    <w:p>
      <w:pPr>
        <w:spacing w:after="0" w:line="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efforts to educate the medical community and third 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out of our control, including the following:</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 in combination with marketed checkpoint blockade drugs;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the checkpoint blockade drugs with which our products are co-administered;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product candidates or those products with which they are co-administered;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product candidates that may be more restrictive than other competitive products;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product candidates, which could reduce the marketing impact of any claims that we could make following FDA approval or approval by comparable foreign regulatory authorities, if obtained;</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candidates by direct injection into tumors, a less common method for the administration of oncology therapies than systemic administration, which may result in slower adoption of our therapies;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products with which our product candidates are co-administered;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 party payors to obtain coverage;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product candidates or to which we agree as part of a REMS or voluntary risk management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manufacturing operations and our third-party manufacturer and supplier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companies that market any products with which our product candidates are co-administered;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candidates or any products with which they are co-administered, or favorable publicity about competitive products;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3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185" w:lineRule="exact"/>
        <w:rPr>
          <w:sz w:val="20"/>
          <w:szCs w:val="20"/>
          <w:color w:val="auto"/>
        </w:rPr>
      </w:pPr>
    </w:p>
    <w:p>
      <w:pPr>
        <w:ind w:right="60" w:firstLine="486"/>
        <w:spacing w:after="0" w:line="237" w:lineRule="auto"/>
        <w:rPr>
          <w:sz w:val="20"/>
          <w:szCs w:val="20"/>
          <w:color w:val="auto"/>
        </w:rPr>
      </w:pPr>
      <w:r>
        <w:rPr>
          <w:rFonts w:ascii="Times New Roman" w:cs="Times New Roman" w:eastAsia="Times New Roman" w:hAnsi="Times New Roman"/>
          <w:sz w:val="18"/>
          <w:szCs w:val="18"/>
          <w:color w:val="auto"/>
        </w:rPr>
        <w:t>Sales of any approved drug candidate will depend in part on the availability of coverage, pricing and reimbursement from third-party payers such as government insurance programs, including, but not limited to, Medicare and Medicaid, private health insurers, health maintenance organizations and other health care related organizations, who are increasingly challenging the price of medical products and services. Accordingly, coverage, pricing and reimbursement may be uncertain. Adoption of any drug by the medical community may be limited if third-party payers will not offer adequate formulary coverage. Additionally, significant uncertainty exists as to the reimbursement status of newly-approved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Inflation Reduction Act of 2022, or IRA, includes several measures intended to lower the cost of prescription drugs and related healthcare reforms, including limits on price increases, inflation and non-compliance penalties, and subjecting an escalating number of drugs to annual maximum fair price negotiations with CMS. We cannot be sure whether additional legislation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 Similarly, several states have established prescription drug affordability boards that set upper payment limits (maximum prices that can be charged for specific drugs) for select high-cost drugs. We cannot be sure whether additional state legislation related to price caps will be enacted, or what impact, if any, such changes will have on the profitability of any of our drug candidates, if approved for commercial use, in the future.</w:t>
      </w:r>
    </w:p>
    <w:p>
      <w:pPr>
        <w:spacing w:after="0" w:line="217" w:lineRule="exact"/>
        <w:rPr>
          <w:sz w:val="20"/>
          <w:szCs w:val="20"/>
          <w:color w:val="auto"/>
        </w:rPr>
      </w:pPr>
    </w:p>
    <w:p>
      <w:pPr>
        <w:jc w:val="both"/>
        <w:ind w:right="720" w:firstLine="486"/>
        <w:spacing w:after="0" w:line="266" w:lineRule="auto"/>
        <w:rPr>
          <w:sz w:val="20"/>
          <w:szCs w:val="20"/>
          <w:color w:val="auto"/>
        </w:rPr>
      </w:pPr>
      <w:r>
        <w:rPr>
          <w:rFonts w:ascii="Times New Roman" w:cs="Times New Roman" w:eastAsia="Times New Roman" w:hAnsi="Times New Roman"/>
          <w:sz w:val="18"/>
          <w:szCs w:val="18"/>
          <w:color w:val="auto"/>
        </w:rPr>
        <w:t>If future reimbursement for approved product candidates, if any, is substantially less than we project, or rebate and/or discount, or fees and obligations associated with them are substantially greater than we expect, our future net revenue and profitability could be materially diminished.</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9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oncolytic immunotherapies is hard to estimate given that it is an emerging field with only one existing FDA-approved oncolytic immunotherapy, T-Vec (also referred to as Imlygic</w:t>
      </w:r>
      <w:r>
        <w:rPr>
          <w:rFonts w:ascii="Times New Roman" w:cs="Times New Roman" w:eastAsia="Times New Roman" w:hAnsi="Times New Roman"/>
          <w:sz w:val="23"/>
          <w:szCs w:val="23"/>
          <w:color w:val="auto"/>
          <w:vertAlign w:val="superscript"/>
        </w:rPr>
        <w:t>(R)</w:t>
      </w:r>
      <w:r>
        <w:rPr>
          <w:rFonts w:ascii="Times New Roman" w:cs="Times New Roman" w:eastAsia="Times New Roman" w:hAnsi="Times New Roman"/>
          <w:sz w:val="18"/>
          <w:szCs w:val="18"/>
          <w:color w:val="auto"/>
        </w:rPr>
        <w:t xml:space="preserve"> (Amgen, Inc.)), which has yet to enjoy broad market acceptance. Our estimates of the potential market opportunities are predicated on many assumptions, which may include industry knowledge and publications, third-party research reports, and surveys of clinics.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developments in the field of immuno-oncology could damage public perception of our product candidates and negatively affect our business.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our product candidates.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subjects may be discouraged from enrolling in our clinical trials. As a result, we may not be able to continue or may be delayed in conducting our development programs.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our product candidates consist of a modified virus, adverse developments in antiviral vaccines or clinical trials of other oncolytic immunotherapy products based on viruses may result in a disproportionately negative effect for our product candidates as compared to other products in the field of immuno-oncology that are not based on viruses. Future negative developments in the field of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clinical stage biopharmaceutical company with a very limited operating history. We have incurred net losses since our inception and anticipate that we will continue to incur substantial and increasing net losses in the foreseeable future. We may never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and we are early in our development efforts. We have no products approved for commercial sale and have not generated any revenue from product sales to date, and we continue to incur significant research and development and other expenses related to our ongoing operations. Investment in biopharmaceutical product development is highly speculative because it entails substantial upfront capital expenditures and significant risk that any potential product candidate will fail to demonstrate adequate efficacy or an acceptable safety profile, gain marketing approval and become commercially viable. We have financed our operations to date primarily through the sale of equity securities, including the sale of our common stock and pre-funded warrants in public and private offerings. Since our inception, most of our resources have been dedicated to the preclinical and clinical development of our proprietary RPx platform, including our lead product candidate, RP1, and our other product candidates. We expect to spend substantial funds to continue the research, development and testing of our products that are in the preclinical and clinical testing stages of development and to prepare to commercialize products in anticipation of FDA approval. The size of our future net losses will depend, in part, on our future expenses and our ability to generate revenue, if any.</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not profitable and have incurred losses in each period since our inception. For the years ended March 31, 2026 and 2025, we reported a net loss of $313.9 million and $247.3 million, respectively. At March 31, 2026, we had an accumulated deficit of $1,262.5 million. We expect to continue to incur significant losses for the foreseeable future, and we expect these losses to increase as we continue our research and development of our RPx product candidates and any additional product candidates we may develop.</w:t>
      </w:r>
    </w:p>
    <w:p>
      <w:pPr>
        <w:spacing w:after="0" w:line="19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Even if we succeed in receiving marketing approval for and commercialize RP1 or our other product candidates, we will continue to incur substantial research and development and other expenditures to develop and market additional potential products, including if and when appropriate, sales and marketing costs associated with preparing for commercialization of RP1 or our other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revenue from product sales and become profitable will depend significantly on our success in achieving a number of goals.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have not generated any revenue from product sales,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6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regarding, and preclinical and clinical development of RP1 and our other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for RP1 and our other product candidates for which we complete clinical trials;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RP1 and our other product candidates, including establishing and maintaining commercially viable supply and manufacturing relationships with third parties;</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RP1 and our other product candidates for which we obtain marketing approvals, either directly or with a collaborator or distributor;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RP1 and our other product candidates as viable treatment options;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protecting, and expanding our portfolio of intellectual property rights, including patents, trade secrets, and know-how; and</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training, hiring, and retaining qualified personnel.</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our product candidates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successful in obtaining regulatory approvals to market RP1 or our other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number of our addressable patients is not as significant as we estimate, the indication approved by regulatory authorities is narrower than we expect, the labels for our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or commercialization efforts.</w:t>
      </w:r>
    </w:p>
    <w:p>
      <w:pPr>
        <w:spacing w:after="0" w:line="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At March 31, 2026, our cash and cash equivalents and short-term investments were $268.9 million. We expect to continue to spend substantial amounts to continue the clinical and preclinical development of our RPx product candidates. Accordingly, we will need to obtain additional funds to achieve our business objectives. If we are able to gain marketing approval of any product candidate, we will require significant additional amounts of cash in order to launch and commercialize such product. In addition, other unanticipated costs may arise.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660" w:right="1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RP1 and our other product candidates, and conducting preclinical studies and clinical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RP1 and our other product candidates if clinical trials are successful;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collaborations;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any approved product, including marketing, sales and distribution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operating our manufacturing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RP1 and our other product candidates for clinical trials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cancer therapies and other adverse market developments.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Until we can generate sufficient product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Based on our current operating plan, we expect that our existing cash and cash equivalents and short-term investments, as of March 31, 2026, will enable us to fund operations into the first quarter of calendar 2027, which includes scale up for the potential commercialization of RP1 in skin cancers and for working capital and general corporate purposes and excludes any potential revenue. We have based this estimate on assumptions that may prove to be wrong, and we could exhaust our available capital resources sooner than we expect. In addition, because the design and outcome of our planned and anticipated clinical trials is highly uncertain, we cannot reasonably estimate the actual amounts necessary to successfully complete the development and commercialization of our RPx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24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Most of our cash, cash equivalents and short-term investments are held in accounts with banking institutions. The balances of some of these accounts have in the past, and may in the future, exceed the Federal Deposit Insurance Corporation, or the FDIC, insurance limits. If such banking institutions were to fail, we could lose all or a portion of those amounts held in excess of such insurance limitations. In March 2023, the FDIC took control of Silicon Valley Bank, or SVB, where we previously held a portion of our cash. The Federal Reserve subsequently announced that account holders would be made whole and we were able to access all of our cash held at SVB. However, the FDIC may not make all account holders whole in the event of future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short-term investments and cash equivalents could have an adverse effect on our ability to pay our operational expenses, fund our operations or make other payments, which could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9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technology and proprietary RPx platform, including our lead product candidate, RP1, and our other product candidates. We rely on trade secret, patent, copyright and trademark laws, and confidentiality, licensing and other agreements with employees and third parties, all of which offer only limited protection.</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generally are highly uncertain, involve complex legal and factual questions and have in recent years been the subject of much litigation and subject to change with regulatory agencies and court decisions. As a result, the issuance, scope, validity, enforceability and commercial value of our licensed patents and any patents we own in the future are highly uncertain. The steps we have taken to protect our proprietary rights may not be adequate to preclude misappropriation of our proprietary information, use by third parties of our products or infringement of our intellectual property rights, both inside and outside of the United States.</w:t>
      </w:r>
    </w:p>
    <w:p>
      <w:pPr>
        <w:spacing w:after="0" w:line="1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pending applications cannot be enforced against third parties practicing the inventions claimed in such applications unless and until a patent issues from such applications. Because the issuance of a patent is not conclusive as to its inventorship, scope, validity or enforceability, our issued patents and issued patents that we license from third parties or that we may own in the future may be challenged in the courts or patent offices inside or outside of the United States. Further, the examination process may require us to narrow the claims for our pending patent applications, which may limit the scope of patent protection that may be obtained if these applications issue. The scope of a patent may also be interpreted or reinterpreted after issuance. The rights that may be granted under our future issued patents may not provide us with the proprietary protection or competitive advantages we are seeking. In addition, defending against challenges in respect of the inventorship, scope, validity or enforceability of our patents may be expensive, time consuming, difficult and in some cases may not be possible. Although we enter into nondisclosure and confidentiality agreements with parties who have access to confidential or patentable aspects of our research and development output, such as our employees, consultants, collaborators, and other third parties, any of these parties may breach the agreements and disclose such output before a patent application is filed, thereby jeopardizing our ability to seek patent protection. In addition, the patent prosecution process is expensive, time consuming and complex, and we may not be able to file, prosecute, maintain, enforce or license all necessary or desirable patent applications at a reasonable cost or in a timely manner. If we are unable to obtain and maintain patent protection for our technology or inventions, or for RP1 or our other product candidates, or if the scope of the patent protection obtained is not sufficient, our competitors could develop and commercialize products similar or superior to ours, and our ability to successfully commercialize RP1 or our other product candidates and future technologies or inventions may be adversely affected.</w:t>
      </w:r>
    </w:p>
    <w:p>
      <w:pPr>
        <w:spacing w:after="0" w:line="1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Patent terms may be inadequate to protect our competitive position on our products for an adequate amount of time, and our product candidates for which we intend to seek approval as biological products may face competition sooner than anticipated. Given the amount of time required for the development, testing and regulatory review of our product candidates, such as RP1 and our other product candidates, patents protecting such product candidates might expire before or shortly after such product candidates are commercialized.</w:t>
      </w:r>
    </w:p>
    <w:p>
      <w:pPr>
        <w:spacing w:after="0" w:line="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or inventions in all countries throughout the world would be prohibitively expensive, and our intellectual property rights in some countries or religions outside the United States can be less protective of our products than those in the United States. In addition, the laws and practices of some foreign countries do not protect intellectual property rights to the same extent as federal and state laws in the United States. Changes to the patent law in the United States and other jurisdictions could diminish the value of patents in general, thereby impairing our ability to protect RP1 and our other product candidates.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or inventions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or misappropriation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1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we also rely on other proprietary rights, including protection of trade secrets, know-how and confidential and proprietary information. Although we enter into confidentiality agreements with our employees, consultants, collaborators, suppliers, manufacturers and other third parties who have access to our trade secrets, and our agreements with employees also provide that any inventions conceived by the individual in the course of rendering services to us shall be our exclusive property, we may not obtain these agreements in all circumstances, and individuals with whom we have these agreements may not comply with their terms or may have conflicting agreements with third parties. In addition,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If any of our trade secrets, know-how or confidential or proprietary information were to be lawfully obtained, patented or independently developed by a competitor or other third party, we would have no right to prevent them from using that technology or information to compete with us and may be blocked from using such trade secrets, know-how or confidential or proprietary information ourselves.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 the future initiate legal proceedings alleging that we are infringing their intellectual property rights, and we may become involved in lawsuits or other administrative procedures to protect or enforce our intellectual property, which could be expensive, time consuming and unsuccessful and have a material adverse effect on the success of our business.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commercial success depends on our ability and the ability of our current or future collaborators to develop, manufacture, market and sell RP1 and our other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For example, we are aware of U.S. Patent 10,034,938, or the '938 Patent, held by Amgen Inc., which includes claims purported to cover methods and kits for treating stage IIIb to IV melanoma by the administration of (i) an effective amount of an anti-PD-1 antibody or anti-CTLA-4 antibody; and (ii) a herpes simplex virus, wherein the herpes simplex virus lacks a functional ICP34.5 encoding gene and a functional ICP47 encoding gene, and comprises a gene encoding human GM-CSF. In November 2022, we filed a petition for inter partes review with the Patent Trial and Appeal Board, or the PTAB, of the United States Patent and Trademark Office, or the USPTO, seeking to invalidate certain claims of the ‘938 Patent. In August 2023 we entered into a Settlement Agreement with Amgen and mutually agreed to terminate our challenges to their patents. In connection with the Settlement Agreement, we entered into a License and Covenant Agreement with Amgen in which we agreed to pay Amgen low single-digit royalty payments on net sales of our products that, but for the license, could be found to infringe a valid Amgen patent on a country-by-country and product-by-product basis.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parties may assert infringement or other intellectual property claims against us based on existing patents or patents that may be filed and/or granted in the future. At times we may attempt to initiate litigation or other administrative procedures to invalidate or otherwise limit the scope of a third party’s intellectual property and these attempts may not be successful. If we are found to infringe a third party’s intellectual property rights, and we are unsuccessful in demonstrating that such intellectual property rights are invalid, unenforceable or otherwise not infringed, we could be required to obtain a license from such third-party to continue developing, manufacturing and commercializing RP1 and our other product candidates. Such a license may not be available on commercially reasonable terms, or at all. Even if we were able to obtain a license, it could be nonexclusive, thereby giving our competitors and other third parties access to the same technologies and inventions licensed to us, and it could require us to make substantial licensing and royalty payments. We also could be forced, including by court order, to cease developing, manufacturing, and commercializing RP1 or our other product candidates or we could be found liable for significant monetary damages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know-how, confidential or proprietary information 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secrets could have a similar material adverse effect on our business, financial condition, results of operations, stock price and prospects.</w:t>
      </w:r>
    </w:p>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any of our technology or inventions, the defendant could counterclaim that the patent covering our product candidate is invalid or unenforceable. If a third party were to prevail on a legal assertion of invalidity and/or unenforceability, we would lose at least part, and perhaps all, of the patent protection on RP1 and our other product candidates. Such a loss of patent protection could have a material adverse impact on our business, financial condition, results of operations, stock price and prospects.</w:t>
      </w:r>
    </w:p>
    <w:p>
      <w:pPr>
        <w:spacing w:after="0" w:line="11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Many of our employees, including our senior management team, were previously employed at, or consulted for, universities or other biotechnology or pharmaceutical companies, including our competitors or potential competitors. Although we take steps to ensure that our employees do not use, claim as theirs, or misappropriate the intellectual property, confidential or proprietary information, know-how or trade secrets of others in their work for us, we may be subject to claims that we or these employees have used, claimed as theirs, misappropriated or disclosed intellectual property, including trade secrets, know-how or other confidential or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third-party to commercialize our technology or products. Such a license may not be available on commercially reasonable terms, or at all.</w:t>
      </w:r>
    </w:p>
    <w:p>
      <w:pPr>
        <w:spacing w:after="0" w:line="1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are developing certain of our product candidates in combination with products, which are or may be covered by patents or licenses held by third parties, to which we do not have a license other than for use in connection with the applicable clinical trial. We also may develop our product candidates in combination with products developed by additional companies that are covered by patents or licenses held by those entities to which we do not have a license. In the event that a labeling instruction is required in product packaging recommending that combination, we could be accused of, or held liable for, infringement of the third-party patents covering the product candidate or product recommended for administration with RP1 or our other product candidates. In such a case, we could be required to obtain a license from the other company or institution to use the required or desired package labeling, which license may not be available on commercially reasonable terms, or at all.</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Competitors may infringe any future licensed patents or any patent we own in the future or misappropriate or otherwise violate our intellectual property rights. We may also be required to defend against claims of infringement and our licensed patents and any patents we own in the future may become involved in priority or other intellectual property related disputes.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w:t>
      </w:r>
    </w:p>
    <w:p>
      <w:pPr>
        <w:spacing w:after="0" w:line="11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An adverse result in any litigation or other intellectual property related proceeding could put one or more of our patents at risk of being invalidated, held unenforceable or interpreted narrowly. Furthermore, because of the substantial amount of discovery required in connection with intellectual property litigation in the United States, there is a risk that some of our trade secrets, know-how, or proprietary or confidential information could be 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Any of the foregoing may have a material adverse effect on our business, financial condition, results of operations, stock price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reliance on third parties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agreements with third party collaborators, and in the future may have agreements with other companies, to obtain the supply of co-delivery therapies for the development of our product candidates. If our relationships with these third party collaborators, or any future collaborator or supplier are not successful, we may be delayed or unable to complete the development of our product candidates.</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have entered into arrangements with BMS as part of our clinical development programs where nivolumab is intended to be used for these clinical programs and with Roche where atezolizumab and bevacizumab are intended to be used for certain of our other clinical programs. BMS is providing nivolumab, its anti-PD-1 therapy, for use in our ongoing IGNYTE Phase 1/2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trials with RP1 and our Phase 1/2 clinical trial with RP2 where we intend to use nivolumab and may potentially do so for other clinical trials in the future; Roche has agreed to provide atezolizumab and bevacizumab for use in our RP2 study of hepatocellular cancer, or HCC.</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also enter into agreements with additional companies for the supply of anti-PD-1 therapies or other co-delivery agents for use in the development of our other product candidates, similar to our agreement with BMS and Roche. The outcome of these clinical trials is dependent, in part, both on the performance of our partners’ products and product candidates and also on our partners’ ability to deliver sufficient quantities of adequately produced product. Should any of our partners’ products or product candidates fail to produce the results that we anticipate, we may have to re-run clinical trials for our product candidates or may otherwise be delayed in the commercialization of our product candidates. Similarly, should any partner fail to provide us with a product or product candidate that suits our requirements, we may have to re-run clinical trials for our product candidates or may be otherwise delayed in the commercialization of our product candidates. Additionally, we are subject to specific risks associated with our collaboration partners, including possible discrepancies as to the timing, nature and the extent of development plans, contract interpretations, and the costs and allocation of costs related to the conduct of our clinical trials. If we and any collaboration partner are unable to agree or fail to perform our respective obligations or effectively manage our relationship, our clinical trials performed under such collaboration could incur additional costs, be delayed or could result in costly or time-consuming legal proceedings that could have an adverse effect on a collaboration or on our business.</w:t>
      </w:r>
    </w:p>
    <w:p>
      <w:pPr>
        <w:spacing w:after="0" w:line="12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collaboration agreements with any future partners may not be successful, which could adversely affect our ability to develop and commercialize our product candidates.</w:t>
      </w:r>
    </w:p>
    <w:p>
      <w:pPr>
        <w:spacing w:after="0" w:line="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in the future seek collaboration arrangements with other parties for the development or commercialization of our product candidates.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collaborations we might enter into may pose a number of risks, including the following:</w:t>
      </w:r>
    </w:p>
    <w:p>
      <w:pPr>
        <w:spacing w:after="0" w:line="11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of product candidates, might lead to additional responsibilities for us with respect to product candidates, or might result in litigation or arbitration, any of which would be time consuming and expensive;</w:t>
      </w:r>
    </w:p>
    <w:p>
      <w:pPr>
        <w:spacing w:after="0" w:line="54" w:lineRule="exact"/>
        <w:rPr>
          <w:sz w:val="20"/>
          <w:szCs w:val="20"/>
          <w:color w:val="auto"/>
        </w:rPr>
      </w:pPr>
    </w:p>
    <w:p>
      <w:pPr>
        <w:jc w:val="both"/>
        <w:ind w:left="660" w:right="40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clinical trial materials supply, research funding or milestone or royalty payments under such potential future collaboration. If we do not receive the funding we expect under the agreements, our development of our product candidates could be delayed and we may need additional resources to develop our product candidates and our product platform.</w:t>
      </w:r>
    </w:p>
    <w:p>
      <w:pPr>
        <w:spacing w:after="0" w:line="9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it licenses to us. If one of our collaborators terminates its agreement with us, we may find it more difficult to attract new collaborators and our reputation in the business and financial communities could be adversely affected.</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Our ability to reach a definitive agreement for any collaboration will depend upon, among other things, our assessment of the collaborator’s resources and expertise, the terms and conditions of the proposed collaboration and the proposed collaborator’s evaluation of a number of factors.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8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We rely on third-party CROs, study sites, and others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could impact the chance of any such data being accepted by regulatory authorities,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GLP regulations,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(remotely or in person) of trial sponsors, clinical investigators, and trial sites. If we or any of our third parties fail to comply with applicable GCPs, the applicable study protocols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plans, or other regulatory requirements, we or they may be subject to enforcement or other legal actions, the data generated in our trials may be deemed unreliable and the FDA or comparable foreign regulatory authorities may not accept such data or may require us to perform additional studies.</w:t>
      </w:r>
    </w:p>
    <w:p>
      <w:pPr>
        <w:spacing w:after="0" w:line="175"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regulations. Failure to comply with these regulations or use of product that does not meet the applicable quality requirements in clinical trials may compromise the resulting trial data and may require us to repeat clinical trials, which would delay the regulatory approval process.</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12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may result in delays that could compromise our ability to meet our desired development timelines.</w:t>
      </w:r>
    </w:p>
    <w:p>
      <w:pPr>
        <w:spacing w:after="0" w:line="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our products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which we rely fail to produce our raw materials, process consumables or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1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continue to rely on third-party contract manufacturers to manufacture our raw materials and certain clinical trial product supplies. As a result, there can be no assurance that our clinical development or commercial supplies will not be limited, interrupted, or of satisfactory quality or continue to be available at acceptable prices.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have only one in-house manufacturing site for use in our clinical trials. In addition, we do not have any long-term commitments from our suppliers of raw materials or clinical trial material or guaranteed prices for our product candidates or their components. There are a limited number of manufacturers that operate under cGMP regulations and that are both capable of manufacturing and filling our viral product for us and willing to do so. If our existing third-party manufacturers of raw materials or our product candidates,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Any replacement of our contract manufacturer could require significant effort and expertise because there may be a limited number of qualified replacements. Any delays in obtaining adequate supplies of our raw materials or product candidates that meet the necessary quality standards may delay our development or commercialization.</w:t>
      </w:r>
    </w:p>
    <w:p>
      <w:pPr>
        <w:spacing w:after="0" w:line="1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our manufacturers of raw materials, equipment or process consumables do not perform as agreed or encounter difficulties in production costs and yields, quality control, shortages of qualified personnel or key raw materials, compliance with strictly enforced federal, state, and foreign regulations, or other difficulties, our ability to provide product candidates to patients in our clinical trials could be jeopardized.</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if our Framingham manufacturing site cannot successfully manufacture material that conforms to our specifications and the strict regulatory requirements of the FDA or other regulatory authorities, we will not be able to secure or maintain regulatory approval for our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raw materials, products or product candidates that comply with the applicable regulatory requirements may result in delays to clinical trials, product approvals, and commercialization.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ultimately responsible for the manufacturing of our product candidates and therapeutic substances, but, other than through our contractual arrangements, we have limited control over our raw materials or process consumables manufacturers’ compliance with these regulations and standards.</w:t>
      </w:r>
    </w:p>
    <w:p>
      <w:pPr>
        <w:spacing w:after="0" w:line="8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 order to use our in-house Framingham manufacturing site or any third party manufacturing site for the production of product for commercialization, the sites must pass an FDA pre-approval inspection. FDA will not approve a BLA until such inspection demonstrates that product can be adequately and</w:t>
      </w:r>
    </w:p>
    <w:p>
      <w:pPr>
        <w:spacing w:after="0" w:line="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reliably produced. If the FDA or a comparable foreign regulatory authority does not approve these facilities for manufacturing or supply, or if it withdraws any such approval in the future, we may need to find alternative manufacturing facilities, which would significantly impact our ability to develop, obtain regulatory approval for or market our product candidates, if approved. We must also receive FDA approval for the use of any new manufacturers for clinical or commercial supply, including our own manufacturing facility.</w:t>
      </w:r>
    </w:p>
    <w:p>
      <w:pPr>
        <w:spacing w:after="0" w:line="20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 failure to comply with the applicable regulatory requirements, including periodic inspections, may result in regulatory enforcement actions against our manufacturing or us (including criminal fines and civil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non- or deferred prosecution agreements, consent decrees, withdrawal of product approval, environmental or safety incidents and other liabilities. If the safety of any quantities supplied is compromised due to our manufacturing failures to adhere to applicable laws or for other reasons, we may not be able to obtain regulatory approval for or successfully commercialize our product candidates. Any foreign manufacturing facilities may also be subject to increased FDA scrutiny as there has been an increasing movement to encourage domestic manufacturing of biopharmaceutical products.</w:t>
      </w:r>
    </w:p>
    <w:p>
      <w:pPr>
        <w:spacing w:after="0" w:line="19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maintaining our own manufacturing facility may result in unanticipated delays or expenses and we may not experience the anticipated operating efficiencies we intended.</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approximately 63,000 square foot manufacturing facility in Framingham, Massachusetts is fully operational. The Framingham facility is intended to give us control over key aspects of the supply chain for our products and product candidates. However, we may not experience the anticipated operating efficiencies as we commence manufacturing operations at our in-house facility. Any such delays may disrupt or delay the supply of our product candidates if we have not maintained a sufficient backup supply of our product candidates through third-party manufacturers. Moreover, changing manufacturing facilities may also require that we conduct additional studies, make notifications to the regulatory authorities, make additional filings to the regulatory authorities, and obtain regulatory authority approval our in-house facility, which may be delayed or which we may never receive. We will further need to comply with the FDA’s and applicable state and foreign regulatory authorities’ cGMP requirements for the production of our product candidates for clinical trials and, if approved, commercial supply, and will be subject to FDA and comparable state and foreign regulatory authority licensing requirements, inspections and assessments. We may not be able to develop or acquire the internal expertise and resources necessary for compliance with these requirements. If we are not able to comply with the applicable regulatory requirements or produce product that meets our requirements and specifications, we will be subject to the same risks that we would be subject to should third party manufacturers be unable to comply with the applicable regulatory requirements or produce product meeting our requirements or specifications, as described above. If we fail to achieve the operating efficiencies that we anticipate, our manufacturing and operating costs may be greater than expected, which could have a material adverse impact on our operating results.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operating our own manufacturing facility, we may be forced to devote greater resources and management time than anticipated, particularly in areas relating to operations, quality, raw material supply, regulatory, facilities and information technology. Further, should corrective or preventative actions be required, we will be fully responsible for these. If we experience unanticipated employee turnover in any of these areas, we may not be able to effectively manage our ongoing manufacturing operations and we may not achieve the operating efficiencies that we anticipate from our in-house facility, which may negatively affect our product development timeline, product candidate supplies and, if approved, our commercial product supplies. If we experience any unanticipated shortages of key raw materials, or other difficulties related to our raw material supply, we may not be able to effectively manage our ongoing manufacturing timelines and costs which may negatively affect our product development schedule and our ability to provide clinical trial supplies to patients in our clinical trials, and if approved, commercial product supplies.</w:t>
      </w:r>
    </w:p>
    <w:p>
      <w:pPr>
        <w:spacing w:after="0" w:line="11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Any problems or delays we experience in preparing for commercial 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of our product candidates and may materially harm our business, financial condition, results of operations, stock price and prospects.</w:t>
      </w:r>
    </w:p>
    <w:p>
      <w:pPr>
        <w:spacing w:after="0" w:line="14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Any such problems could result in the delay, prevention, or impairment of clinical development and commercialization of our product candidates, if approved, and may materially harm our business, financial condition, results of operations, stock price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8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 and reputational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 including withdrawal of marketing approval.</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8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the U.K. Bribery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9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U.S. Foreign Corrupt Practices Act, or FCPA, the U.K. Bribery Act 2010, or the Bribery Act, and other anticorruption laws that apply in countries where we do business. We also may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participate in collaborations and relationships with third parties whose actions, if noncompliant, could potentially subject us to liability under the FCPA, Bribery Act or local anticorruption laws.</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States and the United Kingdom and authorities in the European Union, including applicable import and export control regulations, economic sanctions on countries and persons, anti-money laundering laws, customs requirements and currency exchange regulations, collectively referred to as the trade control laws.</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U.S., U.K. or other authorities could also have an adverse impact on our reputation, our business, financial condition, results of operations, stock price and prospects.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will be subject to healthcare fraud and abuse and patient privacy regulation by both the federal government and the states and foreign jurisdictions in which we conduct our business.</w:t>
      </w:r>
    </w:p>
    <w:p>
      <w:pPr>
        <w:spacing w:after="0" w:line="106"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As noted above,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which may subject us to additional similar risks and impacts.</w:t>
      </w:r>
    </w:p>
    <w:p>
      <w:pPr>
        <w:spacing w:after="0" w:line="1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laws or regulations that apply to us, we may be subject to sanctions, including civil, criminal, and administrative penalties, damages, fines, disgorgement, suspension and debarment from government procurement and non-procurement programs,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9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 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which could have a material adverse effect on customers for our products, if approved, and, accordingly, on our results of operations.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Compliance with the Drug Supply Chain Security Act, or DSCSA requirements may increase our operational expenses and impose significant administrative burdens. As a result of these and other new proposals, either in the present or future,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176"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CMOs, or CROs may engage in misconduct or other improper activities, including noncompliance with regulatory standards and requirements, which could have a material adverse effect on our business.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 party claims.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3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privacy, data protection, security, operational resilience, and AI. Our actual or perceived failure to comply with such obligations could lead to government enforcement actions (which could include civil or criminal penalties), private litigation (including from business partners and/or affected individuals) and/or adverse publicity and could negatively affect our operating results and business.</w:t>
      </w: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0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state, and local governments have enacted numerous data privacy and security laws and regulations, including personal data privacy laws, health information privacy laws, data breach notification laws, personal data privacy laws, and consumer protection laws. For example, HIPAA, as amended by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Additionally, the California Consumer Privacy Act, or CCPA,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$7,988 per violation) and includes a private right of action for certain data breaches. Although there are some exemptions for clinical trial data and health information, the CCPA may impact our business activities and increase our compliance costs and potential liability.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privacy, data protection, and security, operational resilience, and AI. For example, the European Union General Data Protection Regulation, the United Kingdom General Data Protection Regulation and related data protection, cybersecurity and e-privacy laws in the European Union, European Economic Area, or the EEA, and the United Kingdom, (collectively referred to herein as the “GDPR, and equivalent Swiss laws may apply to some or all of the clinical or other personal data obtained, transmitted, stored or otherwise processed by us (or on our behalf) relating to or originating from those jurisdictions. The GDPR contains potentially strict requirements with respect to lawfully processing personal data in connection with clinical trials and other business activities in the EEA, UK and Switzerland (collectively, “Europe”) (including with respect to obtaining consents, securing personal data, notifying personal data breaches to supervisory authorities and affected data subjects, and transferring personal data outside Europe).</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Europe, Switzerland or in other jurisdictions outside of the United States). Existing mechanisms that facilitate cross-border personal data transfers may change or be invalidated. For example, absent appropriate safeguards or other circumstances, the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The SCCs, though approved by the European Commission as a suitable alternative, have faced challenges in European courts, and may be further challenged, suspended or invalidated. Other countries in Europe, such as the UK, similarly restrict personal data transfers outside of those jurisdictions to countries such as the United States that do not provide an adequate level of personal data protection.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2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GDPR and Swiss law allow supervisory authorities to potentially impose high regulatory fines (among other enforcement tools) in the event of violations, for example, under the GDPR up to 4% of global annual group turnover or EUR 20 million (whichever is the higher amount). Supervisory authorities in the European Union and EEA, and the United Kingdom may potentially levy such fines directly upon on the non-compliant entity and/or on the parent company (so-called “undertaking”) of the non-compliant entity. Supervisory authorities also possess other wide-ranging powers, including conducting unannounced inspections of our facilities and system (so-called “dawn raids”), and issuing “stop processing” orders to us. Separate from regulatory enforcement actions, individuals may bring private actions (including potentially group or representative actions) against us. There is no statutory cap set out in the GDPR on the amount of compensation or the damages which individuals may recover. Claims that we have violated individuals’ privacy and data protection rights, failed to comply with data protection laws, or breached our contractual obligations, even if we are not found liable, could be expensive and time consuming to defend and could result in adverse publicity that could harm our business.</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Overall,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(including the EU AI Act) which may subject us to additional similar risks and impacts.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 xml:space="preserve">See Part I,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in this Annual Report on Form 10-K for more information regarding our cybersecurity risk management, strategy, and governance.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the size of our organization, and we may experience difficulties in managing this growth, which could disrupt our operations.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our clinical development and commercialization plans and strategies develop, we expect to need additional managerial, operational, sales, marketing, financial and other personnel. Our future financial performance and our ability to commercialize any of our product candidates will depend, in part, on our ability to effectively manage any future growth, which would impose significant additional responsibilities on members of management and may divert their attention away from day-to-day activities.</w:t>
      </w:r>
    </w:p>
    <w:p>
      <w:pPr>
        <w:spacing w:after="0" w:line="1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as well as support for our financial reporting and accounting functions. If the services of independent organizations, advisors and consultants become unavailable to us or we are unable to effectively manage our outsourced activities, or if the quality or accuracy of such services is compromised for any reason, our clinical trials may be extended, delayed or terminated, we may not comply with our financial reporting and accounting obligations on a timely basis and we may not be able to obtain marketing approval of any product candidates or otherwise advance our business.</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if approved, any of our product candidates and, accordingly, may not achieve our research, development and commercialization goals.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employees and consultants, and to attract and motivate highly qualified personnel.</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train and retain highly qualified managerial, scientific and medical personnel. We are highly dependent on our executive leadership team, as well as our other scientific, manufacturing, quality and medical personnel. The loss of the services of our key personnel and any of our other executive officers, key employees, and scientific and medical advisors, without our inability to find suitable replacements, could result in delays in product development and harm our business.</w:t>
      </w:r>
    </w:p>
    <w:p>
      <w:pPr>
        <w:spacing w:after="0" w:line="19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Changes in our management team resulting from the hiring or departure of executives and key employees from time to time could disrupt our business. These changes and any future significant leadership changes or senior management transitions involve inherent risk. Any failure to find a timely and suitable replacement and ensure an effective transition within executive leadership or senior management, including the effective onboarding, assimilation, and retention of our management team and key employees, could hinder our strategic planning, business execution and future performance. In addition, executive leadership transition periods can be disruptive and may result in a loss of personnel with deep institutional or technical knowledge, or result in changes to business strategy or objectives, and may negatively impact our operations and relationships with employees and third-parties due to increased or unanticipated expenses, operational inefficiencies, uncertainty regarding changes in strategy, decreased employee morale and productivity, and increased turnover.</w:t>
      </w:r>
    </w:p>
    <w:p>
      <w:pPr>
        <w:spacing w:after="0" w:line="12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 and restricted stock unit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generally provide for at-will employment, which means that any of our employees could leave our employment at any time, with or without notice.</w:t>
      </w:r>
    </w:p>
    <w:p>
      <w:pPr>
        <w:spacing w:after="0" w:line="1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ability to produce accurate and timely financial statements could be impaired.</w:t>
      </w:r>
    </w:p>
    <w:p>
      <w:pPr>
        <w:spacing w:after="0" w:line="7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We continue to be engaged in a process to document and evaluate our internal control over financial reporting, which is both costly and challenging. In this regard, we will need to continue to incur substantial professional fees and internal costs for our</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accounting and finance functions, expend significant management efforts, continue to implement plans developed to address areas that we have identified as requiring improvement, validate through testing that controls are functioning as documented and implement a continuous reporting and improvement process for internal control over financial reporting.</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any internal controls and procedures, no matter how well conceived and operated, can provide only reasonable, not absolute, assurance that the objectives of the control system are met. We may discover weaknesses in our system of internal financial and accounting controls and procedures that could result in a material misstatement of our consolidated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system failures or unauthorized or inappropriate use of or access to our systems.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The secure maintenance of this information is critical to our operations and business strategy. Some of this information could be an attractive target of criminal attack or unauthorized access and use by third parties or insiders with a wide range of motives and expertise, including state sponsored actors, organized criminal groups, “hacktivists,” insiders, patient groups, disgruntled current or former employees and others. Cyber-attacks (including involving ransomware) are of ever-increasing levels of sophistication, and despite our security measures, our information technology, directors, officers and employees, and infrastructure may be vulnerable to such attacks or may be breached, including due to employee or contractor error or malfeasance.</w:t>
      </w:r>
    </w:p>
    <w:p>
      <w:pPr>
        <w:spacing w:after="0" w:line="2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pervasiveness of cybersecurity and operational resilience incidents in general and the risks of cyber-crime are complex and continue to evolve. There can be no assurance that our security and operational resilience efforts and measures will be effective or that attempted security breaches or disruptions or operational resilience events would not be successful or damaging. Our internal computer systems and those of our contractors and consultants are vulnerable to damage, loss of access or availability, or interruption from computer viruses and other malware, ransomware, unauthorized or inappropriate access or use, natural disasters, pandemics, terrorism, war and telecommunication and electrical failures. Such events could cause interruption of our operations. For example, the loss of or loss of access to pre-clinical trial data or data from clinical trials for our product candidates could result in delays in our regulatory filings and development efforts, as well as delays in the commercialization of our products, and significantly increase our costs. To the extent that any disruption, operational resilience event, security breach or unauthorized or inappropriate use or access to our systems were to result in a loss of or damage to our data, or loss of availability to our data or systems, or inappropriate disclosure of confidential or proprietary information, including to patient, employee or vendor information, we could incur notification obligations to affected individuals and government agencies, liability, including potential lawsuits from patients, collaborators, employees, stockholders or other third parties and liability under foreign, federal and state laws that protect the privacy and security of personal information and our systems, and the development and potential commercialization of our product candidates could be delayed. For additional information, see the Risk Factor captioned, “</w:t>
      </w:r>
      <w:r>
        <w:rPr>
          <w:rFonts w:ascii="Times New Roman" w:cs="Times New Roman" w:eastAsia="Times New Roman" w:hAnsi="Times New Roman"/>
          <w:sz w:val="18"/>
          <w:szCs w:val="18"/>
          <w:i w:val="1"/>
          <w:iCs w:val="1"/>
          <w:color w:val="auto"/>
        </w:rPr>
        <w:t>We are subject to stringent and changing obligations related to privacy,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protection, security, operational resilience, and AI. Our actual or perceived failure to comply with such obligations could lead to government enforcement actions (which could include civil or criminal penalties), private litigation (including from business partners and/or affected individuals) and/or adverse publicity and could negatively affect our operating results and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on July 20, 2018 and we can provide no assurances that we will be able to continue to maintain an active trading market on the Nasdaq Global Select Market or any other exchange in the future. In the absence of an active trading market for shares of our common stock, our stockholders may not be able to sell their common stock at or above the price at which such stockholder acquired our common stock or at the time that they would like to sell. An inactive market may also impair our ability to raise capital by selling shares and may impair our ability to use our shares as consideration in commercial transactions.</w:t>
      </w:r>
    </w:p>
    <w:p>
      <w:pPr>
        <w:spacing w:after="0" w:line="19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acquired. The market price for our common stock may be influenced by many factors, including:</w:t>
      </w:r>
    </w:p>
    <w:p>
      <w:pPr>
        <w:spacing w:after="0" w:line="7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RP1 and our other product candidates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the development of RP1 and our other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drugs;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the possibility of an economic recession, international hostilities, acts of terrorism, governmental restrictions and sanctions, inflation, global supply chain disruptions, trade relationships and military and political alliances;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9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660" w:right="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 of, and level of investment in, research and development activities relating to our current and any future product candidates, which will change from time to time;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expenses we incur in connection with equipping and operating our manufacturing facility;</w:t>
      </w:r>
    </w:p>
    <w:p>
      <w:pPr>
        <w:spacing w:after="0" w:line="15" w:lineRule="exact"/>
        <w:rPr>
          <w:rFonts w:ascii="Times New Roman" w:cs="Times New Roman" w:eastAsia="Times New Roman" w:hAnsi="Times New Roman"/>
          <w:sz w:val="18"/>
          <w:szCs w:val="18"/>
          <w:color w:val="auto"/>
        </w:rPr>
      </w:pPr>
    </w:p>
    <w:p>
      <w:pPr>
        <w:ind w:left="660" w:right="160" w:hanging="328"/>
        <w:spacing w:after="0" w:line="23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clinical trial sites in the U.S. and in foreign territories, obtain the approval for conducing our clinical trials in foreign territories from their regulatory authorities, as well as our ability to enroll the number of patients necessary in our clinical trials and the timing of enrollment;</w:t>
      </w:r>
    </w:p>
    <w:p>
      <w:pPr>
        <w:spacing w:after="0" w:line="77" w:lineRule="exact"/>
        <w:rPr>
          <w:rFonts w:ascii="Times New Roman" w:cs="Times New Roman" w:eastAsia="Times New Roman" w:hAnsi="Times New Roman"/>
          <w:sz w:val="18"/>
          <w:szCs w:val="18"/>
          <w:color w:val="auto"/>
        </w:rPr>
      </w:pPr>
    </w:p>
    <w:p>
      <w:pPr>
        <w:ind w:left="660" w:right="640" w:hanging="328"/>
        <w:spacing w:after="0" w:line="312"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our current and any future product candidates, which may vary depending on the FDA’s and comparable foreign regulatory authorities’ guidelines and requirements, the quantity of production and the terms of any agreements with manufacturers;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and preclinical studies for RP1 and our other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RP1 and our other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RP1 and our other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RP1 and our other product candidates;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238"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crises, political and economic crises, negative global climate patterns, or other catastrophic events, the possibility of an economic recession, international hostilities and trade disruptions, including, but not limited to, those resulting from the current U.S. presidential administration, ongoing military conflicts, acts of terrorism, governmental restrictions and sanctions, inflation, global supply chain disruptions, trade relationships and military and political alliances;</w:t>
      </w:r>
    </w:p>
    <w:p>
      <w:pPr>
        <w:spacing w:after="0" w:line="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15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and/or earnings guidance we may provide.</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our cash, cash equivalents and investments, and may not use these resources effectively, which could affect our results of operations and cause our stock price to decline.</w:t>
      </w:r>
    </w:p>
    <w:p>
      <w:pPr>
        <w:spacing w:after="0" w:line="9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has considerable discretion in the application of our cash, cash equivalents and investments. We intend to use our resources to fund our preclinical and clinical development programs as well as for general corporate purposes, including working capital requirements and other operating expenses. As a result, investors will be relying upon management’s judgment with only limited information about our specific intentions for the use of our resources. We may use our resources for purposes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that do not yield a significant return or any return at all for our stockholders. In addition, pending their use, we may invest our cash, cash equivalents and investments in a manner that does not produce income or that loses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expiration of contractual or legal restrictions on resale lapse, the market price of our common stock could decline. These sales may make it more difficult for us to sell equity or equity related securities in the future at a time and price that we deem appropriate, or to use equity as consideration for future acquisition.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a significant number of shares of common stock that are either subject to outstanding options and restricted stock units, reserved for future issuance under our equity incentive plans or subject to outstanding warrants are eligible for sale in the public market to the extent permitted by the provisions of various vesting schedules and Rule 144 and Rule 701 under the Securities Act, including our ESPP if activated. If these additional shares of common stock are sold, or if it is perceived that they will be sold, in the public market, the market price of our common stock could decline.</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holders of shares of our common stock, or their permitted transferees, are entitled to rights with respect to the registration under the Securities Act of shares of our common stock pursuant to the amended and restated investors’ rights agreement by and among us and certain of our stockholders.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97"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We may sell shares of our common stock in “at-the-market” offerings pursuant to a Sales Agreement entered into on August 3, 2023, and subsequently amended on May 16, 2024, November 25, 2024 and May 22, 2025, with Leerink Partners LLC, or the 2023 Sales Agreement. The sale of a substantial number of shares of our common stock pursuant to the 2023 Sales Agreement, or anticipation of such sales, could cause the trading price of our common stock to decline or make it more difficult for us to sell equity or equity-related securities in the future at a time and at a price that we might otherwise desire. In addition, issuances of any shares of our common stock sold pursuant to the 2023 Sales Agreement will have a dilutive effect on our existing stockholders.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7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or securities convertible, exercisable or exchangeable into common stock, our existing stockholders’ interest will be diluted.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1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funds through equity or debt financings when needed, we may be required to grant rights to develop and market one or more of our product candidates or technologies that we would otherwise prefer to develop and market ourselves.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9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5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9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addition, if we undertake acquisitions, we may issue dilutive securities, assume or incur debt obligations, incur large one-time expenses and acquire intangible assets that could result in significant future amortization expense or intangible asset impairment charges.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6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market and economic conditions may have serious adverse consequences on our business, financial condition, results of operations, stock price and prospects.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economic climate and financial market conditions could adversely impact our business.</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Global financial markets have been experiencing extreme disruption in recent months, including, among other things, extreme volatility in securities prices. We are unable to predict the likely duration and severity of the current disruptions in financial markets and adverse economic conditions throughout the world. These economic developments affect businesses such as ours and those of third parties on which we rely in a number of ways that could result in unfavorable consequences to us. Current economic conditions or a deepening economic downturn in the United States and elsewhere may reduce our ability to access capital, which could negatively impact our short-term and long-term liquidity.</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are not aware of any downgrades, material losses, or other significant deterioration in the fair value of our cash equivalents or short-term investments, we cannot assure you that deterioration of the global credit and financial markets would not negatively impact our current portfolio of cash equivalents or short-term investments, or our ability to meet our financing objectives. Furthermore, our stock price may decline due, in part, to the volatility of the stock market and general economic downturns.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U.S. dollar and the British pound and the euro, may adversely affect us. Although we are based in the United States, we have significant research and development operations in the United Kingdom, and source consulting and other services in the United Kingdom and the European Union. As a result, our business and the price of our common stock may be affected by fluctuations in foreign exchange rates, which may have a significant impact on our results of operations and cash flows from period to period. Currently, we do not have any exchange rate hedging arrangements in 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could adversely affect our business, financial condition or results of operations.</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and trade conflicts, including the ongoing military conflicts between Russia-Ukraine and Israel-Hamas and the ongoing trade conflict between U.S. and China, terrorism, or other geopolitical events. Sanctions imposed by the United States and other countries in response to such conflicts may also adversely impact our clinical trials, the financial markets and the global economy, and any economic countermeasures by the affected countries or others could exacerbate market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instability. A weak or declining economy or political disruption, including any international trade disputes, economic instability, changes in tax</w:t>
      </w:r>
    </w:p>
    <w:p>
      <w:pPr>
        <w:spacing w:after="0" w:line="2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laws and regulations and additional tariffs, including based on the current U.S. presidential administration, export controls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18"/>
          <w:szCs w:val="18"/>
          <w:color w:val="auto"/>
        </w:rPr>
        <w:t xml:space="preserve"> and increased interest rates could disrupt or otherwise adversely impact our operations and those of third parties upon which we rely. Although we do not currently operate in Russia, Ukraine, Israel or China, those conflicts may impact, and if any of those conflicts broaden it may further impact, the markets, countries or territories in which we do operate or intend to operate, which could have a negative impact on our ability to achieve our objectives or timelines.</w:t>
      </w:r>
    </w:p>
    <w:p>
      <w:pPr>
        <w:spacing w:after="0" w:line="22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21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Hercules Loan and Security Agreement contains certain covenants that could adversely affect our operations and, if an event of default were to occur, we could be forced to repay any outstanding indebtedness sooner than planned and possibly at a time when we do not have sufficient capital to meet this obligation.</w:t>
      </w:r>
    </w:p>
    <w:p>
      <w:pPr>
        <w:spacing w:after="0" w:line="18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On October 6, 2022 we and certain of our subsidiaries entered into a Loan and Security Agreement, or the Hercules Loan Agreement with Hercules Capital, Inc., or Hercules, in its capacity as administrative agent and collateral agent and as a lender, which such agreement was subsequently amended in June 2023, December 2023 and January 2026. The Hercules Loan Agreement contains certain affirmative and negative covenants that could prevent us from taking certain actions without the consent of our lenders. These covenants may limit our flexibility in operating our business and our ability to take actions that might be advantageous to us and our stockholders. The Hercules Loan Agreement also contains customary affirmative and negative covenants that, among other things, may limit our ability, subject to certain exceptions, to incur indebtedness, grant liens, enter into a merger or consolidation, enter into transactions with affiliates, or sell all or a portion of our property, business or assets. The Hercules Loan Agreement contains customary events of default. Upon the occurrence and continuation of an event of default, all amounts due under the Hercules Loan Agreement become (in the case of an insolvency or bankruptcy event), or may become (in the case of all other events of default and at the option of Hercules), immediately due and payable. If an event of default under the Hercules Loan Agreement should occur, we could be required to immediately repay any outstanding indebtedness. If we are unable to repay such debt, the lenders would be able to foreclose on the secured collateral, including our cash accounts, and take other remedies permitted under the Hercules Loan Agreement. Even if we are able to repay any indebtedness on an event of default, the repayment of these sums may significantly reduce our working capital and impair our ability to operate as planned.</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have policies, procedures, and processes for assessing, identifying, and managing cybersecurity risks, which are built into our overall information technology function and information about cybersecurity risks, and our risk management processes is collected, analyzed and considered as part of our overall risk management program. Such policies, procedures, and processes are designed to help protect our information assets and operations from internal and external cyber threats as well as secure our networks and systems. Such processes include procedural and technical safeguards, response plans, regular vulnerability and penetration tests on our systems and product applications, incident simulations, and routine review of our policies and procedures to identify risks and improve our practices. Our security incident response plan is designed to help coordinate our response to, and recovery from, cybersecurity incidents, and includes processes to assess the severity of, escalate, contain, investigate, and remediate incidents as well as to comply with applicable legal obligations. We maintain cyber insurance coverage; however, such insurance may not be sufficient in type or amount to cover us against claims related to security breaches, cyber-attacks, and other related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engage certain external parties, including cybersecurity assessors, consultants and auditors, to enhance our cybersecurity processes and strategies. In addition, depending on the nature of the services provided, the sensitivity and quantity of information processed, and the identity of the service provider, we evaluate the security and risk posture with respect to our third party service providers according to the perceived level of risk and in accordance based on industry standard best practices.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 committee of the Board of Directors provides direct oversight over cybersecurity risk and provides applicable updates to the Board of Directors regarding such oversight. Members of management responsible for data privacy, technology, and information security risks join our audit committee meetings from time to time to discuss these risks, risk management activities, incident response plans, best practices, the effectiveness of our security measures, and other related matters.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Vice President of IT, who reports to our Chief Financial Officer, leads the operational oversight of company-wide cybersecurity strategy, policy, standards, and processes and works across relevant departments to assess and help prepare us and our employees to address cybersecurity risks. Specific cybersecurity related responsibilities include overseeing our processes and strategies for the detection, mitigation, and remediation of cybersecurity incidents. Our Vice President of IT has extensive experience assessing and managing cybersecurity and risk programs having served in relevant positions of increasing responsibility for over 25 years at several private and public companies.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an effort to deter and detect cyber threats, we provide all employees with routine response and prevention training, which covers timely and relevant topics, including social engineering, phishing, password protection, confidential data protection, asset use, and mobile security, and educates employees on the importance of reporting all incidents promptly. We also use technology-based tools to mitigate cybersecurity threats and risks and to bolster our employee-based cybersecurity programs.</w:t>
      </w:r>
    </w:p>
    <w:p>
      <w:pPr>
        <w:spacing w:after="0" w:line="2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At this time, 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Despite our cybersecurity efforts, we may not be successful in preventing or mitigating a cybersecurity incident that could materially affect us. See Part I, Item 1A, Risk Factors, in this Annual Report for a discussion of cybersecurity risks.</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Woburn, Massachusetts, where we occupy approximately 18,712 square feet pursuant to a lease expiring in 2029, with an option to extend by an additional five years. We also lease an approximately 12,000 square-foot facility in Oxfordshire, United Kingdom, containing research and development, laboratory and office space. This lease expires in April 2031 and we have the right to terminate it in April 2026. In October 2021 and March 2023, the Company entered into additional agreements to lease approximately 2,951 and 2,058 square feet, respectively, of research and development, office and laboratory space in Abingdon, Oxfordshire, United Kingdom. These lease agreements are both for five years and expire in October 2026 and March 2028, respectively, with no right to renewal.</w:t>
      </w:r>
    </w:p>
    <w:p>
      <w:pPr>
        <w:spacing w:after="0" w:line="12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June 2018, we entered into an agreement to lease approximately 63,000 square feet of office, manufacturing and laboratory space in Framingham, Massachusetts. Pursuant to the lease agreement, the lease term commenced in December 2018 and the rent commenced in August 2019. The initial lease term is ten years from the rent commencement date and includes two optional five-year extensions.</w:t>
      </w:r>
    </w:p>
    <w:p>
      <w:pPr>
        <w:spacing w:after="0" w:line="9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and planned needs. Our leases can be renewed, and we believe that suitable alternative spaces will be available as needed in the future, on commercially reasonable terms. We do not own any real property.</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Jboor v. Replimune Group, Inc. et al., Case No. 1:25-cv-12085-JEK, was filed shortly after the Company announced it received a complete response letter from the FDA for its RP1 BLA for the treatment of advanced melanoma on July 22, 2025 and the subsequent decline in the trading price of the Company's common stock. The Court has appointed a lead plaintiff, or the Lead Plaintiff. On January 13, 2026, the Lead Plaintiff filed an amended complaint. The Company and the other defendants deny any wrongdoing and continue to vigorously defend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Following the class action complaint, three shareholders filed separate derivative actions on behalf of the Company in the District of Massachusetts captioned Chea v. Patel et al., Case No. 1:25-cv-12316-JEK, Wright v. Patel et al., Case No. 1:25-cv-12401-WGY, and Vochten v. Patel et al.,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September 29, 2025, the SEC, informed the Company that it was conducting an investigation and requested that the Company produce certain documents and communications connected with the RP1 BLA. The investigation is reviewing essentially the same subject matter raised in the litigation following the CRL. On June 24, 2026, the SEC informed the Company that it has concluded its investigation of the Company and that it is not recommending an enforcement action be taken against the Company.</w:t>
      </w:r>
    </w:p>
    <w:p>
      <w:pPr>
        <w:spacing w:after="0" w:line="19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Following the second CRL issued by the FDA on April 10, 2026 for the Company's RP1 BLA for the treatment of advanced melanoma, the Lead Plaintiff filed a second amended complaint in the class action that addresses the second CRL. The Company’s and the other defendants’ response is due July 20, 2026.</w:t>
      </w:r>
    </w:p>
    <w:p>
      <w:pPr>
        <w:spacing w:after="0" w:line="1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“REPL” since July 20, 2018.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the close of business on May 31, 2026, there were approximately 5 holders of record of our common stock, based upon information received from our transfer agent. However, this number does not include beneficial owners whose shares were held of record by nominees or broker dealers.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contractual restrictions, business prospects,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herein under Part III, Item 12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have been no unregistered sales of securities other than previously disclosed by us in a Quarterly Report on Form 10-Q or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and other financial information included elsewhere in this Annual Report on Form 10-K. In addition to historical information,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and Section 21E of the Securities Exchange Act of 1934, as amended, or the Exchange Act.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 Item 1A “Risk factors” and our other filings with the SEC.</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circumstances on which any such statements may be based or that may affect the likelihood that actual results will differ from those set forth in the forward-looking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committed to applying our leading expertise in the field of oncolytic immunotherapy to transform the lives of cancer patients through our novel oncolytic immunotherapies. Our proprietary oncolytic immunotherapy product candidates are designed and intended to maximally activate the immune system against cancer.</w:t>
      </w:r>
    </w:p>
    <w:p>
      <w:pPr>
        <w:spacing w:after="0" w:line="18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Oncolytic immunotherapy is an emerging drug class, which we intend to establish as the second cornerstone of immune-based cancer treatments, alongside checkpoint blockade. Oncolytic immunotherapy exploits the ability of certain viruses to selectively replicate in and directly kill tumors, as well as induce a potent, patient-specific, anti-tumor immune response. Our product candidates incorporate multiple mechanisms into a practical “off-the-shelf” approach that is intended to maximize the immune response against a patient’s cancer and to offer significant advantages over other approaches of inducing anti-tumor immunity. We believe that the bundling of multiple approaches for the treatment of cancer into single therapies will increase clinical efficacy and simplify the development path of our product candidates, while also improving patient outcomes.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16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our proprietary RPx platform, building our intellectual property portfolio, conducting research and development of our product candidates, business planning, raising capital and providing selling, general and administrative support for our operations. To date, we have incurred significant operating losses and we have financed our operations primarily with proceeds from the sale of equity securities and to a lesser extent, proceeds from borrowing under secured loan facilities. Our ability to generate product revenue sufficient to achieve profitability will depend on the successful development and eventual commercialization of one or more of our product candidates. We do not have any products approved for sale and have not generated any revenue from product sales.</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or IPO, on July 20, 2018, we have raised an aggregate of approximately $1,132.9 million in net proceeds to fund our operations, of which $101.2 million was from our IPO, $862.0 million was from five separate follow-on offerings, or the Public Offerings, that we closed in November 2019, June 2020, October 2020, December 2022, and November 2024, respectively, $96.7 million was from our private placement transaction in June 2024, and $73.0 million was from at-the-market offerings.</w:t>
      </w:r>
    </w:p>
    <w:p>
      <w:pPr>
        <w:spacing w:after="0" w:line="11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net losses were $313.9 million and $247.3 million for the years ended March 31, 2026 and 2025, respectively. As of March 31, 2026, we had an accumulated deficit of $1,262.5 million. These losses have resulted primarily from costs incurred in connection with research and development activities and selling, general and administrative costs associated with our operations. We expect to continue to incur significant expenses and increasing operating losses for at least the next several years.</w:t>
      </w:r>
    </w:p>
    <w:p>
      <w:pPr>
        <w:spacing w:after="0" w:line="9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anticipate that our expenses and capital requirements will fluctuate from period to period depending upon the Company's development programs and priorities. We expect to continue to incur costs in connection with our ongoing development activities, including further advancement of any preclinical activities and clinical trials of our product candidates across our platform, and if and as we:</w:t>
      </w:r>
    </w:p>
    <w:p>
      <w:pPr>
        <w:spacing w:after="0" w:line="6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current and future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preclinical development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in-house manufacturing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additional clinical, quality control, scientific and selling, general and administration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technologies or intellectual property rights;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4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any future commercialization efforts and operations as a public company.</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and short-term investments of $268.9 million. Based on our current operating plan, we believe that our existing cash and cash equivalents and short-term investments will enable us to fund our operating expenses and capital expenditure requirements into the first calendar quarter of 2027, which includes scale up for the potential commercialization of RP1 in skin cancers and for working capital and general corporate purposes and excludes any potential revenue. We have based these estimates on assumptions that may prove to be wrong, and we could utilize our available capital resources sooner than we expect.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Results of Operations — Liquidity and capital resources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financial position and need for additional capital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as we do not have any approved products and we can not be certain we will generate any revenue from the sale of products in the future. If our development efforts for RP1 or any other product candidates that we may develop in the future are successful and result in regulatory approval, or if we enter into collaboration or license agreements with third parties, we may generate revenue in the future from a combination of product sales or payments from those collaborations or license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since inception have consisted solely of research and development costs and general and administrative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660" w:right="20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clinical research organizations, or CROs, that conduct research, preclinical activities and clinical trials on our behalf as well as contract manufacturing organizations, or CMOs that manufacture our product candidates for use in our preclinical and clinical trials;</w:t>
      </w:r>
    </w:p>
    <w:p>
      <w:pPr>
        <w:spacing w:after="0" w:line="6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engaged in research and development functions, including their fees, stock-based compensation and related travel expenses;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in connection with the development of our product candidates;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1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Direct research and development costs, consisting of costs, such as fees paid to consultants, contractors, CMOs and CROs in connection with our preclinical and clinical development activities, are tracked by study. Additional costs, consisting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primarily of our initial manufacturing costs, including materials, supplies, depreciation and facility costs, are allocated at a program level, based upon manufacturing runs, as the drug product can be utilized across multiple studies for any particular program. Additional costs to label, package and distribute the drug product is then directly allocated to the specific studies when incurred, as that drug product has then been assigned to a particular study. In the event our additional future or ongoing study costs become meaningful to investors, we will present those costs by study.</w:t>
      </w:r>
    </w:p>
    <w:p>
      <w:pPr>
        <w:spacing w:after="0" w:line="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do not allocate personnel costs, costs associated with our discovery efforts, laboratory supplies or other indirect costs, to specific product development programs because these costs are deployed across multiple product development programs and, as such, are not separately classified.</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enrollment in, and the initiation of, additional clinical trials, as well as the continued discovery and development of additional product candidates. However, if we determine that the continued development of RP1 is not viable, our outlook and plans may be uncertain and the impact on our research and development expenses will also be uncertain. At this time our ability to fund and successfully develop, and commercialize, if approved, our product candidates is highly uncertain. This is due to the numerous risks and uncertainties associated with product development and commercialization, including the following:</w:t>
      </w:r>
    </w:p>
    <w:p>
      <w:pPr>
        <w:spacing w:after="0" w:line="81" w:lineRule="exact"/>
        <w:rPr>
          <w:sz w:val="20"/>
          <w:szCs w:val="20"/>
          <w:color w:val="auto"/>
        </w:rPr>
      </w:pPr>
    </w:p>
    <w:p>
      <w:pPr>
        <w:ind w:left="660" w:right="10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reach a mutually agreeable path forward with the FDA with respect to the scope, design, implementation and timing of an approval for RP1 (vusolimogene oderparepvec) in combination with nivolumab for the treatment of adult patients with advanced melanoma who have previously received an anti-PD-1 containing regimen the scope, rate of progress, expense and results of our ongoing clinical trials, as well as future clinical trials or other product candidates and other research and development activities that we may conduct;</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enrollment in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operating our manufacturing facility, or securing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 and the timing of such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product candidates for use in combination with third-party products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in the field of immuno-oncology;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 and the views and implementation of such regulation and guidance from the leadership of the applicable regulatory agency.</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could be required to expend significant additional financial resources and time on the completion of clinical development. We may never succeed in obtaining regulatory approval for any of our product candidates.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personnel in our executive, finance, corporate, commercial, and business development and administrative functions. Selling, general and administrative expenses also include professional fees for legal, patent, accounting, auditing, tax and consulting services, pre-commercial planning, travel expenses, and facility-related expenses, which include direct depreciation costs and allocated expenses for rent and maintenance of facilities and other operating costs.</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FDA provides an accelerated approval of our BLA for RP1 plus nivolumab for the treatment of advanced melanoma, we expect that our selling, general and administrative expenses will continue to increase in the future as we increase our selling, general and administrative headcount to support our continued operations and pre-launch activities to prepare for potential commercialization of our product candidates. We also expect to continue to incur increased expenses, including accounting, audit, legal, regulatory and tax-related services associated with maintaining compliance with exchange listing and SEC requirements; director and officer insurance costs; and investor and public relations costs. If we determine that the continued development of RP1 is not viable, we expect that our selling, general and administrative expenses will decrease but to what extent we are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incentives consists of reimbursements of research and development expenditures. We participate, through our subsidiary in the United Kingdom, in the research and development program provided by the United Kingdom tax relief program, such that a percentage of up to 16.2% of our qualifying research and development expenditures are reimbursed by the United Kingdom government, and such incentives are reflected as other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and cash equivalents and short-term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finance lease liability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finance lease liability consists of amortization of finance charges under our finance 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debt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debt obligations consists of the amortization of debt discount and cash paid for interest under the Hercules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consists primarily of realized and unrealized foreign currency transaction gains and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840"/>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2026 and 2025, the Company recorded an income tax benefit of $0.6 million and a provision of $0.5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March 31, 2026 and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80" w:type="dxa"/>
            <w:vAlign w:val="bottom"/>
          </w:tcPr>
          <w:p>
            <w:pPr>
              <w:spacing w:after="0"/>
              <w:rPr>
                <w:sz w:val="17"/>
                <w:szCs w:val="17"/>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r>
      <w:tr>
        <w:trPr>
          <w:trHeight w:val="23"/>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4"/>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5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70"/>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189,447</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0"/>
        </w:trPr>
        <w:tc>
          <w:tcPr>
            <w:tcW w:w="5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63"/>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261,627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58,292</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on finance lease liability</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64"/>
        </w:trPr>
        <w:tc>
          <w:tcPr>
            <w:tcW w:w="5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(314,491)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8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(66,643)</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-1928495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-1928495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-2750820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-2750820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 ended March 31, 2026 were $221.2 million, compared to $189.4 million for the year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following table summarizes our research and development expenses for the years ended March 31, 2026 and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0" w:type="dxa"/>
            <w:vAlign w:val="bottom"/>
          </w:tcPr>
          <w:p>
            <w:pPr>
              <w:spacing w:after="0"/>
              <w:rPr>
                <w:sz w:val="17"/>
                <w:szCs w:val="17"/>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RP1 program costs by study:</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IGNYTE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ARTACUS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CERPASS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IGNYTE-3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30"/>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RP1 study costs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RP1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0"/>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RP2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70"/>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RP3</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0"/>
        </w:trPr>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189,447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31,737</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total increase of $31.7 million in research and development expenses was driven by an increase of $24.5 million in our direct research and development costs, as well as an increase of $7.2 million in unallocated expenses. The increase of approximately $24.5 million in our direct research and development costs was driven by an increase of $13.9 million in spending on RP2 study costs during the year, primarily related to the REVEAL study, as the Company continued to ramp up enrollment and expanded this trial outside of the United States. In addition, RP1 costs increased by $12.9 million as a result of costs related to the IGNYTE-3 confirmatory study as well as an increase of $7.7 million in other RP1 study costs, specifically operating and lab supplies, and facility costs. These increases were partially offset by decreases in the IGNYTE and CERPASS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studies as a result of the completion of enrollment in the IGNYTE advanced melanoma cohort and declining enrollment and the wind down of the CERPASS study.</w:t>
      </w:r>
    </w:p>
    <w:p>
      <w:pPr>
        <w:spacing w:after="0" w:line="8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increase in unallocated expenses includes an increase of $9.8 million in personnel-related costs, which is primarily related to an increase of $11.6 million in payroll and fringe benefits which largely reflected the increase in personnel in our research and development functions year over year as we expanded the development plan in multiple indications. The decrease in other costs is driven by a year over year decrease in consulting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$98.7 million for the year ended March 31, 2026, compared to $72.2 million for the year ended March 31, 2025. The increase of $26.6 million in sales, general and administrative costs is driven primarily by an increase of $20.3 million in personnel related costs, comprised of an increase of $21.4 million in payroll and fringe benefits slightly offset by a stock-based compensation decrease of $1.1 million. The increase in personnel related costs was driven by the continued hiring of additional personnel within our selling, general and administrative functions, specifically focusing on planning for a potential commercial launch. Personnel related costs for the year ended March 31, 2026 and 2025 included stock-based compensation expense of $15.5 million and $16.6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for the year ended March 31, 2026 was $5.4 million compared to $14.8 million for the year ended March 31, 2025. The net change of $9.4 million is primarily attributable to a decrease of $7.5 million in investment income in the current year as compared to the prior year as a result of the cash and investment balance being lower throughout the year as compared to the prior year due to normal cash burn, as well as an increase in interest expense on debt obligations in the amount of $1.0 million as a result of a higher debt balance during the current year vs.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income tax benefit for the year ended March 31, 2026 was $0.6 million compared to an income tax provision of $0.5 million for the year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Until we are able to generate sufficient revenue from RP1 and our other product candidates that we develop, if at all, we anticipate that we will continue to incur significant operating losses and negative cash flows from our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its current operating plan, the Company expects to continue to generate operating losses for the foreseeable future and that its existing cash, cash</w:t>
      </w:r>
    </w:p>
    <w:p>
      <w:pPr>
        <w:spacing w:after="0" w:line="27" w:lineRule="exact"/>
        <w:rPr>
          <w:sz w:val="20"/>
          <w:szCs w:val="20"/>
          <w:color w:val="auto"/>
        </w:rPr>
      </w:pPr>
    </w:p>
    <w:p>
      <w:pPr>
        <w:jc w:val="both"/>
        <w:ind w:right="200"/>
        <w:spacing w:after="0" w:line="248" w:lineRule="auto"/>
        <w:rPr>
          <w:sz w:val="20"/>
          <w:szCs w:val="20"/>
          <w:color w:val="auto"/>
        </w:rPr>
      </w:pPr>
      <w:r>
        <w:rPr>
          <w:rFonts w:ascii="Times New Roman" w:cs="Times New Roman" w:eastAsia="Times New Roman" w:hAnsi="Times New Roman"/>
          <w:sz w:val="18"/>
          <w:szCs w:val="18"/>
          <w:color w:val="auto"/>
        </w:rPr>
        <w:t>equivalents and short-term investments will be sufficient to fund its operating expenses and capital expenditure requirements only into the first calendar quarter of 2027, which is less than one year from the date these consolidated financial statements are issued. The Company does not have any committed source of additional funding and will be required to obtain additional financing to fund its operations beyond that date. These conditions raise substantial doubt about the Company's ability to continue as a going concern.</w:t>
      </w:r>
    </w:p>
    <w:p>
      <w:pPr>
        <w:spacing w:after="0" w:line="2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is collaborating with the FDA regarding a path forward for RP1 and, if the BLA is approved, the Company will determine the best source of capital, which may be raising additional capital through public or private equity offerings (including under our at-the-market facilities), although there can be no guarantee that the Company will be able to raise such capital on acceptable terms, or at all. If the BLA is not approved, the Company will likely need to (i) execute a considerable restructuring and workforce reduction to reduce our cash burn, (ii) reconsider our product development efforts and strategies and (iii) pursue collaborations, strategic alliances, licensing arrangements, business combination, merger or acquisition, or other strategic business development activities to continue operations. In either scenario, our plans are subject to risks and uncertainties, including factors outside our control. Accordingly, we have not been able to conclude that these plans are probable of being effectively implemented and, as such, they do not alleviate the substantial doubt about our ability to continue as a going concern.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primarily with proceeds from the sale of equity securities and, to a lesser extent, proceeds from borrowing under a secured loan facility. Through March 31, 2026, we had received net proceeds of $1,132.9</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million through the sale of shares of common stock and pre-funded warrants exercisable for common stock in public offerings, a private placement transaction, and at-the-market offerings, as well as our incurrence of debt under the Hercules Loan Agreement. As of March 31, 2026, we had cash and cash equivalents and short-term investments of $268.9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8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37"/>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(192,250)</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252,396</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-213995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March 31, 2026, net cash used in operating activities was $280.3 million, primarily resulting from our net loss of $313.9 million, which was partially offset by non-cash charges of $37.4 million, consisting primarily of stock-based compensation expense of $32.3 million, depreciation and amortization expense of $3.3 million and a net $3.2 million change in operating and finance right-of-use assets and lease liabilities, somewhat offset by $2.5 million related to the net amortization of premiums and discounts on short-term investments and a decrease in cash of $3.8 million related to changes in our operating assets and liabilities. Changes in our operating assets and liabilities for the year ended March 31, 2026 consisted primarily of a $4.9 million decrease in accounts payable and a $2.2 million increase in accrued expenses and other current liabilities.</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March 31, 2025, net cash used in operating activities was $192.3 million, primarily resulting from our net loss of $247.3 million, which was partially offset by non-cash charges of $31.0 million, consisting primarily of stock-based compensation expense of $35.0 million and depreciation expense of $3.5 million, somewhat offset by $8.9 million related to the net amortization of premiums and discounts on short-term investments. Additionally, there was an increase in cash of $24.1 million related to changes in our operating assets and liabilities. Changes in our operating assets and liabilities for the year ended March 31, 2025 consisted primarily of a $11.7 million increase in accrued expenses and other current liabilities, a $9.9 million increase in accounts payable, and a net $2.4 million change in operating and finance right-of-use assets and lease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net cash provided by investing activities was $310.8 million, consisting of $393.0 million in proceeds from sales and maturities of short-term investments, somewhat offset by $77.9 million in purchases of available for sale securities and $4.2 million in purchases of property, plant and equipment.</w:t>
      </w:r>
    </w:p>
    <w:p>
      <w:pPr>
        <w:spacing w:after="0" w:line="9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2025, net cash used in investing activities was $23.8 million, consisting of $403.6 million in purchases of available for sale securities and $6.7 million in purchases of property, plant and equipment, partially offset by $386.5 million in proceeds from sales and maturities of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net cash provided by financing activities was $66.3 million, consisting primarily of $35.0 million in proceeds from the incurrence of debt under the loan agreement with Hercules, as well as $31.1 million in proceeds from the issuance of common stock through sales under our at-the-market facility.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2025, net cash provided by financing activities was $252.4 million, consisting primarily of $252.7 million in proceeds from the Company's private placement transaction in June 2024 as well as the Company's November 2024 public offering.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plan of operation is to continue implementing our business strategy, continue research and development of RP1 and our other product candidates and continue to expand our research pipeline and our internal research and development capabilities. We expect our expenses to increase substantially in connection with our ongoing activities, particularly as we advance the preclinical activities and clinical trials of our product candidates, and potential commercialization of RP1 and if and as we:</w:t>
      </w:r>
    </w:p>
    <w:p>
      <w:pPr>
        <w:spacing w:after="0" w:line="7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with RP1, RP2 and RP3;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preclinical development of our RPx platform;</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qualify and maintain our in-house manufacturing facility and qualify and maintain our product candidates made therein for use in our clinical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our planned manufacturing facility is fully validated, continued limited manufacturing by third parties for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technologies or third-party intellectual property; and</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any future commercialization efforts and operations as a public company.</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and short-term investments of $268.9 million and $83.3 million in long term debt. Based on our current operating plan, we believe that our existing cash, cash equivalents and short-term investments as of March 31, 2026, will enable us to fund operations into the first calendar quarter of 2027 which includes scale up for the potential commercialization of RP1 in skin cancers and for working capital and general corporate purposes and excludes any potential revenue. We have based these estimates on assumptions that may prove to be wrong, and we could utilize our available capital resources sooner than we expect.</w:t>
      </w:r>
    </w:p>
    <w:p>
      <w:pPr>
        <w:spacing w:after="0" w:line="102" w:lineRule="exact"/>
        <w:rPr>
          <w:sz w:val="20"/>
          <w:szCs w:val="20"/>
          <w:color w:val="auto"/>
        </w:rPr>
      </w:pPr>
    </w:p>
    <w:p>
      <w:pPr>
        <w:ind w:right="20" w:firstLine="405"/>
        <w:spacing w:after="0" w:line="24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RP1 and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and potential commercialization of our product candidates. Our future capital requirements will depend on many factors, including those described in this section and above under “— Operating expenses — Research and development expenses.”</w:t>
      </w:r>
    </w:p>
    <w:p>
      <w:pPr>
        <w:spacing w:after="0" w:line="117"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Developing novel biopharmaceutical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therapies that we do not expect to be commercially available for many years, if ever. Accordingly, we will need to obtain substantial additional funds to achieve our business objectives.</w:t>
      </w:r>
    </w:p>
    <w:p>
      <w:pPr>
        <w:spacing w:after="0" w:line="11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our equity or convertible debt securities, our shareholders’ interest may be diluted, and the terms of these securities may include liquidation or other preferences and anti-dilution protections that could adversely affect the rights of our common stockholder. Additional debt or preferred equity financing, if available, may involve agreements that include restrictive covenants that may limit our ability to take specific actions, such as incurring debt, adversely impact our ability to conduct our business, and may require the issuance of warrants, which could potentially dilute your ownership interest.</w:t>
      </w:r>
    </w:p>
    <w:p>
      <w:pPr>
        <w:spacing w:after="0" w:line="12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 delay, limit, reduce and/or terminate our product development programs or any future commercialization efforts or grant rights to develop and market product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Our contractual obligations include those related to our operating and finance leases, long-term debt, as well as costs associated with contracts entered into in the normal course of business with CROs, CMOs and other third parties for clinical trials and preclinical research studies and testing.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the aggregate amount of future lease payments is approximately $45.1 million, with $4.0 million due within one year. For additional information on our leases and timing of future payments,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contained in Part II, Item 8 of this Annual Report on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6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Our commitments due for our term loan under our arrangement with Hercules include principal payments of $80.0 million as of March 31, 2026. Borrowings under the term loan agreement are repayable in monthly interest-only payments through September 2027, and the agreement has a maturity date of October 2027. A balloon payment, inclusive of accrued interest and principal, are due on the maturity date of October 1, 2027. Our remaining commitments, based on our current draws, are due on October 2027, and include principal and interest payments of $84.2 million, and an additional fee upon maturity of the loan of $4.0 million. See Note 7, </w:t>
      </w:r>
      <w:r>
        <w:rPr>
          <w:rFonts w:ascii="Times New Roman" w:cs="Times New Roman" w:eastAsia="Times New Roman" w:hAnsi="Times New Roman"/>
          <w:sz w:val="18"/>
          <w:szCs w:val="18"/>
          <w:i w:val="1"/>
          <w:iCs w:val="1"/>
          <w:color w:val="auto"/>
        </w:rPr>
        <w:t>Long term debt</w:t>
      </w:r>
      <w:r>
        <w:rPr>
          <w:rFonts w:ascii="Times New Roman" w:cs="Times New Roman" w:eastAsia="Times New Roman" w:hAnsi="Times New Roman"/>
          <w:sz w:val="18"/>
          <w:szCs w:val="18"/>
          <w:color w:val="auto"/>
        </w:rPr>
        <w:t>, of the "Notes to Consolidated Financial Statements" contained in Part II, Item 8 of this Annual Report on Form 10-K for further discussion of the Hercules term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4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Manufacturing and research commitments include agreements that are enforceable and legally binding on us and that specify all significant terms, including fixed or minimum quantities to be purchased; fixed, minimum or variable price provisions; and the approximate timing of the transaction. As of March 31, 2026, the aggregate amount of non-cancelable purchase obligations related to such manufacturing commitments are approximately $0.8 million and all of this balance is due within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BMS</w:t>
      </w:r>
    </w:p>
    <w:p>
      <w:pPr>
        <w:spacing w:after="0" w:line="16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February 2018, we entered into a Clinical Trial Collaboration and Supply Agreement with Bristol-Myers Squibb Company, or BMS. Pursuant to the agreement, BMS is providing to us, at no cost, nivolumab, its anti-PD-1 therapy, for use in combination with RP1 in our ongoing Phase 1/2 clinical trial. Under the agreement, we will sponsor, fund and conduct the clinical trial in accordance with an agreed-upon protocol. BMS granted us a non-exclusive, non-transferrable, royalty-free license (with a right to sublicense) under its intellectual property to use nivolumab in the clinical trial and has agreed to supply nivolumab, at no cost to us, for use in the clinical trial. Both parties will own the study data produced in the clinical trial, other than study data related solely to nivolumab, which will belong solely to BMS, or study data related solely to RP1, which will belong solely to us. In January 2020, this agreement was expanded to cover an additional cohort of 125 patients with anti-PD-1 failed melanoma.</w:t>
      </w:r>
    </w:p>
    <w:p>
      <w:pPr>
        <w:spacing w:after="0" w:line="121"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w:t>
      </w:r>
    </w:p>
    <w:p>
      <w:pPr>
        <w:spacing w:after="0" w:line="2" w:lineRule="exact"/>
        <w:rPr>
          <w:sz w:val="20"/>
          <w:szCs w:val="20"/>
          <w:color w:val="auto"/>
        </w:rPr>
      </w:pPr>
    </w:p>
    <w:p>
      <w:pPr>
        <w:ind w:right="60" w:firstLine="8"/>
        <w:spacing w:after="0" w:line="255"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other party is insolvent or in bankruptcy proceedings or (z) for safety reasons. Upon termination, the licenses granted to us to use nivolumab in the clinical trial will terminate. The agreement contains representations, warranties, undertakings and indemnities customary for a transaction of this nature.</w:t>
      </w:r>
    </w:p>
    <w:p>
      <w:pPr>
        <w:spacing w:after="0" w:line="1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April 2019, we entered into a separate agreement with BMS on terms similar to the terms set forth in the agreement described above, pursuant to which BMS will provide, at no cost to us, nivolumab for use in our Phase 1 clinical trial of RP2 in combination with nivolumab.</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2022, we entered into a Master Clinical Trial Collaboration and Supply Agreement with Roche in relation to our RP2 and RP3 programs in colorectal cancer, or CRC, and hepatocellular carcinoma, or HCC. Under the agreement, the companies intended to collaborate in 30 patient cohort signal finding studies in third-line, or 3L, CRC and in first- and second-line, or 1L and 2L, respectively, HCC. Following our re-prioritization of our product development portfolio in December 2023, we have agreed with Roche to terminate the CRC collaboration and pursue the 2L cohort in HCC with RP2 only. Roche has continued to supply its currently approved drugs, atezolizumab and bevacizumab for the 2L cohort in HCC but is not sharing costs following our re-prioritization. Under the terms of the initial agreement we retained the responsibility of operating the clinical trials as well as retaining all the rights to the development and commercialization of our product candidates. The agreement may be terminated by either party upon sixty days prior written notice to the other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activities and conducting preclinical studies and clinical trials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the production of preclinical and clinical trial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service providers in connection with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and development and distribution of preclinical and clinical supplies.</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and/or timing of receiving invoices for actual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issue stock-based awards to employees, directors, consultants and non-employees in the form of stock options, restricted stock units, or RSUs, and performance-based restricted stock units, or PSUs. We measure such stock-based awards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which requires all stock-based awards to be recognized in the consolidated statements of operations and comprehensive loss based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on the date of the grant and the related compensation expense for those awards is recognized over the requisite service period, which is generally the vesting period of the respective award. We have, to date, issued stock-based awards with service-based and performance-based vesting conditions. Expense for stock-based awards with service-based vesting conditions is recorded using the straight-line method and for PSUs with performance-based vesting conditions, the expense is recorded using the graded vesting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See Note 10 of the "Notes to Consolidated Financial Statements" contained in Part II, Item 8 of this Annual Report on Form 10-K for more information. Forfeitures are accounted for as they occur. The fair value of each RSU and PSU is estimated on the date of grant based on the fair value of our common stock on that same date.</w:t>
      </w:r>
    </w:p>
    <w:p>
      <w:pPr>
        <w:spacing w:after="0" w:line="10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in the same manner in which the award recipient’s payroll costs are classified or in which the award recipient’s service payments are classified.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“Notes to Consolidated Financial Statements” contained in Part II, Item 8 of this Annual Report on Form 10-K for a description of recent accounting pronouncements that are applicable to our business and may potentially have an impact on our financial position and results of operations.</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and short-term investments of $268.9 million, which consisted of cash equivalents, U.S. Treasury securities and U.S. government agency securities. Our primary exposure to market risk relates to fluctuations in interest rates, which are affected by changes in the general level of U.S. interest rates. Given the short-term nature of our cash, cash equivalents and marketable securities, we do not expect that a sudden change in market interest rates would have a material impact on our financial condition and/or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headquarters are located in the United States, where the majority of our selling, general and administrative expenses are incurred in U.S. dollars. The majority of our research and development costs are incurred by our subsidiary in Oxfordshire, United Kingdom, whose functional currency is the British pound. We are exposed to foreign exchange rate risk. During the years ended March 31, 2026 and 2025, we recorded net foreign currency transaction gains of $0.3 million and $0.2 million, respectively. These gains are primarily related to unrealized and realized foreign currency gains and losses as a result of transactions entered into by our United Kingdom subsidiary in currencies other than the British pound, primarily the euro. These foreign currency transaction gains and losses were recorded as a component of other income (expense), net in our consolidated statements of operations. We believe that a 10% change in the exchange rate between the British pound and the euro would not have a material impact on our financial position or results of operations.</w:t>
      </w:r>
    </w:p>
    <w:p>
      <w:pPr>
        <w:spacing w:after="0" w:line="12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consolidated financial statements filed as part of this Annual Report on Form 10-K as listed under Item 15 below.</w:t>
      </w:r>
    </w:p>
    <w:p>
      <w:pPr>
        <w:spacing w:after="0" w:line="221" w:lineRule="exact"/>
        <w:rPr>
          <w:sz w:val="20"/>
          <w:szCs w:val="20"/>
          <w:color w:val="auto"/>
        </w:rPr>
      </w:pPr>
    </w:p>
    <w:p>
      <w:pPr>
        <w:ind w:right="376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Securities Exchange Act of 1934, as amended, or the Exchange Act) as of the end of the period covered by this report, as required by Rule 13a-15(b) under the Exchange Act. Based upon that evaluation, our Chief Executive Officer and Chief Financial Officer have concluded that, as of March 31, 2026, our disclosure controls and procedures were effective at the reasonable assurance level.</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Our management concluded that the consolidated financial statements included in this Annual Report on Form 10-K, present fairly, in all material respects, our financial position, results of operations, and cash flows for the periods presented in accordance with accounting principles generally accepted in the United States of America, or U.S. GAAP. Our Chief Executive Officer and Chief Financial Officer have certified that, based on each such officer’s knowledge, the financial statements, as well as the other financial information included in this Annual Report, fairly present in all material respects the financial condition, results of operations and cash flows of the Company as of, and for, the periods presented in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6" w:lineRule="exact"/>
        <w:rPr>
          <w:sz w:val="20"/>
          <w:szCs w:val="20"/>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ind w:left="660" w:right="380" w:hanging="4"/>
        <w:spacing w:after="0" w:line="250" w:lineRule="auto"/>
        <w:tabs>
          <w:tab w:leader="none" w:pos="9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660" w:right="140" w:hanging="4"/>
        <w:spacing w:after="0" w:line="260"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2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of the Company has assessed the effectiveness of the Company’s internal control over financial reporting as of March 31, 2026. In making its assessment of internal control over financial reporting, management used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or COSO. Based on this evaluation, management concluded that our internal control over financial reporting was effective as of March 31, 2026.</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audit report of the Company’s registered public accounting firm regarding internal control over financial reporting. Management’s report was not subject to audit by the Company’s registered public accounting firm pursuant to rules of the Securities and Exchange Commission that permit the Company to provide only management’s report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As of March 31, 2026, we have remediated the previously reported material weaknesses concerning the design and maintenance of information technology, or IT, general controls for information systems that are relevant to the preparation of our financial statements. Specifically, we did not design and maintain effective: (i) program change management controls to ensure that information technology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21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response to the identified material weaknesses, we took a number of actions to improve our internal control over financial reporting during the year ended March 31, 2026, including the following:</w:t>
      </w:r>
    </w:p>
    <w:p>
      <w:pPr>
        <w:spacing w:after="0" w:line="189" w:lineRule="exact"/>
        <w:rPr>
          <w:sz w:val="20"/>
          <w:szCs w:val="20"/>
          <w:color w:val="auto"/>
        </w:rPr>
      </w:pPr>
    </w:p>
    <w:p>
      <w:pPr>
        <w:ind w:left="660" w:right="4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 external advisor to assist with documenting and testing the design and operating effectiveness of internal controls over financial reporting and assist with the remediation efforts, as necessary;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80" w:hanging="328"/>
        <w:spacing w:after="0" w:line="24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enhanced, and implemented certain general IT controls, including controls over the provisioning and monitoring of user access rights for certain systems;</w:t>
      </w:r>
    </w:p>
    <w:p>
      <w:pPr>
        <w:ind w:left="660" w:hanging="328"/>
        <w:spacing w:after="0" w:line="23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to formalize roles and review responsibilities over segregation of duties across key financial systems; and</w:t>
      </w: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program change management computer operations and program development controls.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has since completed implementation of all of the remedial measures, as well as testing the design and operating effectiveness of the applicable remediated controls in the last two quarters of fiscal year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the fiscal year ended March 31, 2026 that have materially affected, or are reasonably likely to materially affect, our internal control over financial reporting.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 Trading Arrangements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modified, or terminated any effective “Rule 10b5-1 trading arrangement” or “non-Rule 10b5-1 trading arrangement,” in each case as defined in Item 408 of Regulation S-K.</w:t>
      </w:r>
    </w:p>
    <w:p>
      <w:pPr>
        <w:spacing w:after="0" w:line="200" w:lineRule="exact"/>
        <w:rPr>
          <w:sz w:val="20"/>
          <w:szCs w:val="20"/>
          <w:color w:val="auto"/>
        </w:rPr>
      </w:pPr>
    </w:p>
    <w:p>
      <w:pPr>
        <w:spacing w:after="0" w:line="215" w:lineRule="exact"/>
        <w:rPr>
          <w:sz w:val="20"/>
          <w:szCs w:val="20"/>
          <w:color w:val="auto"/>
        </w:rPr>
      </w:pPr>
    </w:p>
    <w:p>
      <w:pPr>
        <w:ind w:right="52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text of our Code of Business Conduct and Ethics, which applies to our directors and employees (including our principal executive officer, principal financial officer, and principal accounting officer or controller, and persons performing similar functions), is posted in the “Corporate Governance” section of our website, www.replimune.com. A copy of the Code of Business Conduct and Ethics can be obtained free of charge on our website. We intend to disclose on our website any amendments to, or waivers from, our Code of Business Conduct and Ethics that are required to be disclosed pursuant to the rules of the Securities and Exchange Commission and Nasdaq. The information contained on our website is not considered part of, or incorporated by reference into, this Annual Report on Form 10-K or any other filing that we make with the Securities and Exchange Commission.</w:t>
      </w:r>
    </w:p>
    <w:p>
      <w:pPr>
        <w:spacing w:after="0" w:line="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In addition, we have adopted an insider trading policy and procedures governing the purchase, sale, and/or other dispositions of our securities (the “Insider Trading Policy”) that applies to all directors, officers, and employees of the Company and its subsidiaries. With regard to the Company's trading in its own securities, it is the Company's policy to comply with the federal securities laws and the applicable exchange listing requirements. We believe that the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is filed with the SEC and incorporated by reference herein as Exhibit 19.1 to our Annual Report on Form 10-K for the year ended March 31, 2025.</w:t>
      </w:r>
    </w:p>
    <w:p>
      <w:pPr>
        <w:spacing w:after="0" w:line="10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Information about our executive officers, directors, and all other remaining matters required to be disclosed in Item 10 “Directors, executive officers and corporate governance” appears under the “Executive Officers,” “Proposal No. 1 – Election of Directors,” “Board of Directors,” “Corporate Governance,” “Anti-Hedging and Pledging Policy,” and “Audit Committee Report” sections of our proxy statement for our 2026 annual meeting of stockholders, or our 2026 Proxy Statement, and is hereby incorporated by reference. We will file our 2026 Proxy Statement with the Securities and Exchange Commission pursuant to Regulation 14A not later than 120 days after the close of our fiscal year ended March 31, 2026.</w:t>
      </w:r>
    </w:p>
    <w:p>
      <w:pPr>
        <w:spacing w:after="0" w:line="19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1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Information about compensation of our named executive officers appears under the “Corporate Governance,” “Director Compensation,” “Executive Compensation,” and the “Pay versus Performance” sections of our 2026 Proxy Statement and is hereby incorporated by reference. Information about compensation of the Board appears under the "Director Compensation" section of our 2026 Proxy Statement and is hereby incorporated by reference. We will file our 2026 Proxy Statement with the Securities and Exchange Commission pursuant to Regulation 14A not later than 120 days after the close of our fiscal year ended March 31, 2026.</w:t>
      </w:r>
    </w:p>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March 31, 2026, regarding our common stock that may be issued under (1) the 2017 Equity Compensation Plan, or the 2017 Plan; (2) the 2018 Omnibus Incentive Compensation Plan, or the 2018 Plan; or (3) the Employee Stock Purchase Plan, or the ESPP.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5"/>
        </w:trPr>
        <w:tc>
          <w:tcPr>
            <w:tcW w:w="5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62"/>
        </w:trPr>
        <w:tc>
          <w:tcPr>
            <w:tcW w:w="5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Future Issuance Under Equity</w:t>
            </w:r>
          </w:p>
        </w:tc>
      </w:tr>
      <w:tr>
        <w:trPr>
          <w:trHeight w:val="175"/>
        </w:trPr>
        <w:tc>
          <w:tcPr>
            <w:tcW w:w="510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 Plans (excluding</w:t>
            </w:r>
          </w:p>
        </w:tc>
      </w:tr>
      <w:tr>
        <w:trPr>
          <w:trHeight w:val="175"/>
        </w:trPr>
        <w:tc>
          <w:tcPr>
            <w:tcW w:w="510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reflected in column</w:t>
            </w:r>
          </w:p>
        </w:tc>
      </w:tr>
      <w:tr>
        <w:trPr>
          <w:trHeight w:val="175"/>
        </w:trPr>
        <w:tc>
          <w:tcPr>
            <w:tcW w:w="510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t>
            </w:r>
          </w:p>
        </w:tc>
      </w:tr>
      <w:tr>
        <w:trPr>
          <w:trHeight w:val="190"/>
        </w:trPr>
        <w:tc>
          <w:tcPr>
            <w:tcW w:w="51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37"/>
        </w:trPr>
        <w:tc>
          <w:tcPr>
            <w:tcW w:w="51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Equity compensation plans approved by stockholders</w:t>
            </w: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Plan</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974,976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 Plan</w:t>
            </w:r>
            <w:r>
              <w:rPr>
                <w:rFonts w:ascii="Times New Roman" w:cs="Times New Roman" w:eastAsia="Times New Roman" w:hAnsi="Times New Roman"/>
                <w:sz w:val="23"/>
                <w:szCs w:val="23"/>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10,057,964</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3"/>
                <w:szCs w:val="23"/>
                <w:color w:val="auto"/>
              </w:rPr>
            </w:pPr>
          </w:p>
        </w:tc>
        <w:tc>
          <w:tcPr>
            <w:tcW w:w="1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1,569,457</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4,102,399</w:t>
            </w:r>
          </w:p>
        </w:tc>
        <w:tc>
          <w:tcPr>
            <w:tcW w:w="20" w:type="dxa"/>
            <w:vAlign w:val="bottom"/>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5"/>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11,032,940</w:t>
            </w: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5,671,856</w:t>
            </w:r>
          </w:p>
        </w:tc>
        <w:tc>
          <w:tcPr>
            <w:tcW w:w="20" w:type="dxa"/>
            <w:vAlign w:val="bottom"/>
          </w:tcPr>
          <w:p>
            <w:pPr>
              <w:spacing w:after="0"/>
              <w:rPr>
                <w:sz w:val="24"/>
                <w:szCs w:val="24"/>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8"/>
        </w:trPr>
        <w:tc>
          <w:tcPr>
            <w:tcW w:w="5100" w:type="dxa"/>
            <w:vAlign w:val="bottom"/>
          </w:tcPr>
          <w:p>
            <w:pPr>
              <w:spacing w:after="0"/>
              <w:rPr>
                <w:sz w:val="24"/>
                <w:szCs w:val="24"/>
                <w:color w:val="auto"/>
              </w:rPr>
            </w:pPr>
          </w:p>
        </w:tc>
        <w:tc>
          <w:tcPr>
            <w:tcW w:w="1960" w:type="dxa"/>
            <w:vAlign w:val="bottom"/>
          </w:tcPr>
          <w:p>
            <w:pPr>
              <w:jc w:val="right"/>
              <w:ind w:right="1258"/>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-1902460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-1902460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32315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4,907,131 shares of common stock subject to outstanding restricted and performance stock units.</w:t>
      </w:r>
    </w:p>
    <w:p>
      <w:pPr>
        <w:spacing w:after="0" w:line="200" w:lineRule="exact"/>
        <w:rPr>
          <w:sz w:val="20"/>
          <w:szCs w:val="20"/>
          <w:color w:val="auto"/>
        </w:rPr>
      </w:pPr>
    </w:p>
    <w:p>
      <w:pPr>
        <w:spacing w:after="0" w:line="2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Information about security ownership of certain beneficial owners and management appears under the "Security Ownership of Certain Owners and Management" section of our 2026 Proxy Statement and is hereby incorporated by reference. We will file our 2026 Proxy Statement with the Securities and Exchange Commission pursuant to Regulation 14A not later than 120 days after the close of our fiscal year ended March 31, 2026.</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43"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Information about certain relationships and related transactions, and director independence appears under “Certain Relationships and Related Party Transactions” and “Corporate Governance” sections of our 2026 Proxy Statement and are hereby incorporated by reference. We will file our 2026 Proxy Statement with the Securities and Exchange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Regulation 14A not later than 120 days after the close of our fiscal year ended March 31, 2026.</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8"/>
          <w:szCs w:val="18"/>
          <w:color w:val="auto"/>
        </w:rPr>
        <w:t>Information about the fees and services of our principal accountant, PricewaterhouseCoopers LLP, appears under the “Proposal No. 2 — Ratification of Selection of Independent Registered Public Accounting Firm” section of our 2026 Proxy Statement and is hereby incorporated by reference. We will file our 2026 Proxy Statement with the Securities and Exchange Commission pursuant to Regulation 14A not later than 120 days after the close of our fiscal year ended March 31, 2026.</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Consolidated financial statements.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list of the consolidated financial statements included herein, see Index on page F-1 of this report.</w:t>
      </w:r>
    </w:p>
    <w:p>
      <w:pPr>
        <w:spacing w:after="0" w:line="221" w:lineRule="exact"/>
        <w:rPr>
          <w:sz w:val="20"/>
          <w:szCs w:val="20"/>
          <w:color w:val="auto"/>
        </w:rPr>
      </w:pPr>
    </w:p>
    <w:p>
      <w:pPr>
        <w:ind w:left="820" w:hanging="488"/>
        <w:spacing w:after="0"/>
        <w:tabs>
          <w:tab w:leader="none" w:pos="8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required information is included in the financial statements or notes thereto.</w:t>
      </w:r>
    </w:p>
    <w:p>
      <w:pPr>
        <w:spacing w:after="0" w:line="221" w:lineRule="exact"/>
        <w:rPr>
          <w:sz w:val="20"/>
          <w:szCs w:val="20"/>
          <w:color w:val="auto"/>
        </w:rPr>
      </w:pPr>
    </w:p>
    <w:p>
      <w:pPr>
        <w:ind w:left="820" w:hanging="488"/>
        <w:spacing w:after="0"/>
        <w:tabs>
          <w:tab w:leader="none" w:pos="8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immediately preceding the signature page of this Annual Report on Form 10-K are incorporated by reference or are filed or furnished with this Annual Report on Form 10-K, in each case as indicated therein.</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tab/>
        <w:t>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March 31, 2026 and 2025</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8"/>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(PCAOB ID </w:t>
            </w:r>
            <w:r>
              <w:rPr>
                <w:rFonts w:ascii="Times New Roman" w:cs="Times New Roman" w:eastAsia="Times New Roman" w:hAnsi="Times New Roman"/>
                <w:sz w:val="20"/>
                <w:szCs w:val="20"/>
                <w:color w:val="000000"/>
              </w:rPr>
              <w:t>238</w:t>
            </w:r>
            <w:r>
              <w:rPr>
                <w:rFonts w:ascii="Times New Roman" w:cs="Times New Roman" w:eastAsia="Times New Roman" w:hAnsi="Times New Roman"/>
                <w:sz w:val="20"/>
                <w:szCs w:val="20"/>
                <w:u w:val="single" w:color="auto"/>
                <w:color w:val="0000FF"/>
              </w:rPr>
              <w:t>)</w:t>
            </w:r>
          </w:p>
        </w:tc>
        <w:tc>
          <w:tcPr>
            <w:tcW w:w="660" w:type="dxa"/>
            <w:vAlign w:val="bottom"/>
            <w:gridSpan w:val="3"/>
            <w:shd w:val="clear" w:color="auto" w:fill="CCEEFF"/>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rPr>
              <w:t>F-2</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740" w:type="dxa"/>
            <w:vAlign w:val="bottom"/>
            <w:tcBorders>
              <w:top w:val="single" w:sz="8" w:color="0000FF"/>
            </w:tcBorders>
            <w:shd w:val="clear" w:color="auto" w:fill="CCEEFF"/>
          </w:tcPr>
          <w:p>
            <w:pPr>
              <w:spacing w:after="0"/>
              <w:rPr>
                <w:sz w:val="5"/>
                <w:szCs w:val="5"/>
                <w:color w:val="auto"/>
              </w:rPr>
            </w:pPr>
          </w:p>
        </w:tc>
        <w:tc>
          <w:tcPr>
            <w:tcW w:w="50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20" w:type="dxa"/>
            <w:vAlign w:val="bottom"/>
          </w:tcPr>
          <w:p>
            <w:pPr>
              <w:spacing w:after="0"/>
              <w:rPr>
                <w:sz w:val="18"/>
                <w:szCs w:val="18"/>
                <w:color w:val="auto"/>
              </w:rPr>
            </w:pPr>
          </w:p>
        </w:tc>
        <w:tc>
          <w:tcPr>
            <w:tcW w:w="10560" w:type="dxa"/>
            <w:vAlign w:val="bottom"/>
            <w:gridSpan w:val="8"/>
          </w:tcPr>
          <w:p>
            <w:pPr>
              <w:spacing w:after="0" w:line="216" w:lineRule="exact"/>
              <w:rPr>
                <w:sz w:val="20"/>
                <w:szCs w:val="20"/>
                <w:color w:val="auto"/>
              </w:rPr>
            </w:pPr>
            <w:r>
              <w:rPr>
                <w:rFonts w:ascii="Times New Roman" w:cs="Times New Roman" w:eastAsia="Times New Roman" w:hAnsi="Times New Roman"/>
                <w:sz w:val="20"/>
                <w:szCs w:val="20"/>
                <w:color w:val="0000FF"/>
              </w:rPr>
              <w:t>Consolidated balance sheets</w:t>
            </w:r>
          </w:p>
        </w:tc>
        <w:tc>
          <w:tcPr>
            <w:tcW w:w="660" w:type="dxa"/>
            <w:vAlign w:val="bottom"/>
            <w:gridSpan w:val="3"/>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F-4</w:t>
            </w:r>
          </w:p>
        </w:tc>
      </w:tr>
      <w:tr>
        <w:trPr>
          <w:trHeight w:val="61"/>
        </w:trPr>
        <w:tc>
          <w:tcPr>
            <w:tcW w:w="20" w:type="dxa"/>
            <w:vAlign w:val="bottom"/>
          </w:tcPr>
          <w:p>
            <w:pPr>
              <w:spacing w:after="0"/>
              <w:rPr>
                <w:sz w:val="5"/>
                <w:szCs w:val="5"/>
                <w:color w:val="auto"/>
              </w:rPr>
            </w:pPr>
          </w:p>
        </w:tc>
        <w:tc>
          <w:tcPr>
            <w:tcW w:w="2240" w:type="dxa"/>
            <w:vAlign w:val="bottom"/>
            <w:tcBorders>
              <w:top w:val="single" w:sz="8" w:color="0000FF"/>
            </w:tcBorders>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20" w:type="dxa"/>
            <w:vAlign w:val="bottom"/>
            <w:shd w:val="clear" w:color="auto" w:fill="CCEEFF"/>
          </w:tcPr>
          <w:p>
            <w:pPr>
              <w:spacing w:after="0"/>
              <w:rPr>
                <w:sz w:val="18"/>
                <w:szCs w:val="18"/>
                <w:color w:val="auto"/>
              </w:rPr>
            </w:pPr>
          </w:p>
        </w:tc>
        <w:tc>
          <w:tcPr>
            <w:tcW w:w="10560" w:type="dxa"/>
            <w:vAlign w:val="bottom"/>
            <w:gridSpan w:val="8"/>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Consolidated statements of operations</w:t>
            </w:r>
          </w:p>
        </w:tc>
        <w:tc>
          <w:tcPr>
            <w:tcW w:w="660" w:type="dxa"/>
            <w:vAlign w:val="bottom"/>
            <w:gridSpan w:val="3"/>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F-5</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50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20" w:type="dxa"/>
            <w:vAlign w:val="bottom"/>
          </w:tcPr>
          <w:p>
            <w:pPr>
              <w:spacing w:after="0"/>
              <w:rPr>
                <w:sz w:val="18"/>
                <w:szCs w:val="18"/>
                <w:color w:val="auto"/>
              </w:rPr>
            </w:pPr>
          </w:p>
        </w:tc>
        <w:tc>
          <w:tcPr>
            <w:tcW w:w="10560" w:type="dxa"/>
            <w:vAlign w:val="bottom"/>
            <w:gridSpan w:val="8"/>
          </w:tcPr>
          <w:p>
            <w:pPr>
              <w:spacing w:after="0" w:line="216" w:lineRule="exact"/>
              <w:rPr>
                <w:sz w:val="20"/>
                <w:szCs w:val="20"/>
                <w:color w:val="auto"/>
              </w:rPr>
            </w:pPr>
            <w:r>
              <w:rPr>
                <w:rFonts w:ascii="Times New Roman" w:cs="Times New Roman" w:eastAsia="Times New Roman" w:hAnsi="Times New Roman"/>
                <w:sz w:val="20"/>
                <w:szCs w:val="20"/>
                <w:color w:val="0000FF"/>
              </w:rPr>
              <w:t>Consolidated statements of comprehensive loss</w:t>
            </w:r>
          </w:p>
        </w:tc>
        <w:tc>
          <w:tcPr>
            <w:tcW w:w="660" w:type="dxa"/>
            <w:vAlign w:val="bottom"/>
            <w:gridSpan w:val="3"/>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F-6</w:t>
            </w:r>
          </w:p>
        </w:tc>
      </w:tr>
      <w:tr>
        <w:trPr>
          <w:trHeight w:val="61"/>
        </w:trPr>
        <w:tc>
          <w:tcPr>
            <w:tcW w:w="20" w:type="dxa"/>
            <w:vAlign w:val="bottom"/>
          </w:tcPr>
          <w:p>
            <w:pPr>
              <w:spacing w:after="0"/>
              <w:rPr>
                <w:sz w:val="5"/>
                <w:szCs w:val="5"/>
                <w:color w:val="auto"/>
              </w:rPr>
            </w:pPr>
          </w:p>
        </w:tc>
        <w:tc>
          <w:tcPr>
            <w:tcW w:w="2240" w:type="dxa"/>
            <w:vAlign w:val="bottom"/>
            <w:tcBorders>
              <w:top w:val="single" w:sz="8" w:color="0000FF"/>
            </w:tcBorders>
          </w:tcPr>
          <w:p>
            <w:pPr>
              <w:spacing w:after="0"/>
              <w:rPr>
                <w:sz w:val="5"/>
                <w:szCs w:val="5"/>
                <w:color w:val="auto"/>
              </w:rPr>
            </w:pPr>
          </w:p>
        </w:tc>
        <w:tc>
          <w:tcPr>
            <w:tcW w:w="7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20" w:type="dxa"/>
            <w:vAlign w:val="bottom"/>
            <w:shd w:val="clear" w:color="auto" w:fill="CCEEFF"/>
          </w:tcPr>
          <w:p>
            <w:pPr>
              <w:spacing w:after="0"/>
              <w:rPr>
                <w:sz w:val="18"/>
                <w:szCs w:val="18"/>
                <w:color w:val="auto"/>
              </w:rPr>
            </w:pPr>
          </w:p>
        </w:tc>
        <w:tc>
          <w:tcPr>
            <w:tcW w:w="10560" w:type="dxa"/>
            <w:vAlign w:val="bottom"/>
            <w:gridSpan w:val="8"/>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Consolidated statements of stockholders’ equity</w:t>
            </w:r>
          </w:p>
        </w:tc>
        <w:tc>
          <w:tcPr>
            <w:tcW w:w="660" w:type="dxa"/>
            <w:vAlign w:val="bottom"/>
            <w:gridSpan w:val="3"/>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F-7</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50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16"/>
        </w:trPr>
        <w:tc>
          <w:tcPr>
            <w:tcW w:w="20" w:type="dxa"/>
            <w:vAlign w:val="bottom"/>
          </w:tcPr>
          <w:p>
            <w:pPr>
              <w:spacing w:after="0"/>
              <w:rPr>
                <w:sz w:val="18"/>
                <w:szCs w:val="18"/>
                <w:color w:val="auto"/>
              </w:rPr>
            </w:pPr>
          </w:p>
        </w:tc>
        <w:tc>
          <w:tcPr>
            <w:tcW w:w="10560" w:type="dxa"/>
            <w:vAlign w:val="bottom"/>
            <w:gridSpan w:val="8"/>
          </w:tcPr>
          <w:p>
            <w:pPr>
              <w:spacing w:after="0" w:line="216" w:lineRule="exact"/>
              <w:rPr>
                <w:sz w:val="20"/>
                <w:szCs w:val="20"/>
                <w:color w:val="auto"/>
              </w:rPr>
            </w:pPr>
            <w:r>
              <w:rPr>
                <w:rFonts w:ascii="Times New Roman" w:cs="Times New Roman" w:eastAsia="Times New Roman" w:hAnsi="Times New Roman"/>
                <w:sz w:val="20"/>
                <w:szCs w:val="20"/>
                <w:color w:val="0000FF"/>
              </w:rPr>
              <w:t>Consolidated statements of cash flows</w:t>
            </w:r>
          </w:p>
        </w:tc>
        <w:tc>
          <w:tcPr>
            <w:tcW w:w="660" w:type="dxa"/>
            <w:vAlign w:val="bottom"/>
            <w:gridSpan w:val="3"/>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F-8</w:t>
            </w:r>
          </w:p>
        </w:tc>
      </w:tr>
      <w:tr>
        <w:trPr>
          <w:trHeight w:val="61"/>
        </w:trPr>
        <w:tc>
          <w:tcPr>
            <w:tcW w:w="20" w:type="dxa"/>
            <w:vAlign w:val="bottom"/>
          </w:tcPr>
          <w:p>
            <w:pPr>
              <w:spacing w:after="0"/>
              <w:rPr>
                <w:sz w:val="5"/>
                <w:szCs w:val="5"/>
                <w:color w:val="auto"/>
              </w:rPr>
            </w:pPr>
          </w:p>
        </w:tc>
        <w:tc>
          <w:tcPr>
            <w:tcW w:w="2240" w:type="dxa"/>
            <w:vAlign w:val="bottom"/>
            <w:tcBorders>
              <w:top w:val="single" w:sz="8" w:color="0000FF"/>
            </w:tcBorders>
          </w:tcPr>
          <w:p>
            <w:pPr>
              <w:spacing w:after="0"/>
              <w:rPr>
                <w:sz w:val="5"/>
                <w:szCs w:val="5"/>
                <w:color w:val="auto"/>
              </w:rPr>
            </w:pPr>
          </w:p>
        </w:tc>
        <w:tc>
          <w:tcPr>
            <w:tcW w:w="7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20" w:type="dxa"/>
            <w:vAlign w:val="bottom"/>
            <w:shd w:val="clear" w:color="auto" w:fill="CCEEFF"/>
          </w:tcPr>
          <w:p>
            <w:pPr>
              <w:spacing w:after="0"/>
              <w:rPr>
                <w:sz w:val="18"/>
                <w:szCs w:val="18"/>
                <w:color w:val="auto"/>
              </w:rPr>
            </w:pPr>
          </w:p>
        </w:tc>
        <w:tc>
          <w:tcPr>
            <w:tcW w:w="10560" w:type="dxa"/>
            <w:vAlign w:val="bottom"/>
            <w:gridSpan w:val="8"/>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660" w:type="dxa"/>
            <w:vAlign w:val="bottom"/>
            <w:gridSpan w:val="3"/>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F-9</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50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36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Replimune Group,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Replimune Group, Inc. and its subsidiaries (the “Company”) as of March 31, 2026 and 2025,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8"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since its inception which raises substantial doubt about its ability to continue as a going concern. Management's plans in regard to this matter are also described in Note 1. The consolidated financial statements do not include any adjustments that might result from the outcome of this uncertainty.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1" w:lineRule="exact"/>
        <w:rPr>
          <w:sz w:val="20"/>
          <w:szCs w:val="20"/>
          <w:color w:val="auto"/>
        </w:rPr>
      </w:pPr>
    </w:p>
    <w:p>
      <w:pPr>
        <w:ind w:right="100" w:firstLine="243"/>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Costs</w:t>
      </w:r>
    </w:p>
    <w:p>
      <w:pPr>
        <w:spacing w:after="0" w:line="24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has entered into various research and development-related contracts with companies both inside and outside of the United States. When billing terms under these contracts do not coincide with the timing of when the work is performed, management is required to make estimates of outstanding obligations to those third parties as of the end of the reporting period. The Company records accruals for estimated ongoing research costs. Within accrued expenses and other current liabilities, total accrued research and development costs amounted to $26.7 million as of March 31, 2026. Accrual estimates are based on a number of factors, including management’s assessment of progress towards completion of the research and development activities, invoicing to date under the contracts, communication from the research organization or other companies of any actual costs incurred during the period that have not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yet been invoiced, and the costs included in the contracts. Significant judgments and estimates are made by management in determining the accrued balances at the end of any reporting period.</w:t>
      </w:r>
    </w:p>
    <w:p>
      <w:pPr>
        <w:spacing w:after="0" w:line="18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accrued research and development costs is a critical audit matter are (i) the significant judgment by management in developing the estimate of the accrued research and development costs and (ii) a high degree of auditor judgment and effort in performing procedures related to the accrued research and development costs.</w:t>
      </w:r>
    </w:p>
    <w:p>
      <w:pPr>
        <w:spacing w:after="0" w:line="20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estimate of accrued research and development costs; (ii) evaluating the appropriateness of the methodology used by management to develop the estimate; (iii) evaluating the reasonableness of management’s estimate of accrued external research and development costs by (a) testing the completeness and accuracy of costs incurred, on a sample basis, by tracing information to the underlying contracts, purchase orders, invoices and information received from the research organization or other companies, as applicable, and (b) evaluating the reasonableness of the estimated costs incurred for the services that have not been invoiced, on a sample basis, by tracing to underlying supporting documentation, such as underlying contracts, purchase orders and information received from research organizations or other companies, as applicable.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w:t>
            </w:r>
          </w:p>
        </w:tc>
        <w:tc>
          <w:tcPr>
            <w:tcW w:w="0" w:type="dxa"/>
            <w:vAlign w:val="bottom"/>
          </w:tcPr>
          <w:p>
            <w:pPr>
              <w:spacing w:after="0"/>
              <w:rPr>
                <w:sz w:val="1"/>
                <w:szCs w:val="1"/>
                <w:color w:val="auto"/>
              </w:rPr>
            </w:pPr>
          </w:p>
        </w:tc>
      </w:tr>
      <w:tr>
        <w:trPr>
          <w:trHeight w:val="27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372,685</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7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0" w:type="dxa"/>
            <w:vAlign w:val="bottom"/>
          </w:tcPr>
          <w:p>
            <w:pPr>
              <w:spacing w:after="0"/>
              <w:rPr>
                <w:sz w:val="1"/>
                <w:szCs w:val="1"/>
                <w:color w:val="auto"/>
              </w:rPr>
            </w:pPr>
          </w:p>
        </w:tc>
      </w:tr>
      <w:tr>
        <w:trPr>
          <w:trHeight w:val="264"/>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495,880</w:t>
            </w:r>
          </w:p>
        </w:tc>
        <w:tc>
          <w:tcPr>
            <w:tcW w:w="0" w:type="dxa"/>
            <w:vAlign w:val="bottom"/>
          </w:tcPr>
          <w:p>
            <w:pPr>
              <w:spacing w:after="0"/>
              <w:rPr>
                <w:sz w:val="1"/>
                <w:szCs w:val="1"/>
                <w:color w:val="auto"/>
              </w:rPr>
            </w:pPr>
          </w:p>
        </w:tc>
      </w:tr>
      <w:tr>
        <w:trPr>
          <w:trHeight w:val="27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7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7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Right-of-use asset – finance leases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34,808</w:t>
            </w:r>
          </w:p>
        </w:tc>
        <w:tc>
          <w:tcPr>
            <w:tcW w:w="0" w:type="dxa"/>
            <w:vAlign w:val="bottom"/>
          </w:tcPr>
          <w:p>
            <w:pPr>
              <w:spacing w:after="0"/>
              <w:rPr>
                <w:sz w:val="1"/>
                <w:szCs w:val="1"/>
                <w:color w:val="auto"/>
              </w:rPr>
            </w:pPr>
          </w:p>
        </w:tc>
      </w:tr>
      <w:tr>
        <w:trPr>
          <w:trHeight w:val="262"/>
        </w:trPr>
        <w:tc>
          <w:tcPr>
            <w:tcW w:w="8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551,328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45,916</w:t>
            </w:r>
          </w:p>
        </w:tc>
        <w:tc>
          <w:tcPr>
            <w:tcW w:w="0" w:type="dxa"/>
            <w:vAlign w:val="bottom"/>
          </w:tcPr>
          <w:p>
            <w:pPr>
              <w:spacing w:after="0"/>
              <w:rPr>
                <w:sz w:val="1"/>
                <w:szCs w:val="1"/>
                <w:color w:val="auto"/>
              </w:rPr>
            </w:pPr>
          </w:p>
        </w:tc>
      </w:tr>
      <w:tr>
        <w:trPr>
          <w:trHeight w:val="27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6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7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net of discount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46,377</w:t>
            </w:r>
          </w:p>
        </w:tc>
        <w:tc>
          <w:tcPr>
            <w:tcW w:w="0" w:type="dxa"/>
            <w:vAlign w:val="bottom"/>
          </w:tcPr>
          <w:p>
            <w:pPr>
              <w:spacing w:after="0"/>
              <w:rPr>
                <w:sz w:val="1"/>
                <w:szCs w:val="1"/>
                <w:color w:val="auto"/>
              </w:rPr>
            </w:pPr>
          </w:p>
        </w:tc>
      </w:tr>
      <w:tr>
        <w:trPr>
          <w:trHeight w:val="27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83"/>
        </w:trPr>
        <w:tc>
          <w:tcPr>
            <w:tcW w:w="8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135,485</w:t>
            </w:r>
          </w:p>
        </w:tc>
        <w:tc>
          <w:tcPr>
            <w:tcW w:w="0" w:type="dxa"/>
            <w:vAlign w:val="bottom"/>
          </w:tcPr>
          <w:p>
            <w:pPr>
              <w:spacing w:after="0"/>
              <w:rPr>
                <w:sz w:val="1"/>
                <w:szCs w:val="1"/>
                <w:color w:val="auto"/>
              </w:rPr>
            </w:pPr>
          </w:p>
        </w:tc>
      </w:tr>
      <w:tr>
        <w:trPr>
          <w:trHeight w:val="204"/>
        </w:trPr>
        <w:tc>
          <w:tcPr>
            <w:tcW w:w="8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$0.001 par value; 150,000,000 shares authorized as of March 31, 2026 and March 31, 2025;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82,716,923 and 77,085,024 shares issued and outstanding as of March 31, 2026 and March 31, 2025,</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1,358,897</w:t>
            </w:r>
          </w:p>
        </w:tc>
        <w:tc>
          <w:tcPr>
            <w:tcW w:w="0" w:type="dxa"/>
            <w:vAlign w:val="bottom"/>
          </w:tcPr>
          <w:p>
            <w:pPr>
              <w:spacing w:after="0"/>
              <w:rPr>
                <w:sz w:val="1"/>
                <w:szCs w:val="1"/>
                <w:color w:val="auto"/>
              </w:rPr>
            </w:pPr>
          </w:p>
        </w:tc>
      </w:tr>
      <w:tr>
        <w:trPr>
          <w:trHeight w:val="27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(948,579)</w:t>
            </w:r>
          </w:p>
        </w:tc>
        <w:tc>
          <w:tcPr>
            <w:tcW w:w="0" w:type="dxa"/>
            <w:vAlign w:val="bottom"/>
          </w:tcPr>
          <w:p>
            <w:pPr>
              <w:spacing w:after="0"/>
              <w:rPr>
                <w:sz w:val="1"/>
                <w:szCs w:val="1"/>
                <w:color w:val="auto"/>
              </w:rPr>
            </w:pPr>
          </w:p>
        </w:tc>
      </w:tr>
      <w:tr>
        <w:trPr>
          <w:trHeight w:val="27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166,160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415,843</w:t>
            </w:r>
          </w:p>
        </w:tc>
        <w:tc>
          <w:tcPr>
            <w:tcW w:w="0" w:type="dxa"/>
            <w:vAlign w:val="bottom"/>
          </w:tcPr>
          <w:p>
            <w:pPr>
              <w:spacing w:after="0"/>
              <w:rPr>
                <w:sz w:val="1"/>
                <w:szCs w:val="1"/>
                <w:color w:val="auto"/>
              </w:rPr>
            </w:pPr>
          </w:p>
        </w:tc>
      </w:tr>
      <w:tr>
        <w:trPr>
          <w:trHeight w:val="262"/>
        </w:trPr>
        <w:tc>
          <w:tcPr>
            <w:tcW w:w="8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551,328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622363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236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-4971415</wp:posOffset>
            </wp:positionV>
            <wp:extent cx="6223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-6008370</wp:posOffset>
            </wp:positionV>
            <wp:extent cx="6223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1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221,184</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189,447</w:t>
            </w:r>
          </w:p>
        </w:tc>
      </w:tr>
      <w:tr>
        <w:trPr>
          <w:trHeight w:val="24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72,180</w:t>
            </w:r>
          </w:p>
        </w:tc>
      </w:tr>
      <w:tr>
        <w:trPr>
          <w:trHeight w:val="223"/>
        </w:trPr>
        <w:tc>
          <w:tcPr>
            <w:tcW w:w="7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261,627</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4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w:t>
            </w:r>
          </w:p>
        </w:tc>
      </w:tr>
      <w:tr>
        <w:trPr>
          <w:trHeight w:val="24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on finance lease liability</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4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r>
      <w:tr>
        <w:trPr>
          <w:trHeight w:val="24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7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(314,491)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(246,829)</w:t>
            </w:r>
          </w:p>
        </w:tc>
      </w:tr>
      <w:tr>
        <w:trPr>
          <w:trHeight w:val="223"/>
        </w:trPr>
        <w:tc>
          <w:tcPr>
            <w:tcW w:w="7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92,803,711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80,564,147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4980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49803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80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4980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4980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4980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60864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6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4980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60864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6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1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(247,297)</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gain on short-term 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(313,985)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(246,704)</w:t>
            </w:r>
          </w:p>
        </w:tc>
      </w:tr>
      <w:tr>
        <w:trPr>
          <w:trHeight w:val="40"/>
        </w:trPr>
        <w:tc>
          <w:tcPr>
            <w:tcW w:w="82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6223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62236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1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38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1320" w:type="dxa"/>
            <w:vAlign w:val="bottom"/>
            <w:gridSpan w:val="3"/>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0"/>
                <w:szCs w:val="10"/>
                <w:color w:val="auto"/>
              </w:rPr>
            </w:pPr>
          </w:p>
        </w:tc>
        <w:tc>
          <w:tcPr>
            <w:tcW w:w="1060" w:type="dxa"/>
            <w:vAlign w:val="bottom"/>
            <w:vMerge w:val="restart"/>
          </w:tcPr>
          <w:p>
            <w:pPr>
              <w:jc w:val="center"/>
              <w:ind w:right="52"/>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374,508</w:t>
            </w: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prefunded warrants to purchase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net of issuance costs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underwriter fees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14,207,314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155,728</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0" w:type="dxa"/>
            <w:vAlign w:val="bottom"/>
          </w:tcPr>
          <w:p>
            <w:pPr>
              <w:spacing w:after="0"/>
              <w:rPr>
                <w:sz w:val="1"/>
                <w:szCs w:val="1"/>
                <w:color w:val="auto"/>
              </w:rPr>
            </w:pPr>
          </w:p>
        </w:tc>
      </w:tr>
      <w:tr>
        <w:trPr>
          <w:trHeight w:val="288"/>
        </w:trPr>
        <w:tc>
          <w:tcPr>
            <w:tcW w:w="3600" w:type="dxa"/>
            <w:vAlign w:val="bottom"/>
            <w:tcBorders>
              <w:top w:val="single" w:sz="8" w:color="CCEEFF"/>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Balances as of March 31, 2025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77,085,024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1,358,897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415,843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Issuance of common stock through ATM sales,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offering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0" w:type="dxa"/>
            <w:vAlign w:val="bottom"/>
          </w:tcPr>
          <w:p>
            <w:pPr>
              <w:spacing w:after="0"/>
              <w:rPr>
                <w:sz w:val="1"/>
                <w:szCs w:val="1"/>
                <w:color w:val="auto"/>
              </w:rPr>
            </w:pPr>
          </w:p>
        </w:tc>
      </w:tr>
      <w:tr>
        <w:trPr>
          <w:trHeight w:val="264"/>
        </w:trPr>
        <w:tc>
          <w:tcPr>
            <w:tcW w:w="36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9"/>
              </w:rPr>
              <w:t>Balances as of March 31, 2026</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82,716,923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166,160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-2047875</wp:posOffset>
            </wp:positionV>
            <wp:extent cx="2280285"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8028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2280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1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(313,940)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(247,297)</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35,044</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0" w:type="dxa"/>
            <w:vAlign w:val="bottom"/>
          </w:tcPr>
          <w:p>
            <w:pPr>
              <w:spacing w:after="0"/>
              <w:rPr>
                <w:sz w:val="1"/>
                <w:szCs w:val="1"/>
                <w:color w:val="auto"/>
              </w:rPr>
            </w:pPr>
          </w:p>
        </w:tc>
      </w:tr>
      <w:tr>
        <w:trPr>
          <w:trHeight w:val="23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right-of-use-asset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right-of-use-asset amortization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0" w:type="dxa"/>
            <w:vAlign w:val="bottom"/>
          </w:tcPr>
          <w:p>
            <w:pPr>
              <w:spacing w:after="0"/>
              <w:rPr>
                <w:sz w:val="1"/>
                <w:szCs w:val="1"/>
                <w:color w:val="auto"/>
              </w:rPr>
            </w:pPr>
          </w:p>
        </w:tc>
      </w:tr>
      <w:tr>
        <w:trPr>
          <w:trHeight w:val="23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amortization of premiums and discounts on short-term investments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on property, plant and equipment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foreign currency transaction gains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33"/>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33"/>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33"/>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11,743</w:t>
            </w:r>
          </w:p>
        </w:tc>
        <w:tc>
          <w:tcPr>
            <w:tcW w:w="0" w:type="dxa"/>
            <w:vAlign w:val="bottom"/>
          </w:tcPr>
          <w:p>
            <w:pPr>
              <w:spacing w:after="0"/>
              <w:rPr>
                <w:sz w:val="1"/>
                <w:szCs w:val="1"/>
                <w:color w:val="auto"/>
              </w:rPr>
            </w:pPr>
          </w:p>
        </w:tc>
      </w:tr>
      <w:tr>
        <w:trPr>
          <w:trHeight w:val="233"/>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46"/>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3"/>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(192,250)</w:t>
            </w:r>
          </w:p>
        </w:tc>
        <w:tc>
          <w:tcPr>
            <w:tcW w:w="0" w:type="dxa"/>
            <w:vAlign w:val="bottom"/>
          </w:tcPr>
          <w:p>
            <w:pPr>
              <w:spacing w:after="0"/>
              <w:rPr>
                <w:sz w:val="1"/>
                <w:szCs w:val="1"/>
                <w:color w:val="auto"/>
              </w:rPr>
            </w:pPr>
          </w:p>
        </w:tc>
      </w:tr>
      <w:tr>
        <w:trPr>
          <w:trHeight w:val="26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 and software capitalization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(403,586)</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short-term investments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392,960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386,477</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(23,796)</w:t>
            </w:r>
          </w:p>
        </w:tc>
        <w:tc>
          <w:tcPr>
            <w:tcW w:w="0" w:type="dxa"/>
            <w:vAlign w:val="bottom"/>
          </w:tcPr>
          <w:p>
            <w:pPr>
              <w:spacing w:after="0"/>
              <w:rPr>
                <w:sz w:val="1"/>
                <w:szCs w:val="1"/>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net of fees and offering costs</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155,728</w:t>
            </w:r>
          </w:p>
        </w:tc>
        <w:tc>
          <w:tcPr>
            <w:tcW w:w="0" w:type="dxa"/>
            <w:vAlign w:val="bottom"/>
          </w:tcPr>
          <w:p>
            <w:pPr>
              <w:spacing w:after="0"/>
              <w:rPr>
                <w:sz w:val="1"/>
                <w:szCs w:val="1"/>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prefunded warrants to purchase common stock, net of underwriting fees and offering costs</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ATM sales, net of offering costs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 of finance lease obligation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and pre-funded warrants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252,396</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36,665</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76,157</w:t>
            </w:r>
          </w:p>
        </w:tc>
        <w:tc>
          <w:tcPr>
            <w:tcW w:w="0" w:type="dxa"/>
            <w:vAlign w:val="bottom"/>
          </w:tcPr>
          <w:p>
            <w:pPr>
              <w:spacing w:after="0"/>
              <w:rPr>
                <w:sz w:val="1"/>
                <w:szCs w:val="1"/>
                <w:color w:val="auto"/>
              </w:rPr>
            </w:pPr>
          </w:p>
        </w:tc>
      </w:tr>
      <w:tr>
        <w:trPr>
          <w:trHeight w:val="26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0" w:type="dxa"/>
            <w:vAlign w:val="bottom"/>
          </w:tcPr>
          <w:p>
            <w:pPr>
              <w:spacing w:after="0"/>
              <w:rPr>
                <w:sz w:val="1"/>
                <w:szCs w:val="1"/>
                <w:color w:val="auto"/>
              </w:rPr>
            </w:pPr>
          </w:p>
        </w:tc>
      </w:tr>
      <w:tr>
        <w:trPr>
          <w:trHeight w:val="23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(paid) for income taxes,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6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-1581150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-2832735</wp:posOffset>
            </wp:positionV>
            <wp:extent cx="62236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-3458845</wp:posOffset>
            </wp:positionV>
            <wp:extent cx="62236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-6562090</wp:posOffset>
            </wp:positionV>
            <wp:extent cx="62236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31" w:lineRule="exact"/>
        <w:rPr>
          <w:sz w:val="20"/>
          <w:szCs w:val="20"/>
          <w:color w:val="auto"/>
        </w:rPr>
      </w:pPr>
    </w:p>
    <w:p>
      <w:pPr>
        <w:jc w:val="both"/>
        <w:ind w:right="240"/>
        <w:spacing w:after="0"/>
        <w:rPr>
          <w:sz w:val="20"/>
          <w:szCs w:val="20"/>
          <w:color w:val="auto"/>
        </w:rPr>
      </w:pPr>
      <w:r>
        <w:rPr>
          <w:rFonts w:ascii="Times New Roman" w:cs="Times New Roman" w:eastAsia="Times New Roman" w:hAnsi="Times New Roman"/>
          <w:sz w:val="18"/>
          <w:szCs w:val="18"/>
          <w:color w:val="auto"/>
        </w:rPr>
        <w:t>Replimune Group, Inc. (the “Company”) is a clinical-stage biotechnology company committed to applying our leading expertise in the field of oncolytic immunotherapy to transform the lives of cancer patients through our novel oncolytic immunotherapies. Replimune Group, Inc., whose predecessor was founded in 2015, is the parent company of its wholly owned, direct and indirect subsidiaries: Replimune Limited (“Replimune UK”); Replimune,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(“Replimune US”); Replimune Securities Corporation; and Replimune (Ireland) Limited.</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and reporting capabilities. Even if the Company’s product development efforts are successful, it is uncertain when, if ever, the Company will realize significant revenue from product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incurred recurring losses since its inception, including net losses of $313.9 million and $247.3 million for the years ended March 31, 2026 and 2025, respectively. In addition, as of March 31, 2026, the Company had an accumulated deficit of $1,262.5 million.</w:t>
      </w:r>
    </w:p>
    <w:p>
      <w:pPr>
        <w:spacing w:after="0" w:line="22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 accordance with ASC 205-40, Presentation of Financial Statements—Going Concern, management has evaluated whether there are conditions or events, considered in the aggregate, that raise substantial doubt about the Company's ability to continue as a going concern within one year after the date these consolidated financial statements are issued. Based on its current operating plan, the Company expects to continue to generate operating losses for the foreseeable future and that its existing cash, cash equivalents and short-term investments will be sufficient to fund its operating expenses and capital expenditure requirements only into the first calendar quarter of 2027, which is less than one year from the date these consolidated financial statements are issued. The Company does not have any committed source of additional funding and will be required to obtain additional financing to fund its operations beyond that date. These conditions raise substantial doubt about the Company's ability to continue as a going concern.</w:t>
      </w:r>
    </w:p>
    <w:p>
      <w:pPr>
        <w:spacing w:after="0" w:line="20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Company is collaborating with the FDA regarding a path forward for RP1 and, if the BLA is approved, the Company will determine the best source of capital, which may be raising additional capital through public or private equity offerings (including under our at-the-market facilities), although there can be no guarantee that the Company will be able to raise such capital on acceptable terms, or at all. If the BLA is not approved, the Company will likely need to (i) execute a considerable restructuring and workforce reduction to reduce our cash burn, (ii) reconsider our product development efforts and strategies and (iii) pursue collaborations, strategic alliances, licensing arrangements, business combination, merger or acquisition, or other strategic business development activities to continue operations. In either scenario, our plans are subject to risks and uncertainties, including factors outside our control. Accordingly, we have not been able to conclude that these plans are probable of being effectively implemented and, as such, they do not alleviate the substantial doubt about our ability to continue as a going concern.</w:t>
      </w:r>
    </w:p>
    <w:p>
      <w:pPr>
        <w:spacing w:after="0" w:line="196"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or GAAP, and include the accounts of the Company and its direct and indirect wholly owned subsidiaries, Replimune UK, Replimune US, Replimune Securities Corporation and Replimune (Ireland) Limited after elimination of all intercompany accounts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for research and development expenses and the valuation of stock-based awards. The Company bases its estimates on historical experience, known trends and other market-specific or other relevant factors that it believes to be reasonable under the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currency translation</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functional currency for the Company’s wholly owned foreign subsidiary, Replimune UK, is the British pound. Assets and liabilities of Replimune UK are translated into United States dollars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stockholders’ equity as a component of accumulated other comprehensive income (loss). Adjustments that arise from exchange rate changes on transactions denominated in a currency other than the local currency are included in other income (expense), net in the consolidated statements of operations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as well as short-term investments. The Company deposits its cash in financial institutions in amounts that may exceed federally insured limits. We limit our exposure to credit risk by placing investments with high credit quality financial institutions, diversifying our investment portfolio and placing investments with maturities that maintain safety and liquidity. To date, the Company has not experienced any losses on such accounts.</w:t>
      </w:r>
    </w:p>
    <w:p>
      <w:pPr>
        <w:spacing w:after="0" w:line="11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Company relies, and expects to continue to rely, on a small number of vendors to manufacture and supply raw materials and supply services for its development programs. These programs could be adversely affected by a significant interruption in these services or the availability of raw materials.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date of purchase to be cash equivalents. Cash equivalents consisted of money market funds as of March 31, 2026 and 2025, respectively. As of March 31, 2026 and 2025, the amount of cash equivalents included in cash and cash equivalents totaled $120.3 million and $89.9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holds restricted cash in segregated bank accounts in connection with a letter of credit. As of March 31, 2026 and 2025, restricted cash consisted of $1.7 million, respectively, held for the benefit of the landlords in connection with our leases and for the Company's credit card program in the United Kingdom. These amounts have been classified as non-current assets on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short-term debt security investments are classified as available-for-sale and are carried at fair value, with the unrealized gains and non-credit related losses reported as a component of accumulated other comprehensive income (loss) and included in stockholders’ equity. Realized gains and losses and declines in value determined to be other than temporary are based on the specific identification method and are included as a component of other income (expense), net in the consolidated statements of operations.</w:t>
      </w:r>
    </w:p>
    <w:p>
      <w:pPr>
        <w:spacing w:after="0" w:line="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we first assess whether we intend to sell, or if it is more likely than not that we will be required to sell, the security before recovery of its amortized cost basis. If either of the criteria regarding intent or requirement to sell is met, the security’s amortized cost basis is written down to fair value through a charge to investment income. For available-for-sale debt securities that do not meet the aforementioned criteria, we evaluate whether the decline in fair value has resulted from credit losses or other factors. In making this assessment, the Company considers such</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factors as, among other things, the severity of the impairment, any changes in interest rates, how long the market value of the investment has been less than its original cost, the Company’s ability and intent to retain the short-term debt security investment for a period of time sufficient to allow for any anticipated recovery in fair value and market conditions in general. The credit-related portion of unrealized losses, and any subsequent improvements, are recorded in investment income through an allowance account. Any impairment that has not been recorded through an allowance for credit losses is included in other comprehensive loss on the statements of comprehensive loss.</w:t>
      </w:r>
    </w:p>
    <w:p>
      <w:pPr>
        <w:spacing w:after="0" w:line="1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credit-related losses or impairments have been recognized on the Company's investments in available-for-sale debt securities during the years ended March 31, 2026 or 2025.</w:t>
      </w:r>
    </w:p>
    <w:p>
      <w:pPr>
        <w:spacing w:after="0" w:line="81"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The Company’s short-term investments as of March 31, 2026 and 2025 had maturities of less than one year. The Company has classified its investments with maturities beyond one year as short term, based on their highly liquid nature and because they represent the investment of cash that is available for current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4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amortization. Depreciation and amortization expense is recognized using the straight-line method over the estimated useful lives of the respective assets as follows: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37"/>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80" w:type="dxa"/>
            <w:vAlign w:val="bottom"/>
            <w:vMerge w:val="continue"/>
          </w:tcPr>
          <w:p>
            <w:pPr>
              <w:spacing w:after="0"/>
              <w:rPr>
                <w:sz w:val="21"/>
                <w:szCs w:val="21"/>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Plant, manufacturing and laboratory equipment</w:t>
            </w: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to 5 years</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Lesser of lease term or 10 years</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Capitalized software as a service costs represent implementation costs incurred during the application development stage and are included in "property, plant and equipment, net" on the Company's consolidated balance sheet. Such costs are amortized on a straight-line basis over the term of the associated arrangement plus any reasonably certain renewal period. Costs incurred during the preliminary project stage and the post-implementation-operation stage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 to the regulatory approval of the Company’s product candidates, the Company incurs expenses for the manufacture of drug product that could potentially be available to support the commercial launch of those products. Until the date at which regulatory approval has been received or is otherwise considered probable, the Company records all such costs as research and development expenses. There were no capitalized inventory costs recorded as of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plant and equipment, right-of-use-asset - operating leases, and right-of-use-asset - finance leases.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carrying value of the impaired asset group over its fair value, determined based on discounted cash flows. To date, the Company has recorded immaterial impairment losses on long-lived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short-term investments and cash equivalents are carried at fair value, determined according to the fair value hierarchy described above (see Note 3). The carrying values of research and development incentives receivable, prepaid expenses and other current assets, accounts payable and accrued expenses and other current liabilities approximate their fair values due to the short-term nature of these assets and liabilities. Furthermore, the carrying value of the Company’s long-term debt approximates its fair value at each balance sheet date due to its variable interest rate, which approximates a market interest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4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on a consolidated basis as a single operating segment for the purposes of assessing performance and making operating decisions. The Company’s current focus is on developing oncolytic immunotherapies for the treatment of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and laboratory supplies, depreciation and external costs of outside vendors engaged to conduct preclinical development, clinical development activities and clinical trials as well as to manufacture clinical trial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Upfront payments for materials and supplies acquired for particular research and development activities that have no alternative future use in other research and development projects or otherwise, and therefore have no separate economic value, are expensed as research and development costs at the time the costs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development-related contracts with companies both inside and outside of the United States. These agreements are generally cancellable, and related costs are recorded as research and development expenses as incurred. The Company records accruals for estimated ongoing research costs. Accrual estimates are based on a number of factors, including management’s assessment of progress towards completion of the research and development activities, invoicing to date under the contracts, communication from the research organization or other companies of any actual costs incurred during the period that have not yet been invoiced, and the costs included in the contracts. When billing terms under these contracts do not coincide with the timing of when the work is performed, management is required to make estimates of outstanding obligations to those third parties as of the end of the reporting period.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share-based payment awards granted to employees, consultants, and non-employees and directors using the fair value of the award on the grant date and compensation expense is recognized for those awards over the requisite service period, which is generally the vesting period of the respective award. To date, the Company has issued stock-based awards in the form of restricted stock units, or RSUs, performance stock units, or PSUs, and stock option grants. Forfeitures for all awards are accounted for as they occur.</w:t>
      </w:r>
    </w:p>
    <w:p>
      <w:pPr>
        <w:spacing w:after="0" w:line="193"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grant date fair value for RSUs and PSUs is based on the closing price of the Company's common stock on the date of grant. The Company’s RSUs have service-based vesting conditions and the related expense for these awards is recorded using the straight-line method. The Company's PSUs have performance-based vesting conditions and expense is recognized when the achievement of the performance condition is probable.</w:t>
      </w:r>
    </w:p>
    <w:p>
      <w:pPr>
        <w:spacing w:after="0" w:line="190"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The grant date fair value of each stock option grant is estimated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(see Note 10). Expense for these awards is recorded using the straight-line method over the vesting period of the respective award.</w:t>
      </w:r>
    </w:p>
    <w:p>
      <w:pPr>
        <w:spacing w:after="0" w:line="1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incentives and receivable</w:t>
      </w:r>
    </w:p>
    <w:p>
      <w:pPr>
        <w:spacing w:after="0" w:line="14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subsidiary in the United Kingdom, receives reimbursements of certain research and development expenditures as part of a United Kingdom government’s research and development tax reliefs program. Under the program, a percentage of qualifying research and development expenses incurred by the Company’s subsidiary in the United Kingdom are reimbursed up to 16.2%.</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assessed the Company’s research and development activities and expenditures to determine which activities and expenditures are likely to be eligible under the research and development incentive program described above. At each period end, management estimates the reimbursement available to the Company based on available information at the time.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other income. The research and development incentives receivable represents an amount due in connection with the above program. The Company recorded other income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from research and development incentives of $1.6 million and $1.8 million during the years ended March 31, 2026 and 2025, respectively, in the consolidated statements of operations and a research and development incentives receivable of $1.6 million and $3.7 million as of March 31, 2026 and 2025, respectively,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the year ended March 31, 2026, comprehensive loss included $0.3 million of unrealized losses on short-term investments, as well as $0.3 million of foreign currency translation gains. For the year ended March 31, 2025, comprehensive loss included $0.4 million of unrealized gains on short-term investments and $0.2 million of foreign currency translation gains.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provision. Potential for recovery of deferred tax assets is evaluated by estimating the future taxable profits expected and considering prudent and feasible tax planning strategies.</w:t>
      </w:r>
    </w:p>
    <w:p>
      <w:pPr>
        <w:spacing w:after="0" w:line="1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4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by the weighted average number of shares of common stock outstanding for the period. Diluted net income (loss) per common share is computed by dividing the diluted net income (loss) by the weighted average number of shares of common stock outstanding for the period, including potential dilutive common shares assuming the dilutive effect of common stock equivalents.</w:t>
      </w:r>
    </w:p>
    <w:p>
      <w:pPr>
        <w:spacing w:after="0" w:line="1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periods in which the Company reports a net loss, diluted net loss per share is the same as basic net loss per share, since dilutive common shares are not assumed to have been issued if their effect is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No. 2023-09, “Income Taxes (Topic 740): Improvements to Income Tax Disclosures.” This ASU primarily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first period ending December 31, 2025 or later, and continuing to provide the pre-ASU disclosures for the prior periods, or may apply the amendments retrospectively by providing the revised disclosures for all period presented. For the year ended March 31, 2026, the Company adopted this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guidance in the current year on a prospective basis. As this accounting standard only impacts disclosures, it did not have an impact on the Company's consolidated financial results. Refer below to Note 15 - Income taxes for disclosure updates as a result of this ASU.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ASU-2024-03, Income Statement-Reporting Comprehensive Income-Expense Disaggregation Disclosures (Topic 220): Disaggregation of Income Statement Expenses. The ASU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spacing w:after="0" w:line="21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The new guidance is effective for annual periods beginning after December 15, 2027, and interim periods within those fiscal years, with early adoption permitted. ASU 2025-06 may be applied retrospectively or prospectively. The Company is in the process of evaluating the impact of this new guidance on its consolidated financial statements and related disclosures.</w:t>
      </w:r>
    </w:p>
    <w:p>
      <w:pPr>
        <w:spacing w:after="0" w:line="164"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8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 Using:</w:t>
            </w:r>
          </w:p>
        </w:tc>
        <w:tc>
          <w:tcPr>
            <w:tcW w:w="11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104,275</w:t>
            </w:r>
          </w:p>
        </w:tc>
      </w:tr>
      <w:tr>
        <w:trPr>
          <w:trHeight w:val="27"/>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43"/>
        </w:trPr>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Treasury bonds</w:t>
            </w:r>
          </w:p>
        </w:tc>
        <w:tc>
          <w:tcPr>
            <w:tcW w:w="1060" w:type="dxa"/>
            <w:vAlign w:val="bottom"/>
          </w:tcPr>
          <w:p>
            <w:pPr>
              <w:spacing w:after="0"/>
              <w:rPr>
                <w:sz w:val="21"/>
                <w:szCs w:val="21"/>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7"/>
        </w:trPr>
        <w:tc>
          <w:tcPr>
            <w:tcW w:w="5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5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2025 Using:</w:t>
            </w:r>
          </w:p>
        </w:tc>
        <w:tc>
          <w:tcPr>
            <w:tcW w:w="1100" w:type="dxa"/>
            <w:vAlign w:val="bottom"/>
          </w:tcPr>
          <w:p>
            <w:pPr>
              <w:spacing w:after="0"/>
              <w:rPr>
                <w:sz w:val="24"/>
                <w:szCs w:val="24"/>
                <w:color w:val="auto"/>
              </w:rPr>
            </w:pPr>
          </w:p>
        </w:tc>
      </w:tr>
      <w:tr>
        <w:trPr>
          <w:trHeight w:val="37"/>
        </w:trPr>
        <w:tc>
          <w:tcPr>
            <w:tcW w:w="52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20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89,879</w:t>
            </w:r>
          </w:p>
        </w:tc>
      </w:tr>
      <w:tr>
        <w:trPr>
          <w:trHeight w:val="27"/>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77"/>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84,804</w:t>
            </w:r>
          </w:p>
        </w:tc>
      </w:tr>
      <w:tr>
        <w:trPr>
          <w:trHeight w:val="24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bonds</w:t>
            </w:r>
          </w:p>
        </w:tc>
        <w:tc>
          <w:tcPr>
            <w:tcW w:w="1060" w:type="dxa"/>
            <w:vAlign w:val="bottom"/>
          </w:tcPr>
          <w:p>
            <w:pPr>
              <w:spacing w:after="0"/>
              <w:rPr>
                <w:sz w:val="21"/>
                <w:szCs w:val="21"/>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287,881</w:t>
            </w:r>
          </w:p>
        </w:tc>
      </w:tr>
      <w:tr>
        <w:trPr>
          <w:trHeight w:val="27"/>
        </w:trPr>
        <w:tc>
          <w:tcPr>
            <w:tcW w:w="5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-1679575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-1679575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42691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3300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-2725420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-2725420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42691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33000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-1088390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-1088390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42691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9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underlying securities held in the money market funds held by the Company are all government backed securities. During the years ended March 31, 2026 and 2025, there were no transfers between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cash equivalents and short-term investments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assets and liabilities (Continued)</w:t>
      </w:r>
    </w:p>
    <w:p>
      <w:pPr>
        <w:spacing w:after="0" w:line="200" w:lineRule="exact"/>
        <w:rPr>
          <w:sz w:val="20"/>
          <w:szCs w:val="20"/>
          <w:color w:val="auto"/>
        </w:rPr>
      </w:pPr>
    </w:p>
    <w:p>
      <w:pPr>
        <w:spacing w:after="0" w:line="3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Money market funds, U.S. Treasury bonds and U.S. Government Agency bonds were valued by the Company using quoted prices in active markets for similar securities, which represent a Level 2 measurement within the fair value hierarchy. Cash equivalents consisted of both money market funds and U.S. Government Agency bonds at March 31, 2026 and money market funds at March 31, 2025.</w:t>
      </w:r>
    </w:p>
    <w:p>
      <w:pPr>
        <w:spacing w:after="0" w:line="172"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2025, the Company's available-for-sale investments by type,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59,857</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9</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372,685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-1207770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-1207770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-1207770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-1559560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-1559560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-1559560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-565150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-565150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-565150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2025, available-for-sale securities consisted of investments that mature within one year.</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manufacturing and laboratory equipment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37"/>
        </w:trPr>
        <w:tc>
          <w:tcPr>
            <w:tcW w:w="8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27,138</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r>
      <w:tr>
        <w:trPr>
          <w:trHeight w:val="237"/>
        </w:trPr>
        <w:tc>
          <w:tcPr>
            <w:tcW w:w="82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w:t>
            </w:r>
          </w:p>
        </w:tc>
      </w:tr>
      <w:tr>
        <w:trPr>
          <w:trHeight w:val="27"/>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-1731010</wp:posOffset>
            </wp:positionV>
            <wp:extent cx="6223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$3.3 million and $3.5 million for the years ended March 31, 2026 and 2025, respectively, and recorded within research and development and selling, general and administrative expenses in the consolidated statement of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19,606</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 costs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-213995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-908050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Loan Agreement</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6, 2022, the Company entered into a Loan and Security Agreement (the “Loan Agreement”), with Hercules Capital, Inc., as administrative agent, collateral agent and as a lender (“Hercules”). Pursuant to the Loan Agreement, the Company can borrow term loans in an aggregate maximum principal amount of up to $200.0 million under multiple tranches (the “Term Loan Facility”). Under the Loan Agreement, the Company borrowed an initial amount of $30.0 million on the closing date, and at the Company's sole option, could have drawn, but did not draw down, an additional $30.0 million on or prior to September 30, 2023. The Company can also draw as additional term loan advances in an aggregate principal amount of up to $115.0 million during the term of the Term Loan Facility subject to achievement of specified performance milestones, and two additional term loan advances up to an aggregate principal amount of $25.0 million subject to certain terms and conditions, on or prior to the end of the interest-only period. The Company intends to use the proceeds of the Term Loan Facility for working capital and general corporate purposes.</w:t>
      </w:r>
    </w:p>
    <w:p>
      <w:pPr>
        <w:spacing w:after="0" w:line="1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Agreement was subsequently amended (the "Amendment") on June 28, 2023 pursuant to which the Company agreed to draw an initial term loan advance in an aggregate principal amount not less than $30.0 million, provided that the aggregate amount of the term loan advances made under tranche 1 do not exceed $30.0 million, which reflects a decrease of $30.0 million from the $60.0 million in the original Loan Agreement for tranche 1. The total amount of the Loan Agreement, as well as the outstanding balance of the loan, was unchanged, but the option to borrow additional funds were redistributed from tranche 1 to tranche 2.</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second amendment was made to the Loan Agreement (the "Second Amendment") on December 22, 2023 pursuant to which the Company agreed to draw a term loan advance in an aggregate principal amount not less than $15.0 million, provided that the aggregate amount of the term loan advances made under tranche 2 do not exceed $15.0 million on or prior to December 31, 2023. The Second Amendment re-allocated the total future consideration of the Loan Agreement to the future tranches extending through September 2026, subject to the terms and conditions of the Loan Agreement. The Second Amendment did not change the total aggregate maximum principal amount to be drawn under the Loan Agreement, which remained up to $200.0 million. Upon closing of the Second Amendment on December 22, 2023, the Company drew down the tranche 2 amount of $15.0 million.</w:t>
      </w:r>
    </w:p>
    <w:p>
      <w:pPr>
        <w:spacing w:after="0" w:line="21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A third amendment was made to the Loan Agreement (the "Third Amendment") on January 29, 2026 (the "Third Amendment Closing Date") pursuant to which the Company drew down the tranche 3 loan advance amount of $35.0 million. The Third Amendment maintains a $200.0 million maximum principal amount and re-allocates the future tranches extending through December 2027, subject to the terms and conditions of the Loan Agreement.</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the Third Amendment extends the amortization date, with a balloon payment, inclusive of accrued interest and principal due on the maturity date of October 1, 2027. The Third Amendment provides that if the Company receives FDA approval prior to October 1, 2027, the amortization and maturity date shall be extended to October 1, 2029. Borrowings under the Loan Agreement are repayable in monthly interest-only payments through September 2027, with the outstanding principal balance of the Term Loan Facility bearing interest payable in cash at a floating rate per annum equal to the greater of (i) 8.50% and (ii) the Prime Rate plus 1.75%.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Long-term debt (Continued)</w:t>
      </w:r>
    </w:p>
    <w:p>
      <w:pPr>
        <w:spacing w:after="0" w:line="200" w:lineRule="exact"/>
        <w:rPr>
          <w:sz w:val="20"/>
          <w:szCs w:val="20"/>
          <w:color w:val="auto"/>
        </w:rPr>
      </w:pPr>
    </w:p>
    <w:p>
      <w:pPr>
        <w:spacing w:after="0" w:line="3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principal balance of the Term Loan Facility will also bear “payment-in-kind” interest at the rate of 1.50% (“PIK Interest”), which PIK Interest will be added to the outstanding principal balance of the Term Loan Facility on each interest payment date.</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the Company's option, the Company may prepay all or a portion of the outstanding borrowings, subject to a prepayment fee of 3.0% of the principal amount if prepayment occurs during the 12 months following the Third Amendment Closing Date, 2.0% after 12 months following the Third Amendment Closing Date but prior to 36 months following the Closing Date, and 1.0% thereafter.</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facility fees, events of default and representations, warranties and affirmative and negative covenants, including a financial covenant requiring the Company to maintain unrestricted cash in an amount not less than 35% of the aggregate outstanding secured obligations under the Loan Agreement in accounts subject to a control agreement in favor of the Agent (the “Unrestricted Cash”) at all times commencing on January 1, 2024. In addition, the Loan Agreement, as amended, also contains a financial covenant that beginning on the later of (i) July 1, 2026 and (ii) the date on which the aggregate outstanding principal amount of the Term Loan Facility is equal to or greater than $100.0 million, the Company is required to satisfy one of the following requirements: (1) achieve a minimum amount of trailing three-month net product revenue tested on a monthly basis, (2) maintain a market capitalization in excess of $1.2 billion and Unrestricted Cash in an amount no less than 50% of the outstanding amount under the Term Loan Facility, or (3) maintain Unrestricted Cash in an amount no less than 85% of the outstanding amount under the Term Loan Facility.</w:t>
      </w:r>
    </w:p>
    <w:p>
      <w:pPr>
        <w:spacing w:after="0" w:line="12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The Company paid a $0.5 million facility charge and incurred debt issuance costs of $1.5 million upon closing of the Loan Agreement. The Loan Agreement also provides for a final payment, payable upon maturity or the repayment of the obligations in full or in part (on a pro rata basis), equal to 4.95% of the aggregate principal amount of Term Loans advanced to the Borrower and repaid on such date, which is being accrued on the Company's consolidated balance sheet. As of March 31, 2026 and 2025, the amount accrued for the final payment was $1.7 million and $1.0 million, respectively.</w:t>
      </w:r>
    </w:p>
    <w:p>
      <w:pPr>
        <w:spacing w:after="0" w:line="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Unamortized debt issuance costs are recorded as a reduction of the carrying amount on the term loan and amortized as interest expense using the effective-interest method. In addition, unamortized deferred financing costs of $0.5 million and $0.9 million were recorded in other assets as of March 31, 2026 and 2025, respectively, related to the Company's right to borrow additional amounts from Hercules in the future and amortized to interest expense over the relevant draw period on a straight-line basis. Interest expense for the twelve months ended March 31, 2026 and 2025 was $6.8 million and $5.8 million,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obligations under the term loan as of March 31, 2026 and 2025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loan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charge and diligence fee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end of term fee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46,377</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annual principal payments by fiscal year due under the Loan Agreement as of March 31, 2026 were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84,150</w:t>
            </w:r>
          </w:p>
        </w:tc>
        <w:tc>
          <w:tcPr>
            <w:tcW w:w="2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84,150</w:t>
            </w:r>
          </w:p>
        </w:tc>
        <w:tc>
          <w:tcPr>
            <w:tcW w:w="20" w:type="dxa"/>
            <w:vAlign w:val="bottom"/>
          </w:tcPr>
          <w:p>
            <w:pPr>
              <w:spacing w:after="0"/>
              <w:rPr>
                <w:sz w:val="24"/>
                <w:szCs w:val="24"/>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-1996440</wp:posOffset>
            </wp:positionV>
            <wp:extent cx="18599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-565150</wp:posOffset>
            </wp:positionV>
            <wp:extent cx="9086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payments of long-term debt excludes the end of term charge of $4.0 million, which is due upon the maturity of the loan.</w:t>
      </w:r>
    </w:p>
    <w:p>
      <w:pPr>
        <w:spacing w:after="0" w:line="221"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2026 and 2025, the Company’s certificate of incorporation, as amended and restated, authorized the Company to issue up to 150,000,000 shares of common stock, par value $0.001 per share.</w:t>
      </w:r>
    </w:p>
    <w:p>
      <w:pPr>
        <w:spacing w:after="0" w:line="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had reserved for common stock for the exercise of outstanding stock options and the vesting of restricted share units, the number of shares remaining available for grant under the Company’s 2018 Omnibus Incentive Compensation Plan and the Company’s Employee Stock Purchase Plan (see Note 10) and the exercise of the outstanding warrants to purchase shares of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97790</wp:posOffset>
            </wp:positionV>
            <wp:extent cx="2091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875145"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75145"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and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514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7514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 future issuance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stock purchase plan, 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514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7514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Pre-IPO warrants to purchase common stock</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514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7514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March 31, 2026</w:t>
      </w:r>
      <w:r>
        <w:rPr>
          <w:sz w:val="20"/>
          <w:szCs w:val="20"/>
          <w:color w:val="auto"/>
        </w:rPr>
        <w:tab/>
      </w:r>
      <w:r>
        <w:rPr>
          <w:rFonts w:ascii="Times New Roman" w:cs="Times New Roman" w:eastAsia="Times New Roman" w:hAnsi="Times New Roman"/>
          <w:sz w:val="17"/>
          <w:szCs w:val="17"/>
          <w:b w:val="1"/>
          <w:bCs w:val="1"/>
          <w:color w:val="auto"/>
        </w:rPr>
        <w:t>March 31, 2025</w:t>
      </w:r>
    </w:p>
    <w:p>
      <w:pPr>
        <w:spacing w:after="0" w:line="40" w:lineRule="exact"/>
        <w:rPr>
          <w:sz w:val="20"/>
          <w:szCs w:val="20"/>
          <w:color w:val="auto"/>
        </w:rPr>
      </w:pPr>
    </w:p>
    <w:p>
      <w:pPr>
        <w:jc w:val="both"/>
        <w:ind w:left="560"/>
        <w:spacing w:after="0"/>
        <w:tabs>
          <w:tab w:leader="none" w:pos="2180" w:val="left"/>
        </w:tabs>
        <w:rPr>
          <w:sz w:val="20"/>
          <w:szCs w:val="20"/>
          <w:color w:val="auto"/>
        </w:rPr>
      </w:pPr>
      <w:r>
        <w:rPr>
          <w:rFonts w:ascii="Times New Roman" w:cs="Times New Roman" w:eastAsia="Times New Roman" w:hAnsi="Times New Roman"/>
          <w:sz w:val="18"/>
          <w:szCs w:val="18"/>
          <w:color w:val="auto"/>
        </w:rPr>
        <w:t>11,785,458</w:t>
      </w:r>
      <w:r>
        <w:rPr>
          <w:sz w:val="20"/>
          <w:szCs w:val="20"/>
          <w:color w:val="auto"/>
        </w:rPr>
        <w:tab/>
      </w:r>
      <w:r>
        <w:rPr>
          <w:rFonts w:ascii="Times New Roman" w:cs="Times New Roman" w:eastAsia="Times New Roman" w:hAnsi="Times New Roman"/>
          <w:sz w:val="18"/>
          <w:szCs w:val="18"/>
          <w:color w:val="auto"/>
        </w:rPr>
        <w:t>10,214,878</w:t>
      </w:r>
    </w:p>
    <w:p>
      <w:pPr>
        <w:spacing w:after="0" w:line="27" w:lineRule="exact"/>
        <w:rPr>
          <w:sz w:val="20"/>
          <w:szCs w:val="20"/>
          <w:color w:val="auto"/>
        </w:rPr>
      </w:pPr>
    </w:p>
    <w:p>
      <w:pPr>
        <w:jc w:val="both"/>
        <w:ind w:left="640"/>
        <w:spacing w:after="0"/>
        <w:tabs>
          <w:tab w:leader="none" w:pos="2280" w:val="left"/>
        </w:tabs>
        <w:rPr>
          <w:sz w:val="20"/>
          <w:szCs w:val="20"/>
          <w:color w:val="auto"/>
        </w:rPr>
      </w:pPr>
      <w:r>
        <w:rPr>
          <w:rFonts w:ascii="Times New Roman" w:cs="Times New Roman" w:eastAsia="Times New Roman" w:hAnsi="Times New Roman"/>
          <w:sz w:val="18"/>
          <w:szCs w:val="18"/>
          <w:color w:val="auto"/>
        </w:rPr>
        <w:t>5,508,882</w:t>
      </w:r>
      <w:r>
        <w:rPr>
          <w:sz w:val="20"/>
          <w:szCs w:val="20"/>
          <w:color w:val="auto"/>
        </w:rPr>
        <w:tab/>
      </w:r>
      <w:r>
        <w:rPr>
          <w:rFonts w:ascii="Times New Roman" w:cs="Times New Roman" w:eastAsia="Times New Roman" w:hAnsi="Times New Roman"/>
          <w:sz w:val="18"/>
          <w:szCs w:val="18"/>
          <w:color w:val="auto"/>
        </w:rPr>
        <w:t>3,611,774</w:t>
      </w:r>
    </w:p>
    <w:p>
      <w:pPr>
        <w:spacing w:after="0" w:line="23" w:lineRule="exact"/>
        <w:rPr>
          <w:sz w:val="20"/>
          <w:szCs w:val="20"/>
          <w:color w:val="auto"/>
        </w:rPr>
      </w:pPr>
    </w:p>
    <w:p>
      <w:pPr>
        <w:jc w:val="both"/>
        <w:ind w:left="640"/>
        <w:spacing w:after="0"/>
        <w:tabs>
          <w:tab w:leader="none" w:pos="2280" w:val="left"/>
        </w:tabs>
        <w:rPr>
          <w:sz w:val="20"/>
          <w:szCs w:val="20"/>
          <w:color w:val="auto"/>
        </w:rPr>
      </w:pPr>
      <w:r>
        <w:rPr>
          <w:rFonts w:ascii="Times New Roman" w:cs="Times New Roman" w:eastAsia="Times New Roman" w:hAnsi="Times New Roman"/>
          <w:sz w:val="18"/>
          <w:szCs w:val="18"/>
          <w:color w:val="auto"/>
        </w:rPr>
        <w:t>1,569,457</w:t>
      </w:r>
      <w:r>
        <w:rPr>
          <w:sz w:val="20"/>
          <w:szCs w:val="20"/>
          <w:color w:val="auto"/>
        </w:rPr>
        <w:tab/>
      </w:r>
      <w:r>
        <w:rPr>
          <w:rFonts w:ascii="Times New Roman" w:cs="Times New Roman" w:eastAsia="Times New Roman" w:hAnsi="Times New Roman"/>
          <w:sz w:val="18"/>
          <w:szCs w:val="18"/>
          <w:color w:val="auto"/>
        </w:rPr>
        <w:t>2,119,283</w:t>
      </w:r>
    </w:p>
    <w:p>
      <w:pPr>
        <w:spacing w:after="0" w:line="23" w:lineRule="exact"/>
        <w:rPr>
          <w:sz w:val="20"/>
          <w:szCs w:val="20"/>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18"/>
          <w:szCs w:val="18"/>
          <w:color w:val="auto"/>
        </w:rPr>
        <w:t>4,102,399</w:t>
      </w:r>
      <w:r>
        <w:rPr>
          <w:sz w:val="20"/>
          <w:szCs w:val="20"/>
          <w:color w:val="auto"/>
        </w:rPr>
        <w:tab/>
      </w:r>
      <w:r>
        <w:rPr>
          <w:rFonts w:ascii="Times New Roman" w:cs="Times New Roman" w:eastAsia="Times New Roman" w:hAnsi="Times New Roman"/>
          <w:sz w:val="18"/>
          <w:szCs w:val="18"/>
          <w:color w:val="auto"/>
        </w:rPr>
        <w:t>3,405,175</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497,344</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14,058,153</w:t>
      </w:r>
      <w:r>
        <w:rPr>
          <w:rFonts w:ascii="Times New Roman" w:cs="Times New Roman" w:eastAsia="Times New Roman" w:hAnsi="Times New Roman"/>
          <w:sz w:val="17"/>
          <w:szCs w:val="17"/>
          <w:color w:val="auto"/>
        </w:rPr>
        <w:t>14,058,153</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37,024,349</w:t>
      </w:r>
      <w:r>
        <w:rPr>
          <w:rFonts w:ascii="Times New Roman" w:cs="Times New Roman" w:eastAsia="Times New Roman" w:hAnsi="Times New Roman"/>
          <w:sz w:val="17"/>
          <w:szCs w:val="17"/>
          <w:b w:val="1"/>
          <w:bCs w:val="1"/>
          <w:color w:val="auto"/>
        </w:rPr>
        <w:t>33,906,607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45720</wp:posOffset>
            </wp:positionV>
            <wp:extent cx="2091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728" w:lineRule="exact"/>
        <w:rPr>
          <w:sz w:val="20"/>
          <w:szCs w:val="20"/>
          <w:color w:val="auto"/>
        </w:rPr>
      </w:pPr>
    </w:p>
    <w:p>
      <w:pPr>
        <w:sectPr>
          <w:pgSz w:w="11900" w:h="16838" w:orient="portrait"/>
          <w:cols w:equalWidth="0" w:num="2">
            <w:col w:w="7040" w:space="720"/>
            <w:col w:w="3420"/>
          </w:cols>
          <w:pgMar w:left="320" w:top="130" w:right="399" w:bottom="1440" w:gutter="0" w:footer="0" w:header="0"/>
          <w:type w:val="continuous"/>
        </w:sect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March 31, 2026 and 2025, the Company’s certificate of incorporation, as amended and restated, authorized the Company to issue up to 10,000,000 shares of undesignated preferred stock, par value $0.001 per share. There were no undesignated preferred shares issued or outstanding as of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3, 2023, the Company and Leerink Partners LLC (the "Current Agent") entered into a sales agreement, which was subsequently amended on May 16, 2024, November 25, 2024 and May 22, 2025 (as so amended, the "2023 Sales Agreement"). Under the 2023 Sales Agreement, the Company may sell, from time to time, at its option, up to an aggregate of $100.0 million of share of the Company's common stock, $0.001 par value shares (the "Shares"), through the Current Agent, as the Company's sales agent.</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Shares to be offered and sold under the 2023 Sales Agreement will be issued and sold (i) by methods deemed to be an “at the market offering” (“ATM”) as defined in Rule 415(a)(4) promulgated under the Securities Act of 1933, as amended, or if authorized by the Company, in negotiated transactions or block trades, and (ii) pursuant to a registration statement on Form S-3 filed by the Company with the Securities and Exchange Commission on November 6, 2025, which became effective in accordance with the provisions of Section 8(a) of the Securities Act of 1933, as may be amended from time to time, for an offering of various securities, including shares of the Company’s common stock, preferred stock, debt securities, warrants and/or units for sale to the public in one or more public offerings.</w:t>
      </w:r>
    </w:p>
    <w:p>
      <w:pPr>
        <w:spacing w:after="0" w:line="1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Subject to the terms of the 2023 Sales Agreement, the Current Agent will use reasonable efforts to sell the Shares from time to time, based upon the Company’s instructions (including any price, time or size limits or other customary parameters or conditions the Company may impose). The Company will pay the Current Agent a commission of up to 3.0% of the gross proceeds from the sale of the Shares. The Company has also agreed to provide the Current Agent with customary indemnification rights.</w:t>
      </w:r>
    </w:p>
    <w:p>
      <w:pPr>
        <w:spacing w:after="0" w:line="1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2026, pursuant to the 2023 Sales Agreement, the Company issued and sold an aggregate of 4,019,975 shares of its common stock, resulting in net proceeds of $31.1 million, with $67.9 million left to sell under the Agreement. During the year ended March 31, 2025, the Company did not issue or sell any shares under the 2023 Sales Agreement. The Company cannot provide any assurances that it will issue any additional Shares pursuant to the 2023 Sales Agreement.</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14, 2024, the Company completed a private placement transaction (the "Private Placement") pursuant to which the Company sold (a) 5,668,937 shares of the Company's common stock, at an offering price of $8.82, and (b) in lieu of common stock to certain investors, pre-funded warrants to purchase 5,669,578 shares of the Company's common stock at an offering price of $8.819 per warrant (the "June 2024 Pre-Funded Warrants"). The Company received aggregate net proceeds in the Private Placement of approximately $96.7 million after deducting placement agent fees and other offering expenses payable by the Company of approximately $3.3 million.</w:t>
      </w:r>
    </w:p>
    <w:p>
      <w:pPr>
        <w:spacing w:after="0" w:line="1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25, 2024, the Company completed a public offering of (a) 8,538,377 shares of the Company’s common stock, inclusive of the Underwriters fully exercised 30-day option to purchase up to 1,615,377 additional shares of the Company's common stock at a public offering price of $13.00 per share, and (b) pre-funded warrants to purchase 3,846,184 shares of the Company’s common stock at a public offering price of $12.9999 per warrant (the "December 2024 Pre-Funded Warrants"). The Company received aggregate net proceeds of approximately $156.0 million after deducting fees and expenses of approximately $5.0 million.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Pre-funded Warrants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pre-funded warrants are exercisable at any time after the date of issuance. Unless otherwise modified by a holder of a pre-funded warrant, no holder may exercise a pre-funded warrant (i) if such holder, together with its affiliates, would beneficially own more than 9.99% (or, in the case of the December 2024 Pre-Funded Warrants, 4.99%) of the number of shares of our common stock outstanding immediately after giving effect to such exercise, or (ii) if the combined voting power of our securities beneficially owned by such holder, together with its affiliates, would exceed 9.99% (or, in the case of the December 2024 Pre-Funded Warrants, 4.99%) of the combined voting power of all of our securities then outstanding immediately after giving effect to the exercise of such pre-funded warrants, as such percentage ownership is determined in accordance with the terms of the pre-funded warrants. A holder of the June 2024 Pre-funded Warrants may increase or decrease this percentage to any other percentage not in excess of 9.99%, whereas a holder of the Company's other Pre-funded Warrants, may increase or decrease this percentage up to 19.99%, in each case, by providing at least 61 days’ prior notice to the Company.</w:t>
      </w:r>
    </w:p>
    <w:p>
      <w:pPr>
        <w:spacing w:after="0" w:line="1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14,058,153 shares of the Company's common stock underlying the pre-funded warrants issued by the Company are not included in the number of issued and outstanding shares of the Company’s common stock outstanding as reported on the consolidated balance sheet, though they are included in the Company's annual pool increase calculation as well as the weighted average outstanding common stock in the calculation of basic and diluted net loss per share, as noted below in Note 11.</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2026, one pre-IPO warrant holder exercised 248,672 of the Company's pre-funded warrants for an exercise price of $1.01 per pre-funded warrant. In addition, a second holder of the Company's pre-IPO warrants exercised 248,672 of the Company's pre-funded warrants for an exercise price of $1.01 per pre-funded warrant. As a result of the exercises, the Company issued 497,344 shares of Common Stock in exchange thereof. During the year ended March 31, 2025, a holder of the Company's pre-funded warrants exercised 739,225 of its pre-funded warrants for an exercise price of $0.001 per pre-funded warrant and the Company issued 739,225 shares of Common Stock in exchange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classification of stock-based compensation expense in the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4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60" w:type="dxa"/>
            <w:vAlign w:val="bottom"/>
          </w:tcPr>
          <w:p>
            <w:pPr>
              <w:spacing w:after="0"/>
              <w:rPr>
                <w:sz w:val="16"/>
                <w:szCs w:val="16"/>
                <w:color w:val="auto"/>
              </w:rPr>
            </w:pPr>
          </w:p>
        </w:tc>
      </w:tr>
      <w:tr>
        <w:trPr>
          <w:trHeight w:val="23"/>
        </w:trPr>
        <w:tc>
          <w:tcPr>
            <w:tcW w:w="3980" w:type="dxa"/>
            <w:vAlign w:val="bottom"/>
          </w:tcPr>
          <w:p>
            <w:pPr>
              <w:spacing w:after="0"/>
              <w:rPr>
                <w:sz w:val="2"/>
                <w:szCs w:val="2"/>
                <w:color w:val="auto"/>
              </w:rPr>
            </w:pPr>
          </w:p>
        </w:tc>
        <w:tc>
          <w:tcPr>
            <w:tcW w:w="51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0"/>
        </w:trPr>
        <w:tc>
          <w:tcPr>
            <w:tcW w:w="398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6"/>
                <w:szCs w:val="16"/>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1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16,734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18,439</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15,538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16,605</w:t>
            </w:r>
          </w:p>
        </w:tc>
      </w:tr>
      <w:tr>
        <w:trPr>
          <w:trHeight w:val="27"/>
        </w:trPr>
        <w:tc>
          <w:tcPr>
            <w:tcW w:w="39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9"/>
        </w:trPr>
        <w:tc>
          <w:tcPr>
            <w:tcW w:w="3980" w:type="dxa"/>
            <w:vAlign w:val="bottom"/>
            <w:tcBorders>
              <w:bottom w:val="single" w:sz="8" w:color="CCEEFF"/>
            </w:tcBorders>
            <w:shd w:val="clear" w:color="auto" w:fill="CCEEFF"/>
          </w:tcPr>
          <w:p>
            <w:pPr>
              <w:spacing w:after="0"/>
              <w:rPr>
                <w:sz w:val="24"/>
                <w:szCs w:val="24"/>
                <w:color w:val="auto"/>
              </w:rPr>
            </w:pPr>
          </w:p>
        </w:tc>
        <w:tc>
          <w:tcPr>
            <w:tcW w:w="51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32,272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35,044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3980" w:type="dxa"/>
            <w:vAlign w:val="bottom"/>
          </w:tcPr>
          <w:p>
            <w:pPr>
              <w:spacing w:after="0"/>
              <w:rPr>
                <w:sz w:val="24"/>
                <w:szCs w:val="24"/>
                <w:color w:val="auto"/>
              </w:rPr>
            </w:pPr>
          </w:p>
        </w:tc>
        <w:tc>
          <w:tcPr>
            <w:tcW w:w="5160" w:type="dxa"/>
            <w:vAlign w:val="bottom"/>
            <w:gridSpan w:val="2"/>
          </w:tcPr>
          <w:p>
            <w:pPr>
              <w:jc w:val="right"/>
              <w:ind w:right="3228"/>
              <w:spacing w:after="0"/>
              <w:rPr>
                <w:sz w:val="20"/>
                <w:szCs w:val="20"/>
                <w:color w:val="auto"/>
              </w:rPr>
            </w:pPr>
            <w:r>
              <w:rPr>
                <w:rFonts w:ascii="Times New Roman" w:cs="Times New Roman" w:eastAsia="Times New Roman" w:hAnsi="Times New Roman"/>
                <w:sz w:val="18"/>
                <w:szCs w:val="18"/>
                <w:color w:val="auto"/>
              </w:rPr>
              <w:t>F - 20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-873760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-1224915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for the years ended March 31, 2026 and 2025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15,312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19,885</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and performance stock units</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16,960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15,159</w:t>
            </w:r>
          </w:p>
        </w:tc>
      </w:tr>
      <w:tr>
        <w:trPr>
          <w:trHeight w:val="27"/>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32,272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35,044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-565150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Omnibus Incentive Compensation Plan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9, 2018, the Company’s board of directors adopted, and the Company’s stockholders approved the 2018 Omnibus Incentive Compensation Plan (the “2018 Plan”), which became effective immediately prior to the effectiveness of the registration statement for the Company’s initial public offering. The 2018 Plan provides for the issuance of incentive stock options, non-qualified stock options, stock awards, stock units, stock appreciation rights and other stock-based awards. The number of shares initially reserved for issuance under the 2018 Plan is 3,617,968 shares. If any options or stock appreciation rights, including outstanding options and stock appreciation rights granted under the 2017 Plan (up to 2,520,247 shares), terminate, expire, or are canceled, forfeited, exchanged, or surrendered without having been exercised, or if any stock awards, stock units or other stock-based awards, including outstanding awards granted under the 2017 Plan, are forfeited, terminated, or otherwise not paid in full in shares of common stock, the shares of the Company’s common stock subject to such grants will be available for purposes of our 2018 Plan. The number of shares reserved for issuance under the 2018 Plan will increase automatically on the first day of each April equal to 4.0% of the total number of shares of Company stock outstanding on the last trading day in the immediately preceding fiscal year, which includes for these purposes, the 14,058,153 shares issuable upon exercise of those pre-funded warrants described in Note 9 to these consolidated financial statements, or such lesser amount as determined by the Board. On April 1, 2025, the number of shares reserved for issuance under the 2018 Plan automatically increased by 3,645,727 shares pursuant to the terms of the 2018 Plan and based on total number of shares of Company stock outstanding on March 31, 2025. As of March 31, 2026, 1,569,457 shares remained available for future grants under the 2018 Plan.</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2018 Plan is administered by the board of directors or, at the discretion of the board of directors, by a committee of the board of directors. However, the board of directors shall administer and approve all grants made to non-employee directors. The exercise prices, vesting and other restrictions are determined at the discretion of the board of directors, except that the exercise price per share of incentive stock options may not be less than 100% of the fair market value of the common stock on the date of grant (or 110% of fair value in the case of an award granted to employees who hold more than 10% of the total combined voting power of all classes of stock at the time of grant) and the term of stock options may not be greater than five years for an incentive stock option granted to a 10% stockholder and greater than ten years for all other options granted. Stock options awarded under both plans expire ten years after the grant date, unless the board of directors sets a shorter term. Vesting periods for both plans are determined at the discretion of the board of directors. Incentive stock options granted to employees and non-statutory options granted to employees, officers, members of the board of directors, advisors, and consultants of the Company typically vest over four years. In 2021 the board of directors initiated the award of RSUs, under the 2018 Plan in addition to stock option awards available as part of the Company’s equity incentive for employees, officers, advisors and consultants of the Company. The RSUs typically vest over four approximately equal annual installments with the first such installment occurring on a designated vesting date that is approximately on the one year anniversary date of the date of grant and the subsequent installments occurring on the subsequent three annual anniversaries of the designated vesting date.</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2024, the Board of Directors approved the award of performance stock units ("PSUs"), under the 2018 Plan in addition to the aforementioned stock option awards and RSUs available as part of the Company’s equity incentive for employees, officers, advisors and consultants of the Company, subject to non-market performance and service conditions. The grant date fair value for the PSUs is determined based on the market price of the Company's common stock on the grant date and expense is recognized over the requisite service period if and when the achievement of such performance condition is determined to be probable by the Company. The PSUs will become vested, if at all, upon the achievement of the approval of the Company's first Biologics License Application ("BLA") for RP1 by the Food and Drug Administration ("FDA") no later than June 30, 2026. The timing of recognition of this stock-based compensation expense is subject to our judgment as to when the performance conditions are considered probable of being achieved. The Company did not grant any PSUs under the 2018 Plan during the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2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year ended March 31, 2026. The Company granted 246,110 PSUs under the 2018 Plan during the year ended March 31, 2025. If the Company does not achieve the approval of the Company's first BLA for RP1 before the expiration of June 30, 2026 then no PSU will be earned or vested. The Company reassesses the probability of achieving the performance condition at each reporting period. As of March 31, 2026, the Company has not recognized any expense related to PSUs.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July 9, 2018, the Company’s board of directors adopted and the Company’s stockholders approved the Employee Stock Purchase Plan (the “ESPP”), which became effective immediately prior to the effectiveness of the registration statement for the Company’s IPO. The total shares of common stock initially reserved for issuance under the ESPP is limited to 348,612 shares. In addition, as of the first trading day of each fiscal year during the term of the ESPP (excluding any extensions), an additional number of shares of the Company’s common stock equal to 1% of the total number of shares outstanding on the last trading day in the immediately preceding fiscal year, which includes for these purposes, the 14,058,153 shares issuable upon exercise of those pre-funded warrants described in Note 9 to these consolidated financial statements, or 697,224 shares, whichever is less (or such lesser amount as determined by the Company’s board of directors) will be added to the number of shares authorized under the ESPP. In accordance with the terms of the ESPP, on April 1, 2025, the number of shares reserved for issuance under the ESPP automatically increased by 697,224, for a total of 4,102,399 shares reserved for the ESPP. If the total number of shares of common stock to be purchased pursuant to outstanding purchase rights on any particular date exceed the number of shares then available for issuance under the ESPP, then the plan administrator will allocate the available shares pro-rata and refund any excess payroll deductions or other contributions to participants. The Company’s ESPP is not currently active.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employees and executives as a material inducement to enter into employment with the Company. The grants constitute "employment inducement grants" in accordance with Rule 5635(c)(4) of the Nasdaq Listing Rules and have been issued outside of the 2018 Plan and each of the other stock incentive plans described above. The inducement grants typically include nonqualified stock options to purchase shares of the Company's common stock, as well as restricted stock unit grants representing shares of the Company's common stock. These stock option and restricted stock unit inducement grants have terms and conditions consistent with those set forth under the 2018 Plan and vest under the same respective vesting schedules as stock option and restricted stock unit awards granted under the 2018 Plan. The inducement grants are included in the stock option and RSU award tables below. During the years ended March 31, 2026 and 2025, the Company granted 202,945 and 267,835 nonqualified stock options to purchase shares of the Company's common stock, respectively, and 333,130 and 404,030 restricted stock units, respectively, under employment inducement grants.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which requires inputs based on certain subjective assumptions including the expected stock price volatility, the expected term of the option, the risk-free interest rate determined by reference to the U.S. Treasury yield curve in effect at the time of grant of the award for a period that approximates the expected term of the option, and our expected dividend yield. The expected stock volatility is based on Replimune's historical share price volatility. The expected term of stock options granted to non-employees is equal to the contractual term of the option award. Expected dividend yield is based on the fact that the Company has never paid cash dividends and does not expect to pay any cash dividends in the foreseeable future. For options with service-based vesting conditions, the expected term of the Company's stock options has been determined utilizing the "simplified" method for awards that qualify as "plain-vanilla" options.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Forfeitures are accounted for as they occur. The fair value of each RSU and PSU is estimated on the date of grant based on the fair value of our common stock on that same date.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that the Company used to determine the grant-date fair value of stock options granted to employees and directors:</w:t>
      </w:r>
    </w:p>
    <w:p>
      <w:pPr>
        <w:spacing w:after="0" w:line="6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0"/>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61461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Company’s equity incentive plans for the year ended March 31, 2026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5"/>
                <w:szCs w:val="15"/>
                <w:color w:val="auto"/>
              </w:rPr>
            </w:pPr>
          </w:p>
        </w:tc>
        <w:tc>
          <w:tcPr>
            <w:tcW w:w="13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10,214,878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11,785,458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8,222,796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95"/>
        </w:trPr>
        <w:tc>
          <w:tcPr>
            <w:tcW w:w="5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Options vested and expected to vest as of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11,785,458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-590550</wp:posOffset>
            </wp:positionV>
            <wp:extent cx="9772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-590550</wp:posOffset>
            </wp:positionV>
            <wp:extent cx="10458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-1285240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-1285240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-1285240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March 31, 2026, there was $19.0 million of unrecognized compensation cost related to unvested common stock options, which is expected to be recognized over a weighted average period of 2.5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March 31, 2026 and 2025 was $5.84 and $5.91,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March 31, 2026 and 2025 was $0.6 million and $0.5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and performance stock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Company’s RSUs and PSUs during the year ended March 31, 2026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5,508,882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2236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-908050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2026 and 2025, the weighted average grant date fair value of awards granted is $30.8 million and $19.0 million, respectively. In addition, the total fair value of shares vested during the years ended March 31, 2026 and 2025 is $16.0 million and $13.5 million, respectively.</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there was $36.3 million of total unrecognized compensation cost related to unvested restricted stock units which vest over time, which primarily will be recognized over a weighted-average period of 2.1 years. In addition,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Company has unrecognized expense of approximately $4.1 million related to performance based awards with vesting tied to the achievement of a company milestone.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(in thousands, except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(247,297)</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92,803,711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80,564,147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62236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6223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9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14,058,153 shares of the Company's common stock issuable upon exercise of Pre-Funded Warrants described in Note 9 to these consolidated financial statements are included as outstanding common stock in the calculation of basic and diluted net loss per share.</w:t>
      </w:r>
    </w:p>
    <w:p>
      <w:pPr>
        <w:spacing w:after="0" w:line="17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unvested restricted and performance stock units and warrants to purchase shares of common stock that resulted from the conversion of warrants to purchase shares of seed preferred stock existing before the Company's IPO, have been excluded from the computation of diluted net loss per share as the effect would be to reduce the net loss per share. Therefore, the weighted 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11,785,458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10,214,878</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and performance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5,508,882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3,611,774</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497,344</w:t>
            </w:r>
          </w:p>
        </w:tc>
      </w:tr>
      <w:tr>
        <w:trPr>
          <w:trHeight w:val="288"/>
        </w:trPr>
        <w:tc>
          <w:tcPr>
            <w:tcW w:w="8260" w:type="dxa"/>
            <w:vAlign w:val="bottom"/>
            <w:tcBorders>
              <w:top w:val="single" w:sz="8" w:color="CCEEFF"/>
              <w:bottom w:val="single" w:sz="8" w:color="CCEEFF"/>
            </w:tcBorders>
            <w:shd w:val="clear" w:color="auto" w:fill="CCEEFF"/>
          </w:tcPr>
          <w:p>
            <w:pPr>
              <w:spacing w:after="0"/>
              <w:rPr>
                <w:sz w:val="24"/>
                <w:szCs w:val="24"/>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17,294,340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14,323,996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223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62236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Significant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Bristol-Myers Squibb Company</w:t>
      </w:r>
    </w:p>
    <w:p>
      <w:pPr>
        <w:spacing w:after="0" w:line="16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February 2018, the Company entered into an agreement with Bristol-Myers Squibb Company (“BMS”). Pursuant to the agreement, BMS will provide to the Company, at no cost, a compound for use in the Company’s ongoing clinical trial of RP1. Under the agreement, the Company will sponsor, fund and conduct the clinical trial in accordance with an agreed-upon protocol. BMS granted the Company a non-exclusive, non-transferrable, royalty-free license (with a right to sublicense) under its intellectual property to its compound in the clinical trial and agreed to supply its compound, at no cost to the Company, for use in the clinical trial. In January 2020, this agreement was expanded to cover an additional cohort of 125 patients with anti-PD-1 failed melanoma.</w:t>
      </w:r>
    </w:p>
    <w:p>
      <w:pPr>
        <w:spacing w:after="0" w:line="87"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w:t>
      </w:r>
    </w:p>
    <w:p>
      <w:pPr>
        <w:spacing w:after="0" w:line="2" w:lineRule="exact"/>
        <w:rPr>
          <w:sz w:val="20"/>
          <w:szCs w:val="20"/>
          <w:color w:val="auto"/>
        </w:rPr>
      </w:pPr>
    </w:p>
    <w:p>
      <w:pPr>
        <w:ind w:right="20" w:firstLine="8"/>
        <w:spacing w:after="0" w:line="260"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other party is insolvent or in bankruptcy proceedings or (z) for safety reasons. Upon termination, the licenses granted to the Company to use BMS’s nivolumab in the clinical trial will terminate.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Significant agreements (Continued)</w:t>
      </w:r>
    </w:p>
    <w:p>
      <w:pPr>
        <w:spacing w:after="0" w:line="200" w:lineRule="exact"/>
        <w:rPr>
          <w:sz w:val="20"/>
          <w:szCs w:val="20"/>
          <w:color w:val="auto"/>
        </w:rPr>
      </w:pPr>
    </w:p>
    <w:p>
      <w:pPr>
        <w:spacing w:after="0" w:line="3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April 2019, the Company entered into a separate agreement with BMS on terms similar to the terms set forth in the agreement described above, pursuant to which BMS will provide to the Company, at no cost, nivolumab for use in the Company’s Phase 1 clinical trial of RP2 in combination with nivolumab.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Master Clinical Trial Collaboration and Supply Agreement with Roche in relation to the Company's RP2 and RP3 programs in colorectal cancer, or CRC, and hepatocellular carcinoma, or HCC. Under the agreement, the companies intended to collaborate in 30 patient cohort signal finding studies in third-line, or 3L, CRC and in first- and second-line, or 1L and 2L, respectively, HCC. Following the Company's re-prioritization of its product development portfolio in December 2023, the Company agreed with Roche to terminate the CRC collaboration and pursue the 2L cohort in HCC with RP2 only. Roche has continued to supply its currently approved drugs, atezolizumab and bevacizumab for the 2L cohort in HCC but is not sharing costs following the Company's re-prioritization. Under the terms of the initial agreement the Company retained the responsibility of operating the clinical trials as well as retaining all the rights to the development and commercialization of its product candidates. The agreement may be terminated by either party upon sixty days prior written notice to the other party.</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agreement with Roche is accounted for under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as both parties are active participants and each party pays its own compound costs and shares equally in development costs in accordance with and up to the amount in the agreed upon first study plan. The Company accounts for costs incurred as part of the study, including costs to supply compounds for use in the study, as research and development expenses within the consolidated statement of operations. The Company recognizes any amounts received from Roche in connection with this agreement as an offset to research and development expense within the consolidated statement of operations.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years ended March 31, 2026 and 2025, the Company did not make any payments to Roche under the terms of the agreement. The Company did not record any offset to research and development expenses during the year ended March 31, 2026 and 2025. The Company did not receive any payments under the terms of the agreement from Roche during the year ended March 31, 2026, and the Company received $1.8 million under the terms of the agreement for the year ended March 31, 2025. As of March 31, 2026 and 2025, the Company had no receivables recorded from Roche in connection with this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2023 the Company entered into a Settlement Agreement with Amgen and mutually agreed to terminate the Company's challenges to Amgen's patents. In connection with the Settlement Agreement, the Company entered into a License and Covenant Agreement with Amgen in which the Company agreed to pay Amgen low single-digit royalty payments on net sales of its products that, but for the license, could be found to infringe a valid Amgen patent on a country-by-country and product-by-product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leases real estate assets and equipment, and the determination if an arrangement is a lease occurs at inception. For leases with terms greater than 12 months, the Company records a related right-of-use (“ROU”)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 The Company has elected not to record a ROU asset and lease obligation for short-term leases (with terms less than 12 months) or separate non-lease components from associated lease components for its real estate lease assets. As a result, all contract consideration is allocated to the single lease component.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leases have remaining lease terms of five years to fifteen years. Some of the Company's leases include one or more options to renew with renewal terms that can extend the lease for additional years, or options to terminate the leases, both at the Company’s discretion. The Company’s lease terms include options to extend or terminate leases when the Company concludes it is reasonably certain that it would exercise those options. Lease expense for minimum lease payments is recognized on a straight-line basis based on the fixed components of a lease arrangement. The Company amortizes this expense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 (Continued)</w:t>
      </w:r>
    </w:p>
    <w:p>
      <w:pPr>
        <w:spacing w:after="0" w:line="200" w:lineRule="exact"/>
        <w:rPr>
          <w:sz w:val="20"/>
          <w:szCs w:val="20"/>
          <w:color w:val="auto"/>
        </w:rPr>
      </w:pPr>
    </w:p>
    <w:p>
      <w:pPr>
        <w:spacing w:after="0" w:line="3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over the term of the lease beginning with the date of initial possession, which is the date the Company can enter the leased space and begin to make improvements in preparation for its intended use. Variable lease components represent amounts that are not fixed in nature and are not tied to an index or rate, and are recognized as incurred.</w:t>
      </w:r>
    </w:p>
    <w:p>
      <w:pPr>
        <w:spacing w:after="0" w:line="9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table below presents the lease-related costs which are included in the consolidated statements of operations for the years ended as of March 31, 2026 and 2025:</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costs: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classification of lease costs in the consolidated statement of operations for the years ended March 31, 2026 and 2025 as follows:</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0"/>
        </w:trPr>
        <w:tc>
          <w:tcPr>
            <w:tcW w:w="8260" w:type="dxa"/>
            <w:vAlign w:val="bottom"/>
            <w:tcBorders>
              <w:bottom w:val="single" w:sz="8" w:color="BFE4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BFE4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82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bottom w:val="single" w:sz="8" w:color="auto"/>
            </w:tcBorders>
            <w:shd w:val="clear" w:color="auto" w:fill="BFE4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auto"/>
            </w:tcBorders>
            <w:shd w:val="clear" w:color="auto" w:fill="BFE4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0"/>
        </w:trPr>
        <w:tc>
          <w:tcPr>
            <w:tcW w:w="826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maturity of the Company’s lease liabilities on an undiscounted cash flow basis and a reconciliation to the operating and finance lease liabilities recognized on our balance sheet as of March 31, 2026: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3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45,148</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36"/>
        </w:trPr>
        <w:tc>
          <w:tcPr>
            <w:tcW w:w="3480" w:type="dxa"/>
            <w:vAlign w:val="bottom"/>
          </w:tcPr>
          <w:p>
            <w:pPr>
              <w:spacing w:after="0"/>
              <w:rPr>
                <w:sz w:val="24"/>
                <w:szCs w:val="24"/>
                <w:color w:val="auto"/>
              </w:rPr>
            </w:pPr>
          </w:p>
        </w:tc>
        <w:tc>
          <w:tcPr>
            <w:tcW w:w="34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 - 26</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34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lease disclosure as of and for the years ended March 31,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8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1,167</w:t>
            </w:r>
          </w:p>
        </w:tc>
      </w:tr>
      <w:tr>
        <w:trPr>
          <w:trHeight w:val="27"/>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2,118</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599</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20" w:type="dxa"/>
            <w:vAlign w:val="bottom"/>
          </w:tcPr>
          <w:p>
            <w:pPr>
              <w:spacing w:after="0"/>
              <w:rPr>
                <w:sz w:val="23"/>
                <w:szCs w:val="2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 years</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years</w:t>
            </w:r>
          </w:p>
        </w:tc>
      </w:tr>
      <w:tr>
        <w:trPr>
          <w:trHeight w:val="27"/>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 years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years</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7"/>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7"/>
        </w:trPr>
        <w:tc>
          <w:tcPr>
            <w:tcW w:w="8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variable lease costs and short-term lease costs were insignificant for the years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commitments</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entered into an agreement with a contract manufacturing organization to provide clinical trial products. As of March 31, 2026 and 2025, the Company had committed to minimum payments under these arrangements totaling $0.8 million and $0.8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executive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therefore it has not accrued any liabilities related to such obligations in its consolidated financial statements as of March 31, 2026 or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records a liability for such matters when it is probable that future losses will be incurred and that such losses can be reasonably estimated. Significant judgment is required to determine both probability and the estimated amount.</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Jboor v. Replimune Group, Inc. et al., Case No. 1:25-cv-12085-JEK, was filed shortly after the Company announced it received a complete response letter from the FDA for its RP1 BLA for the treatment of advanced melanoma on July 22, 2025 and the subsequent decline in the trading price of the Company's common stock. The Court has appointed a lead plaintiff, or the Lead Plaintiff. On January 13, 2026, Lead Plaintiff filed an amended complaint. The Company and the other defendants deny any wrongdoing and continue to vigorously defend this action.</w:t>
      </w:r>
    </w:p>
    <w:p>
      <w:pPr>
        <w:spacing w:after="0" w:line="21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Following the class action complaint, three shareholders filed separate derivative actions on behalf of the Company in the District of Massachusetts captioned Chea v. Patel et al., Case No. 1:25-cv-12316-JEK, Wright v. Patel et al., Case No. 1:25-cv-12401-WGY, and Vochten v. Patel et al.,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 (Continued)</w:t>
      </w:r>
    </w:p>
    <w:p>
      <w:pPr>
        <w:spacing w:after="0" w:line="37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spacing w:after="0" w:line="20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September 29, 2025, the SEC informed the Company that it was conducting an investigation and requested that the Company produce certain documents and communications connected with the RP1 BLA. The investigation is reviewing essentially the same subject matter raised in the litigation following the CRL. On June 24, 2026, the SEC informed the Company that it has concluded its investigation of the Company and that it is not recommending an enforcement action be taken against the Company.</w:t>
      </w:r>
    </w:p>
    <w:p>
      <w:pPr>
        <w:spacing w:after="0" w:line="19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Following the second CRL issued by the FDA on April 10, 2026 for the Company's RP1 BLA for the treatment of advanced melanoma, the Lead Plaintiff filed a second amended complaint in the class action that addresses the second CRL. The Company’s and the other defendants’ response is due July 20, 2026.</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matters noted above are preliminary, the Company is unable to determine whether any loss will ultimately occur and cannot reasonably estimate the range of expected exposure. Therefore, the Company has not recorded any liability in the condensed consolidated financial statements as of and for the year ended March 31, 2026.</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14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defined-contribution savings plan under Section 401(k) of the Code (the “401(k) Plan”). The 401(k) Plan covers substantially all employees who meet minimum age and service requirements and allows participants to defer a portion of their annual compensation on a pre-tax basis. Matching contributions to the 401(k) Plan may be made at the discretion of the Company’s board of directors. During the years ended March 31, 2026 and 2025, the Company made contributions totaling $3.7 million and $2.4 million, respectively, to the 401(k) Plan.</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provide a pension contribution plan for our employees in the United Kingdom, pursuant to which we match our employees’ contributions each year in amounts up to 8% of their annual base salary.</w:t>
      </w:r>
    </w:p>
    <w:p>
      <w:pPr>
        <w:sectPr>
          <w:pgSz w:w="11900" w:h="16838" w:orient="portrait"/>
          <w:cols w:equalWidth="0" w:num="1">
            <w:col w:w="11240"/>
          </w:cols>
          <w:pgMar w:left="320" w:top="130" w:right="339" w:bottom="1440" w:gutter="0" w:footer="0" w:header="0"/>
        </w:sectPr>
      </w:pP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for the years ended March 31, 2026 and 2025 were as follows: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4637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4637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Year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7"/>
        </w:trPr>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w:t>
            </w:r>
          </w:p>
        </w:tc>
      </w:tr>
      <w:tr>
        <w:trPr>
          <w:trHeight w:val="234"/>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(248,449)</w:t>
            </w:r>
          </w:p>
        </w:tc>
        <w:tc>
          <w:tcPr>
            <w:tcW w:w="100" w:type="dxa"/>
            <w:vAlign w:val="bottom"/>
            <w:tcBorders>
              <w:bottom w:val="single" w:sz="8" w:color="BFE4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(220,959)</w:t>
            </w:r>
          </w:p>
        </w:tc>
      </w:tr>
      <w:tr>
        <w:trPr>
          <w:trHeight w:val="248"/>
        </w:trPr>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(314,491)</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(246,829)</w:t>
            </w:r>
          </w:p>
        </w:tc>
      </w:tr>
      <w:tr>
        <w:trPr>
          <w:trHeight w:val="20"/>
        </w:trPr>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Year ended March 31,</w:t>
      </w:r>
    </w:p>
    <w:p>
      <w:pPr>
        <w:spacing w:after="0" w:line="33" w:lineRule="exact"/>
        <w:rPr>
          <w:sz w:val="20"/>
          <w:szCs w:val="20"/>
          <w:color w:val="auto"/>
        </w:rPr>
      </w:pPr>
    </w:p>
    <w:p>
      <w:pPr>
        <w:sectPr>
          <w:pgSz w:w="11900" w:h="16838" w:orient="portrait"/>
          <w:cols w:equalWidth="0" w:num="2">
            <w:col w:w="7540" w:space="720"/>
            <w:col w:w="29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(benefit) provision:</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shd w:val="clear" w:color="auto" w:fill="BFE4FF"/>
          </w:tcPr>
          <w:p>
            <w:pPr>
              <w:spacing w:after="0"/>
              <w:rPr>
                <w:sz w:val="19"/>
                <w:szCs w:val="19"/>
                <w:color w:val="auto"/>
              </w:rPr>
            </w:pPr>
          </w:p>
        </w:tc>
        <w:tc>
          <w:tcPr>
            <w:tcW w:w="5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(United Kingdom)</w:t>
            </w:r>
          </w:p>
        </w:tc>
        <w:tc>
          <w:tcPr>
            <w:tcW w:w="9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income tax (benefit) provision:</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March 31, 2026 and 2025, the Company recorded an income tax benefit of $0.6 million and a provision of $0.5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 (Continued)</w:t>
      </w:r>
    </w:p>
    <w:p>
      <w:pPr>
        <w:spacing w:after="0" w:line="36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net operating loss carryforwards ultimately depends on the existence of sufficient taxable income within the carryforward period. As of March 31, 2026 and 2025, the Company performed an evaluation to determine whether a valuation allowance was needed. The Company considered all available evidence, both positive and negative, which included the results of operations for the current and preceding years. It was determined that it was not possible to reasonably quantify future taxable income and determined that it is more likely than not that all of the deferred tax assets will not be realized. Accordingly, a full valuation allowance was maintained as of March 31, 2026 and 2025.</w:t>
      </w:r>
    </w:p>
    <w:p>
      <w:pPr>
        <w:spacing w:after="0" w:line="1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reconciliation of taxes at the U.S. federal statutory income tax rate to the Company’s benefit from income taxes for the year ended March 31, 2026 in accordance with the guidance upon adoption of ASU 2023-09 is as follows: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00" w:type="dxa"/>
            <w:vAlign w:val="bottom"/>
          </w:tcPr>
          <w:p>
            <w:pPr>
              <w:spacing w:after="0"/>
              <w:rPr>
                <w:sz w:val="16"/>
                <w:szCs w:val="16"/>
                <w:color w:val="auto"/>
              </w:rPr>
            </w:pPr>
          </w:p>
        </w:tc>
      </w:tr>
      <w:tr>
        <w:trPr>
          <w:trHeight w:val="23"/>
        </w:trPr>
        <w:tc>
          <w:tcPr>
            <w:tcW w:w="7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7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133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shd w:val="clear" w:color="auto" w:fill="CCEEFF"/>
          </w:tcPr>
          <w:p>
            <w:pPr>
              <w:spacing w:after="0"/>
              <w:rPr>
                <w:sz w:val="17"/>
                <w:szCs w:val="17"/>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auto"/>
            </w:tcBorders>
          </w:tcPr>
          <w:p>
            <w:pPr>
              <w:spacing w:after="0"/>
              <w:rPr>
                <w:sz w:val="17"/>
                <w:szCs w:val="17"/>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 tax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70"/>
        </w:trPr>
        <w:tc>
          <w:tcPr>
            <w:tcW w:w="7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(66,043)</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7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w:t>
            </w:r>
          </w:p>
        </w:tc>
        <w:tc>
          <w:tcPr>
            <w:tcW w:w="1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9"/>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Statutory tax rate difference between U.K. and U.S.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7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R&amp;D credit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includes the effects of state and local income taxes, net of the federal income tax benefit, which are primarily attributable to Massachusetts, where the Company has significant business activities. Massachusetts has a higher effective tax rate compared to other jurisdictions where the Company operates, and together, accounts for more than half of the Company's total state tax benefit.</w:t>
      </w:r>
    </w:p>
    <w:p>
      <w:pPr>
        <w:spacing w:after="0" w:line="9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(benefit from) income taxes for the year ended March 31, 2025 in accordance with the guidance prior to the adoption of ASU 2023-09 was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 (Continued)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rates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as of March 31, 2026 and 2025 were as follows:</w:t>
            </w: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6"/>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267,196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start-up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320,891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231,388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(221,629)</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6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As of March 31, 2026, the Company had U.S. federal operating loss carryforwards of approximately $62.7 million, which can be carried forward indefinitely subject to 80% limitation of taxable income when utilized. As of March 31, 2026, the Company had U.S. state net operating loss carryforwards of $102.4 million, which will begin to expire in 2038. As of March 31, 2026, the Company had U.K. net operating loss carryforwards of approximately $987.2 million, which can be carried forward indefinitely. Such U.S. federal and state, as well as U.K., net operating loss carryforwards are based on tax returns filed and does not reflect uncertain tax positions in the U.S. and offsetting positions in the U.K. related to the transfer pricing arrangement between the U.S. and the U.K.</w:t>
      </w:r>
    </w:p>
    <w:p>
      <w:pPr>
        <w:spacing w:after="0" w:line="1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U.S. federal research and development credit carryforwards of approximately $21.0 million, which begin to expire in 2040. Additionally, the Company has state research and development credit carryforwards of approximately $9.0 million, which will begin to expire in 2036.</w:t>
      </w:r>
    </w:p>
    <w:p>
      <w:pPr>
        <w:sectPr>
          <w:pgSz w:w="11900" w:h="16838" w:orient="portrait"/>
          <w:cols w:equalWidth="0" w:num="1">
            <w:col w:w="11240"/>
          </w:cols>
          <w:pgMar w:left="320" w:top="130"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 (Continued)</w:t>
      </w:r>
    </w:p>
    <w:p>
      <w:pPr>
        <w:spacing w:after="0" w:line="200" w:lineRule="exact"/>
        <w:rPr>
          <w:sz w:val="20"/>
          <w:szCs w:val="20"/>
          <w:color w:val="auto"/>
        </w:rPr>
      </w:pPr>
    </w:p>
    <w:p>
      <w:pPr>
        <w:spacing w:after="0" w:line="31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as well as research and development credit carryforwards may be subject to a substantial annual limitation under Section 382 of the Internal Revenue Code of 1986, as amended, and corresponding provisions of state law, due to ownership changes that have occurred previously or that could occur in the future. These ownership changes may limit the amount of net operating loss carryforwards that can be utilized annually to offset future taxable income and tax liabilities, respectively. The Company has completed a study and determined that an ownership change occurred on July 19, 2018. Due to the ownership change, the utilization of certain net operating loss carryforwards to offset future taxable income and is limited under IRC Section 382; however, none of the net operating losses are expected to expire unutilized.</w:t>
      </w:r>
    </w:p>
    <w:p>
      <w:pPr>
        <w:spacing w:after="0" w:line="13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March 31, 2026 and 2025 related primarily to the increase in net operating loss carryforwards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161,890</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(Decreases) increases recorded to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221,629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gross unrecognized tax benefits from uncertain tax positions, excluding interest and penalties,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gridSpan w:val="5"/>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8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beginning of year</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w:t>
            </w:r>
          </w:p>
        </w:tc>
      </w:tr>
      <w:tr>
        <w:trPr>
          <w:trHeight w:val="23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for tax positions taken during current years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Increases (decreases) for tax positions taken during prior years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 end of year</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20,569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w:t>
            </w:r>
          </w:p>
        </w:tc>
      </w:tr>
      <w:tr>
        <w:trPr>
          <w:trHeight w:val="20"/>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unrecognized tax benefits primarily relate to the Company's transfer pricing arrangement between the U.S. and the U.K. and the impacts to the Company’s net operating loss as well as research and development credit carryforwards.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unrecognized tax benefits, if recognized, would not have a material impact to the Company's effective tax rate and income tax provision due to the Company's full valuation allowance.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2025, the Company had not accrued interest or penalties related to uncertain income tax positions.</w:t>
      </w:r>
    </w:p>
    <w:p>
      <w:pPr>
        <w:spacing w:after="0" w:line="239"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Company files U.S. federal and state as well as U.K. income tax returns. In the normal course of business, the Company is subject to examination by U.S. federal and state as well as U.K. jurisdictions, where applicable. There are currently no pending income tax examinations. The Company is open to future U.S. federal income tax examination from 2022 to the present and in the U.K. from 2024 to the present. Although, carryforward attributes from earlier years may still be adjusted upon examination if they either have been used in an open year or will be used in a future period.</w:t>
      </w:r>
    </w:p>
    <w:p>
      <w:pPr>
        <w:spacing w:after="0" w:line="1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and 2025, income taxes on outside basis differences, primarily related to undistributed earnings, of the Company’s subsidiary have not been provided for as the Company intends to indefinitely reinvest its outside basis differences, and the undistributed earnings were in a cumulative and overall deficit.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income taxes paid, net of refunds received, for the year presented below: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65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REPLIMUNE GROUP, INC.</w:t>
            </w:r>
          </w:p>
        </w:tc>
        <w:tc>
          <w:tcPr>
            <w:tcW w:w="1740" w:type="dxa"/>
            <w:vAlign w:val="bottom"/>
          </w:tcPr>
          <w:p>
            <w:pPr>
              <w:spacing w:after="0"/>
              <w:rPr>
                <w:sz w:val="20"/>
                <w:szCs w:val="20"/>
                <w:color w:val="auto"/>
              </w:rPr>
            </w:pPr>
          </w:p>
        </w:tc>
      </w:tr>
      <w:tr>
        <w:trPr>
          <w:trHeight w:val="278"/>
        </w:trPr>
        <w:tc>
          <w:tcPr>
            <w:tcW w:w="2580" w:type="dxa"/>
            <w:vAlign w:val="bottom"/>
          </w:tcPr>
          <w:p>
            <w:pPr>
              <w:spacing w:after="0"/>
              <w:rPr>
                <w:sz w:val="24"/>
                <w:szCs w:val="24"/>
                <w:color w:val="auto"/>
              </w:rPr>
            </w:pPr>
          </w:p>
        </w:tc>
        <w:tc>
          <w:tcPr>
            <w:tcW w:w="65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1740" w:type="dxa"/>
            <w:vAlign w:val="bottom"/>
          </w:tcPr>
          <w:p>
            <w:pPr>
              <w:spacing w:after="0"/>
              <w:rPr>
                <w:sz w:val="24"/>
                <w:szCs w:val="24"/>
                <w:color w:val="auto"/>
              </w:rPr>
            </w:pPr>
          </w:p>
        </w:tc>
      </w:tr>
      <w:tr>
        <w:trPr>
          <w:trHeight w:val="238"/>
        </w:trPr>
        <w:tc>
          <w:tcPr>
            <w:tcW w:w="2580" w:type="dxa"/>
            <w:vAlign w:val="bottom"/>
          </w:tcPr>
          <w:p>
            <w:pPr>
              <w:spacing w:after="0"/>
              <w:rPr>
                <w:sz w:val="20"/>
                <w:szCs w:val="20"/>
                <w:color w:val="auto"/>
              </w:rPr>
            </w:pPr>
          </w:p>
        </w:tc>
        <w:tc>
          <w:tcPr>
            <w:tcW w:w="65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1740" w:type="dxa"/>
            <w:vAlign w:val="bottom"/>
          </w:tcPr>
          <w:p>
            <w:pPr>
              <w:spacing w:after="0"/>
              <w:rPr>
                <w:sz w:val="20"/>
                <w:szCs w:val="20"/>
                <w:color w:val="auto"/>
              </w:rPr>
            </w:pPr>
          </w:p>
        </w:tc>
      </w:tr>
      <w:tr>
        <w:trPr>
          <w:trHeight w:val="324"/>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Income taxes (Continued)</w:t>
            </w:r>
          </w:p>
        </w:tc>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33"/>
        </w:trPr>
        <w:tc>
          <w:tcPr>
            <w:tcW w:w="25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2580" w:type="dxa"/>
            <w:vAlign w:val="bottom"/>
            <w:tcBorders>
              <w:bottom w:val="single" w:sz="8" w:color="CCEEFF"/>
            </w:tcBorders>
          </w:tcPr>
          <w:p>
            <w:pPr>
              <w:spacing w:after="0"/>
              <w:rPr>
                <w:sz w:val="3"/>
                <w:szCs w:val="3"/>
                <w:color w:val="auto"/>
              </w:rPr>
            </w:pPr>
          </w:p>
        </w:tc>
        <w:tc>
          <w:tcPr>
            <w:tcW w:w="6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96"/>
        </w:trPr>
        <w:tc>
          <w:tcPr>
            <w:tcW w:w="2580" w:type="dxa"/>
            <w:vAlign w:val="bottom"/>
            <w:shd w:val="clear" w:color="auto" w:fill="CCEEFF"/>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6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70"/>
        </w:trPr>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Massachusetts</w:t>
            </w:r>
          </w:p>
        </w:tc>
        <w:tc>
          <w:tcPr>
            <w:tcW w:w="6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25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Geographic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two geographic regions: the United States (Massachusetts) and the United Kingdom (Oxfordshire). Information about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long-lived assets held in different geographic regions is presented in the tables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8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7"/>
        </w:trPr>
        <w:tc>
          <w:tcPr>
            <w:tcW w:w="8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on a consolidated basis as a single operating and reportable segment with a focus on developing and commercializing novel oncolytic immunotherapies in order to treat cancer. The Company defines its segments on the basis of the way in which internally reported financial information is regularly reviewed to analyze financial performance and make operating decisions. The Company’s Chief Operating Decision Maker ("CODM") is Sushil Patel, the Chief Executive Officer. The CODM reviews consolidated operating results, and uses the Company's consolidated net income (loss), in order to monitor actual results as compared to the budget, and to determine how best to allocate the Company's operating and capital resources, specifically as it relates to the Company's development programs.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including significant segment expenses by program, for the years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0000FF"/>
        </w:rPr>
        <w:t>TABLE OF CONTENTS</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9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7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7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23"/>
                <w:szCs w:val="23"/>
                <w:color w:val="auto"/>
              </w:rPr>
            </w:pPr>
          </w:p>
        </w:tc>
        <w:tc>
          <w:tcPr>
            <w:tcW w:w="2660" w:type="dxa"/>
            <w:vAlign w:val="bottom"/>
            <w:gridSpan w:val="4"/>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43"/>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RP1 program costs by study: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IGNYTE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r>
      <w:tr>
        <w:trPr>
          <w:trHeight w:val="229"/>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ARTACUS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r>
      <w:tr>
        <w:trPr>
          <w:trHeight w:val="230"/>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CERPASS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r>
      <w:tr>
        <w:trPr>
          <w:trHeight w:val="229"/>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IGNYTE-3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29"/>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RP1 study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RP2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RP3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30"/>
        </w:trPr>
        <w:tc>
          <w:tcPr>
            <w:tcW w:w="79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Unallocated research and development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125,580</w:t>
            </w:r>
          </w:p>
        </w:tc>
      </w:tr>
      <w:tr>
        <w:trPr>
          <w:trHeight w:val="229"/>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72,180</w:t>
            </w:r>
          </w:p>
        </w:tc>
      </w:tr>
      <w:tr>
        <w:trPr>
          <w:trHeight w:val="223"/>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(261,627)</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(246,829)</w:t>
            </w:r>
          </w:p>
        </w:tc>
      </w:tr>
      <w:tr>
        <w:trPr>
          <w:trHeight w:val="22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159"/>
        </w:trPr>
        <w:tc>
          <w:tcPr>
            <w:tcW w:w="7980" w:type="dxa"/>
            <w:vAlign w:val="bottom"/>
          </w:tcPr>
          <w:p>
            <w:pPr>
              <w:ind w:left="20"/>
              <w:spacing w:after="0" w:line="159"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Times New Roman" w:cs="Times New Roman" w:eastAsia="Times New Roman" w:hAnsi="Times New Roman"/>
                <w:sz w:val="18"/>
                <w:szCs w:val="18"/>
                <w:color w:val="auto"/>
              </w:rPr>
              <w:t>(313,940)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Times New Roman" w:cs="Times New Roman" w:eastAsia="Times New Roman" w:hAnsi="Times New Roman"/>
                <w:sz w:val="18"/>
                <w:szCs w:val="18"/>
                <w:color w:val="auto"/>
              </w:rPr>
              <w:t>(247,297)</w:t>
            </w:r>
          </w:p>
        </w:tc>
      </w:tr>
    </w:tbl>
    <w:p>
      <w:pPr>
        <w:ind w:left="1096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-46355</wp:posOffset>
            </wp:positionV>
            <wp:extent cx="18859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85950" cy="342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personnel-related costs and other costs</w:t>
      </w:r>
    </w:p>
    <w:p>
      <w:pPr>
        <w:spacing w:after="0" w:line="1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Subsequent events</w:t>
      </w:r>
    </w:p>
    <w:p>
      <w:pPr>
        <w:spacing w:after="0" w:line="121" w:lineRule="exact"/>
        <w:rPr>
          <w:sz w:val="20"/>
          <w:szCs w:val="20"/>
          <w:color w:val="auto"/>
        </w:rPr>
      </w:pPr>
    </w:p>
    <w:p>
      <w:pPr>
        <w:ind w:hanging="58"/>
        <w:spacing w:after="0" w:line="256" w:lineRule="auto"/>
        <w:rPr>
          <w:sz w:val="20"/>
          <w:szCs w:val="20"/>
          <w:color w:val="auto"/>
        </w:rPr>
      </w:pPr>
      <w:r>
        <w:rPr>
          <w:rFonts w:ascii="Times New Roman" w:cs="Times New Roman" w:eastAsia="Times New Roman" w:hAnsi="Times New Roman"/>
          <w:sz w:val="18"/>
          <w:szCs w:val="18"/>
          <w:color w:val="auto"/>
        </w:rPr>
        <w:t>April 10, 2026 the Company received a CRL from the FDA for the BLA for RP1 in combination with nivolumab for the treatment of advanced melanoma. As a result of the CRL, the Company announced its plan for a restructuring, which included a reduction of its workforce by approximately 55%. As a result of this reduction in force, the Company estimates that it will record a charge in the range of $9.8 million to $10.3 million during the three months ended June 30, 2026, related to employee termination benefits, including severance, all of which is anticipated to result in cash expenditures. Communication has been made to all impacted employees under this restructuring plan. The Company expects the reduction in force to be substantially complete by the end of the first quarter of fiscal 2027.</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85" w:lineRule="exact"/>
        <w:rPr>
          <w:sz w:val="20"/>
          <w:szCs w:val="20"/>
          <w:color w:val="auto"/>
        </w:rPr>
      </w:pPr>
    </w:p>
    <w:p>
      <w:pPr>
        <w:ind w:left="40"/>
        <w:spacing w:after="0"/>
        <w:tabs>
          <w:tab w:leader="none" w:pos="36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6888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68" w:lineRule="exact"/>
        <w:rPr>
          <w:sz w:val="20"/>
          <w:szCs w:val="20"/>
          <w:color w:val="auto"/>
        </w:rPr>
      </w:pPr>
    </w:p>
    <w:p>
      <w:pPr>
        <w:ind w:left="1220" w:right="380" w:hanging="777"/>
        <w:spacing w:after="0" w:line="266"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10">
        <w:r>
          <w:rPr>
            <w:rFonts w:ascii="Times New Roman" w:cs="Times New Roman" w:eastAsia="Times New Roman" w:hAnsi="Times New Roman"/>
            <w:sz w:val="18"/>
            <w:szCs w:val="18"/>
            <w:u w:val="single" w:color="auto"/>
            <w:color w:val="0000FF"/>
          </w:rPr>
          <w:t>Third Amended and Restated Certificate of Incorporation of the Registrant</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(conformed to include the Certificate of Amendment to the Third Amended and</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Restated Certificate of Incorporation filed on September 9, 2019).</w:t>
        </w:r>
      </w:hyperlink>
    </w:p>
    <w:p>
      <w:pPr>
        <w:spacing w:after="0" w:line="14" w:lineRule="exact"/>
        <w:rPr>
          <w:rFonts w:ascii="Times New Roman" w:cs="Times New Roman" w:eastAsia="Times New Roman" w:hAnsi="Times New Roman"/>
          <w:sz w:val="18"/>
          <w:szCs w:val="18"/>
          <w:u w:val="single" w:color="auto"/>
          <w:color w:val="0000FF"/>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11">
        <w:r>
          <w:rPr>
            <w:rFonts w:ascii="Times New Roman" w:cs="Times New Roman" w:eastAsia="Times New Roman" w:hAnsi="Times New Roman"/>
            <w:sz w:val="17"/>
            <w:szCs w:val="17"/>
            <w:u w:val="single" w:color="auto"/>
            <w:color w:val="0000FF"/>
          </w:rPr>
          <w:t>Amended and Restated By-laws of the Registrant.</w:t>
        </w:r>
      </w:hyperlink>
    </w:p>
    <w:p>
      <w:pPr>
        <w:spacing w:after="0" w:line="63" w:lineRule="exact"/>
        <w:rPr>
          <w:rFonts w:ascii="Times New Roman" w:cs="Times New Roman" w:eastAsia="Times New Roman" w:hAnsi="Times New Roman"/>
          <w:sz w:val="18"/>
          <w:szCs w:val="18"/>
          <w:u w:val="single" w:color="auto"/>
          <w:color w:val="0000FF"/>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212">
        <w:r>
          <w:rPr>
            <w:rFonts w:ascii="Times New Roman" w:cs="Times New Roman" w:eastAsia="Times New Roman" w:hAnsi="Times New Roman"/>
            <w:sz w:val="17"/>
            <w:szCs w:val="17"/>
            <w:u w:val="single" w:color="auto"/>
            <w:color w:val="0000FF"/>
          </w:rPr>
          <w:t>Form of Common Stock Certificate of the Registrant.</w:t>
        </w:r>
      </w:hyperlink>
    </w:p>
    <w:p>
      <w:pPr>
        <w:spacing w:after="0" w:line="63" w:lineRule="exact"/>
        <w:rPr>
          <w:rFonts w:ascii="Times New Roman" w:cs="Times New Roman" w:eastAsia="Times New Roman" w:hAnsi="Times New Roman"/>
          <w:sz w:val="18"/>
          <w:szCs w:val="18"/>
          <w:u w:val="single" w:color="auto"/>
          <w:color w:val="0000FF"/>
        </w:rPr>
      </w:pPr>
    </w:p>
    <w:p>
      <w:pPr>
        <w:ind w:left="1220" w:right="260" w:hanging="777"/>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213">
        <w:r>
          <w:rPr>
            <w:rFonts w:ascii="Times New Roman" w:cs="Times New Roman" w:eastAsia="Times New Roman" w:hAnsi="Times New Roman"/>
            <w:sz w:val="18"/>
            <w:szCs w:val="18"/>
            <w:u w:val="single" w:color="auto"/>
            <w:color w:val="0000FF"/>
          </w:rPr>
          <w:t>Amended and Restated Investors’ Rights Agreement, dated July 10, 2017, by and</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among the Registrant and the investors set forth therein.</w:t>
        </w:r>
      </w:hyperlink>
    </w:p>
    <w:p>
      <w:pPr>
        <w:spacing w:after="0" w:line="1" w:lineRule="exact"/>
        <w:rPr>
          <w:sz w:val="20"/>
          <w:szCs w:val="20"/>
          <w:color w:val="auto"/>
        </w:rPr>
      </w:pPr>
    </w:p>
    <w:p>
      <w:pPr>
        <w:ind w:left="1220" w:right="300" w:hanging="822"/>
        <w:spacing w:after="0" w:line="281" w:lineRule="auto"/>
        <w:tabs>
          <w:tab w:leader="none" w:pos="12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w:t>
      </w:r>
    </w:p>
    <w:p>
      <w:pPr>
        <w:spacing w:after="0" w:line="1" w:lineRule="exact"/>
        <w:rPr>
          <w:sz w:val="20"/>
          <w:szCs w:val="20"/>
          <w:color w:val="auto"/>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214">
        <w:r>
          <w:rPr>
            <w:rFonts w:ascii="Times New Roman" w:cs="Times New Roman" w:eastAsia="Times New Roman" w:hAnsi="Times New Roman"/>
            <w:sz w:val="17"/>
            <w:szCs w:val="17"/>
            <w:u w:val="single" w:color="auto"/>
            <w:color w:val="0000FF"/>
          </w:rPr>
          <w:t>Form of Pre-Funded Warrant (2019).</w:t>
        </w:r>
      </w:hyperlink>
    </w:p>
    <w:p>
      <w:pPr>
        <w:spacing w:after="0" w:line="63" w:lineRule="exact"/>
        <w:rPr>
          <w:sz w:val="20"/>
          <w:szCs w:val="20"/>
          <w:color w:val="auto"/>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215">
        <w:r>
          <w:rPr>
            <w:rFonts w:ascii="Times New Roman" w:cs="Times New Roman" w:eastAsia="Times New Roman" w:hAnsi="Times New Roman"/>
            <w:sz w:val="17"/>
            <w:szCs w:val="17"/>
            <w:u w:val="single" w:color="auto"/>
            <w:color w:val="0000FF"/>
          </w:rPr>
          <w:t>Form of Pre-Funded Warrant (2020).</w:t>
        </w:r>
      </w:hyperlink>
    </w:p>
    <w:p>
      <w:pPr>
        <w:spacing w:after="0" w:line="63" w:lineRule="exact"/>
        <w:rPr>
          <w:sz w:val="20"/>
          <w:szCs w:val="20"/>
          <w:color w:val="auto"/>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216">
        <w:r>
          <w:rPr>
            <w:rFonts w:ascii="Times New Roman" w:cs="Times New Roman" w:eastAsia="Times New Roman" w:hAnsi="Times New Roman"/>
            <w:sz w:val="17"/>
            <w:szCs w:val="17"/>
            <w:u w:val="single" w:color="auto"/>
            <w:color w:val="0000FF"/>
          </w:rPr>
          <w:t>Form of Pre-Funded Warrant (2022)</w:t>
        </w:r>
      </w:hyperlink>
    </w:p>
    <w:p>
      <w:pPr>
        <w:spacing w:after="0" w:line="63" w:lineRule="exact"/>
        <w:rPr>
          <w:sz w:val="20"/>
          <w:szCs w:val="20"/>
          <w:color w:val="auto"/>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217">
        <w:r>
          <w:rPr>
            <w:rFonts w:ascii="Times New Roman" w:cs="Times New Roman" w:eastAsia="Times New Roman" w:hAnsi="Times New Roman"/>
            <w:sz w:val="17"/>
            <w:szCs w:val="17"/>
            <w:u w:val="single" w:color="auto"/>
            <w:color w:val="0000FF"/>
          </w:rPr>
          <w:t>Form of Pre-Funded Warrant (June 2024)</w:t>
        </w:r>
      </w:hyperlink>
    </w:p>
    <w:p>
      <w:pPr>
        <w:spacing w:after="0" w:line="63" w:lineRule="exact"/>
        <w:rPr>
          <w:sz w:val="20"/>
          <w:szCs w:val="20"/>
          <w:color w:val="auto"/>
        </w:rPr>
      </w:pPr>
    </w:p>
    <w:p>
      <w:pPr>
        <w:ind w:left="4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218">
        <w:r>
          <w:rPr>
            <w:rFonts w:ascii="Times New Roman" w:cs="Times New Roman" w:eastAsia="Times New Roman" w:hAnsi="Times New Roman"/>
            <w:sz w:val="17"/>
            <w:szCs w:val="17"/>
            <w:u w:val="single" w:color="auto"/>
            <w:color w:val="0000FF"/>
          </w:rPr>
          <w:t>Form of Pre-Funded Warrant (December 2024)</w:t>
        </w:r>
      </w:hyperlink>
    </w:p>
    <w:p>
      <w:pPr>
        <w:spacing w:after="0" w:line="63" w:lineRule="exact"/>
        <w:rPr>
          <w:sz w:val="20"/>
          <w:szCs w:val="20"/>
          <w:color w:val="auto"/>
        </w:rPr>
      </w:pPr>
    </w:p>
    <w:p>
      <w:pPr>
        <w:ind w:left="1220" w:right="60" w:hanging="777"/>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219">
        <w:r>
          <w:rPr>
            <w:rFonts w:ascii="Times New Roman" w:cs="Times New Roman" w:eastAsia="Times New Roman" w:hAnsi="Times New Roman"/>
            <w:sz w:val="18"/>
            <w:szCs w:val="18"/>
            <w:u w:val="single" w:color="auto"/>
            <w:color w:val="0000FF"/>
          </w:rPr>
          <w:t>Form of Indenture to be entered into between the Registrant and a trustee acceptable</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to the Registrant.</w:t>
        </w:r>
      </w:hyperlink>
    </w:p>
    <w:p>
      <w:pPr>
        <w:spacing w:after="0" w:line="1" w:lineRule="exact"/>
        <w:rPr>
          <w:sz w:val="20"/>
          <w:szCs w:val="20"/>
          <w:color w:val="auto"/>
        </w:rPr>
      </w:pPr>
    </w:p>
    <w:p>
      <w:pPr>
        <w:ind w:left="1220" w:right="8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220">
        <w:r>
          <w:rPr>
            <w:rFonts w:ascii="Times New Roman" w:cs="Times New Roman" w:eastAsia="Times New Roman" w:hAnsi="Times New Roman"/>
            <w:sz w:val="18"/>
            <w:szCs w:val="18"/>
            <w:u w:val="single" w:color="auto"/>
            <w:color w:val="0000FF"/>
          </w:rPr>
          <w:t>Form of Indemnification Agreement by and between the Registrant and its directors</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and officers.</w:t>
        </w:r>
      </w:hyperlink>
    </w:p>
    <w:p>
      <w:pPr>
        <w:spacing w:after="0" w:line="1" w:lineRule="exact"/>
        <w:rPr>
          <w:sz w:val="20"/>
          <w:szCs w:val="20"/>
          <w:color w:val="auto"/>
        </w:rPr>
      </w:pPr>
    </w:p>
    <w:p>
      <w:pPr>
        <w:ind w:left="1220" w:right="32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221">
        <w:r>
          <w:rPr>
            <w:rFonts w:ascii="Times New Roman" w:cs="Times New Roman" w:eastAsia="Times New Roman" w:hAnsi="Times New Roman"/>
            <w:sz w:val="18"/>
            <w:szCs w:val="18"/>
            <w:u w:val="single" w:color="auto"/>
            <w:color w:val="0000FF"/>
          </w:rPr>
          <w:t>2017 Equity Compensation Plan and Sub-Plan for U.K. Employees and forms of</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agreements thereunder.</w:t>
        </w:r>
      </w:hyperlink>
    </w:p>
    <w:p>
      <w:pPr>
        <w:spacing w:after="0" w:line="1" w:lineRule="exact"/>
        <w:rPr>
          <w:sz w:val="20"/>
          <w:szCs w:val="20"/>
          <w:color w:val="auto"/>
        </w:rPr>
      </w:pPr>
    </w:p>
    <w:p>
      <w:pPr>
        <w:ind w:left="1220" w:right="8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222">
        <w:r>
          <w:rPr>
            <w:rFonts w:ascii="Times New Roman" w:cs="Times New Roman" w:eastAsia="Times New Roman" w:hAnsi="Times New Roman"/>
            <w:sz w:val="18"/>
            <w:szCs w:val="18"/>
            <w:u w:val="single" w:color="auto"/>
            <w:color w:val="0000FF"/>
          </w:rPr>
          <w:t>2018 Omnibus Incentive Compensation Plan and Sub-Plan for U.K. Employees and</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forms of agreements thereunder.</w:t>
        </w:r>
      </w:hyperlink>
    </w:p>
    <w:p>
      <w:pPr>
        <w:spacing w:after="0" w:line="1" w:lineRule="exact"/>
        <w:rPr>
          <w:sz w:val="20"/>
          <w:szCs w:val="20"/>
          <w:color w:val="auto"/>
        </w:rPr>
      </w:pPr>
    </w:p>
    <w:p>
      <w:pPr>
        <w:ind w:left="1220" w:right="12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223">
        <w:r>
          <w:rPr>
            <w:rFonts w:ascii="Times New Roman" w:cs="Times New Roman" w:eastAsia="Times New Roman" w:hAnsi="Times New Roman"/>
            <w:sz w:val="18"/>
            <w:szCs w:val="18"/>
            <w:u w:val="single" w:color="auto"/>
            <w:color w:val="0000FF"/>
          </w:rPr>
          <w:t>Form of Performance Stock Unit Award Agreement under 2018 Omnibus Incentive</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Compensation Plan for U.S. Employees.</w:t>
        </w:r>
      </w:hyperlink>
    </w:p>
    <w:p>
      <w:pPr>
        <w:spacing w:after="0" w:line="1" w:lineRule="exact"/>
        <w:rPr>
          <w:sz w:val="20"/>
          <w:szCs w:val="20"/>
          <w:color w:val="auto"/>
        </w:rPr>
      </w:pPr>
    </w:p>
    <w:p>
      <w:pPr>
        <w:ind w:left="1220" w:right="12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224">
        <w:r>
          <w:rPr>
            <w:rFonts w:ascii="Times New Roman" w:cs="Times New Roman" w:eastAsia="Times New Roman" w:hAnsi="Times New Roman"/>
            <w:sz w:val="18"/>
            <w:szCs w:val="18"/>
            <w:u w:val="single" w:color="auto"/>
            <w:color w:val="0000FF"/>
          </w:rPr>
          <w:t>Form of Performance Stock Unit Award Agreement under 2018 Omnibus Incentive</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Compensation Plan and Sub-Plan for U.K. Employees.</w:t>
        </w:r>
      </w:hyperlink>
    </w:p>
    <w:p>
      <w:pPr>
        <w:spacing w:after="0" w:line="1" w:lineRule="exact"/>
        <w:rPr>
          <w:sz w:val="20"/>
          <w:szCs w:val="20"/>
          <w:color w:val="auto"/>
        </w:rPr>
      </w:pPr>
    </w:p>
    <w:p>
      <w:pPr>
        <w:ind w:left="3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225">
        <w:r>
          <w:rPr>
            <w:rFonts w:ascii="Times New Roman" w:cs="Times New Roman" w:eastAsia="Times New Roman" w:hAnsi="Times New Roman"/>
            <w:sz w:val="17"/>
            <w:szCs w:val="17"/>
            <w:u w:val="single" w:color="auto"/>
            <w:color w:val="0000FF"/>
          </w:rPr>
          <w:t>Form of Inducement Stock Option Grant Agreement.</w:t>
        </w:r>
      </w:hyperlink>
    </w:p>
    <w:p>
      <w:pPr>
        <w:spacing w:after="0" w:line="63" w:lineRule="exact"/>
        <w:rPr>
          <w:sz w:val="20"/>
          <w:szCs w:val="20"/>
          <w:color w:val="auto"/>
        </w:rPr>
      </w:pPr>
    </w:p>
    <w:p>
      <w:pPr>
        <w:ind w:left="34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226">
        <w:r>
          <w:rPr>
            <w:rFonts w:ascii="Times New Roman" w:cs="Times New Roman" w:eastAsia="Times New Roman" w:hAnsi="Times New Roman"/>
            <w:sz w:val="18"/>
            <w:szCs w:val="18"/>
            <w:u w:val="single" w:color="auto"/>
            <w:color w:val="0000FF"/>
          </w:rPr>
          <w:t>Form of Inducement Restricted Stock Unit Grant Agreement.</w:t>
        </w:r>
      </w:hyperlink>
    </w:p>
    <w:p>
      <w:pPr>
        <w:spacing w:after="0" w:line="63" w:lineRule="exact"/>
        <w:rPr>
          <w:sz w:val="20"/>
          <w:szCs w:val="20"/>
          <w:color w:val="auto"/>
        </w:rPr>
      </w:pPr>
    </w:p>
    <w:p>
      <w:pPr>
        <w:ind w:left="3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27">
        <w:r>
          <w:rPr>
            <w:rFonts w:ascii="Times New Roman" w:cs="Times New Roman" w:eastAsia="Times New Roman" w:hAnsi="Times New Roman"/>
            <w:sz w:val="17"/>
            <w:szCs w:val="17"/>
            <w:u w:val="single" w:color="auto"/>
            <w:color w:val="0000FF"/>
          </w:rPr>
          <w:t>Employee Stock Purchase Plan.</w:t>
        </w:r>
      </w:hyperlink>
    </w:p>
    <w:p>
      <w:pPr>
        <w:spacing w:after="0" w:line="63" w:lineRule="exact"/>
        <w:rPr>
          <w:sz w:val="20"/>
          <w:szCs w:val="20"/>
          <w:color w:val="auto"/>
        </w:rPr>
      </w:pPr>
    </w:p>
    <w:p>
      <w:pPr>
        <w:ind w:left="122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28">
        <w:r>
          <w:rPr>
            <w:rFonts w:ascii="Times New Roman" w:cs="Times New Roman" w:eastAsia="Times New Roman" w:hAnsi="Times New Roman"/>
            <w:sz w:val="18"/>
            <w:szCs w:val="18"/>
            <w:u w:val="single" w:color="auto"/>
            <w:color w:val="0000FF"/>
          </w:rPr>
          <w:t>Lease, dated as of April 1, 2016, by and between Cummings Properties, LLC and the</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Registrant.</w:t>
        </w:r>
      </w:hyperlink>
    </w:p>
    <w:p>
      <w:pPr>
        <w:spacing w:after="0" w:line="1" w:lineRule="exact"/>
        <w:rPr>
          <w:sz w:val="20"/>
          <w:szCs w:val="20"/>
          <w:color w:val="auto"/>
        </w:rPr>
      </w:pPr>
    </w:p>
    <w:p>
      <w:pPr>
        <w:ind w:left="1220" w:right="10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29">
        <w:r>
          <w:rPr>
            <w:rFonts w:ascii="Times New Roman" w:cs="Times New Roman" w:eastAsia="Times New Roman" w:hAnsi="Times New Roman"/>
            <w:sz w:val="18"/>
            <w:szCs w:val="18"/>
            <w:u w:val="single" w:color="auto"/>
            <w:color w:val="0000FF"/>
          </w:rPr>
          <w:t>Lease, dated as of April 4, 2016, by and between MEPC Milton Park No. 1 Limited</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and MEPC Milton Park No. 2 Limited, and Replimune Limited.</w:t>
        </w:r>
      </w:hyperlink>
    </w:p>
    <w:p>
      <w:pPr>
        <w:spacing w:after="0" w:line="1" w:lineRule="exact"/>
        <w:rPr>
          <w:sz w:val="20"/>
          <w:szCs w:val="20"/>
          <w:color w:val="auto"/>
        </w:rPr>
      </w:pPr>
    </w:p>
    <w:p>
      <w:pPr>
        <w:ind w:left="1220" w:right="32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30">
        <w:r>
          <w:rPr>
            <w:rFonts w:ascii="Times New Roman" w:cs="Times New Roman" w:eastAsia="Times New Roman" w:hAnsi="Times New Roman"/>
            <w:sz w:val="18"/>
            <w:szCs w:val="18"/>
            <w:u w:val="single" w:color="auto"/>
            <w:color w:val="0000FF"/>
          </w:rPr>
          <w:t>Deed of Variation, dated June 29, 2020, by and among MEPC Milton Park No. 1</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Limited and MEPC Milton Park No. 2 Limited, and Replimune Limited.</w:t>
        </w:r>
      </w:hyperlink>
    </w:p>
    <w:p>
      <w:pPr>
        <w:spacing w:after="0" w:line="1" w:lineRule="exact"/>
        <w:rPr>
          <w:sz w:val="20"/>
          <w:szCs w:val="20"/>
          <w:color w:val="auto"/>
        </w:rPr>
      </w:pPr>
    </w:p>
    <w:p>
      <w:pPr>
        <w:ind w:left="1220" w:right="140" w:hanging="912"/>
        <w:spacing w:after="0" w:line="28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31">
        <w:r>
          <w:rPr>
            <w:rFonts w:ascii="Times New Roman" w:cs="Times New Roman" w:eastAsia="Times New Roman" w:hAnsi="Times New Roman"/>
            <w:sz w:val="18"/>
            <w:szCs w:val="18"/>
            <w:u w:val="single" w:color="auto"/>
            <w:color w:val="0000FF"/>
          </w:rPr>
          <w:t>Clinical Trial Collaboration and Supply Agreement, dated as of February 26, 2018,</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by and between Bristol-Myers Squibb 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23742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3,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70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24,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10,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22,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18,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10,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12,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13,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4,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S-3</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3,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10,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26,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19,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10,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22,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22,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7,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10,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bl>
    <w:p>
      <w:pPr>
        <w:sectPr>
          <w:pgSz w:w="11900" w:h="16838" w:orient="portrait"/>
          <w:cols w:equalWidth="0" w:num="2">
            <w:col w:w="7340" w:space="160"/>
            <w:col w:w="3740"/>
          </w:cols>
          <w:pgMar w:left="320" w:top="130"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tabs>
          <w:tab w:leader="none" w:pos="36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6888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68" w:lineRule="exact"/>
        <w:rPr>
          <w:sz w:val="20"/>
          <w:szCs w:val="20"/>
          <w:color w:val="auto"/>
        </w:rPr>
      </w:pPr>
    </w:p>
    <w:p>
      <w:pPr>
        <w:ind w:left="30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35">
        <w:r>
          <w:rPr>
            <w:rFonts w:ascii="Times New Roman" w:cs="Times New Roman" w:eastAsia="Times New Roman" w:hAnsi="Times New Roman"/>
            <w:sz w:val="17"/>
            <w:szCs w:val="17"/>
            <w:u w:val="single" w:color="auto"/>
            <w:color w:val="0000FF"/>
          </w:rPr>
          <w:t>Master Clinical Trial Collaboration and Supply Agreement, dated as of May 29,</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2018, by and between Regeneron Pharmaceuticals, Inc. and the Registrant.</w:t>
        </w:r>
      </w:hyperlink>
    </w:p>
    <w:p>
      <w:pPr>
        <w:spacing w:after="0" w:line="45" w:lineRule="exact"/>
        <w:rPr>
          <w:sz w:val="20"/>
          <w:szCs w:val="20"/>
          <w:color w:val="auto"/>
        </w:rPr>
      </w:pPr>
    </w:p>
    <w:p>
      <w:pPr>
        <w:ind w:left="1220" w:right="34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236">
        <w:r>
          <w:rPr>
            <w:rFonts w:ascii="Times New Roman" w:cs="Times New Roman" w:eastAsia="Times New Roman" w:hAnsi="Times New Roman"/>
            <w:sz w:val="18"/>
            <w:szCs w:val="18"/>
            <w:u w:val="single" w:color="auto"/>
            <w:color w:val="0000FF"/>
          </w:rPr>
          <w:t>Indenture of Lease, dated as of June 22, 2018, by and between CRP/King 33 NY</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Ave. Owner, L.L.C. and the Registrant.</w:t>
        </w:r>
      </w:hyperlink>
    </w:p>
    <w:p>
      <w:pPr>
        <w:spacing w:after="0" w:line="1" w:lineRule="exact"/>
        <w:rPr>
          <w:sz w:val="20"/>
          <w:szCs w:val="20"/>
          <w:color w:val="auto"/>
        </w:rPr>
      </w:pPr>
    </w:p>
    <w:p>
      <w:pPr>
        <w:ind w:left="1220" w:right="500" w:hanging="868"/>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37">
        <w:r>
          <w:rPr>
            <w:rFonts w:ascii="Times New Roman" w:cs="Times New Roman" w:eastAsia="Times New Roman" w:hAnsi="Times New Roman"/>
            <w:sz w:val="18"/>
            <w:szCs w:val="18"/>
            <w:u w:val="single" w:color="auto"/>
            <w:color w:val="0000FF"/>
          </w:rPr>
          <w:t>Lease, dated as of June 7, 2019, by and between ND/CR Unicorn LLC and the</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Registrant.</w:t>
        </w:r>
      </w:hyperlink>
    </w:p>
    <w:p>
      <w:pPr>
        <w:spacing w:after="0" w:line="1" w:lineRule="exact"/>
        <w:rPr>
          <w:sz w:val="20"/>
          <w:szCs w:val="20"/>
          <w:color w:val="auto"/>
        </w:rPr>
      </w:pPr>
    </w:p>
    <w:p>
      <w:pPr>
        <w:ind w:left="3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38">
        <w:r>
          <w:rPr>
            <w:rFonts w:ascii="Times New Roman" w:cs="Times New Roman" w:eastAsia="Times New Roman" w:hAnsi="Times New Roman"/>
            <w:sz w:val="17"/>
            <w:szCs w:val="17"/>
            <w:u w:val="single" w:color="auto"/>
            <w:color w:val="0000FF"/>
          </w:rPr>
          <w:t>Clinical Trial Collaboration and Supply Agreement (RP-2), dated as of April 12,</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2019, by and between Bristol-Myers Squibb Company and Replimune, Inc.</w:t>
        </w:r>
      </w:hyperlink>
    </w:p>
    <w:p>
      <w:pPr>
        <w:spacing w:after="0" w:line="45" w:lineRule="exact"/>
        <w:rPr>
          <w:sz w:val="20"/>
          <w:szCs w:val="20"/>
          <w:color w:val="auto"/>
        </w:rPr>
      </w:pPr>
    </w:p>
    <w:p>
      <w:pPr>
        <w:ind w:left="1220" w:right="120" w:hanging="868"/>
        <w:spacing w:after="0" w:line="290" w:lineRule="auto"/>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239">
        <w:r>
          <w:rPr>
            <w:rFonts w:ascii="Times New Roman" w:cs="Times New Roman" w:eastAsia="Times New Roman" w:hAnsi="Times New Roman"/>
            <w:sz w:val="17"/>
            <w:szCs w:val="17"/>
            <w:u w:val="single" w:color="auto"/>
            <w:color w:val="0000FF"/>
          </w:rPr>
          <w:t>Lease Agreement, dated as of October 29, 2021, by and among Replimune Limited,</w:t>
        </w:r>
      </w:hyperlink>
      <w:r>
        <w:rPr>
          <w:rFonts w:ascii="Times New Roman" w:cs="Times New Roman" w:eastAsia="Times New Roman" w:hAnsi="Times New Roman"/>
          <w:sz w:val="17"/>
          <w:szCs w:val="17"/>
          <w:u w:val="single" w:color="auto"/>
          <w:color w:val="0000FF"/>
        </w:rPr>
        <w:t xml:space="preserve"> </w:t>
      </w:r>
      <w:hyperlink r:id="rId239">
        <w:r>
          <w:rPr>
            <w:rFonts w:ascii="Times New Roman" w:cs="Times New Roman" w:eastAsia="Times New Roman" w:hAnsi="Times New Roman"/>
            <w:sz w:val="17"/>
            <w:szCs w:val="17"/>
            <w:u w:val="single" w:color="auto"/>
            <w:color w:val="0000FF"/>
          </w:rPr>
          <w:t>MEPC Milton Park No. 1 Limited, and MEPC Milton Park No. 2 Limited.</w:t>
        </w:r>
      </w:hyperlink>
    </w:p>
    <w:p>
      <w:pPr>
        <w:ind w:left="1220" w:right="220" w:hanging="868"/>
        <w:spacing w:after="0" w:line="298" w:lineRule="auto"/>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40">
        <w:r>
          <w:rPr>
            <w:rFonts w:ascii="Times New Roman" w:cs="Times New Roman" w:eastAsia="Times New Roman" w:hAnsi="Times New Roman"/>
            <w:sz w:val="17"/>
            <w:szCs w:val="17"/>
            <w:u w:val="single" w:color="auto"/>
            <w:color w:val="0000FF"/>
          </w:rPr>
          <w:t>Lease Agreement, dated as of March 23, 2023, by and among Replimune Limited,</w:t>
        </w:r>
      </w:hyperlink>
      <w:r>
        <w:rPr>
          <w:rFonts w:ascii="Times New Roman" w:cs="Times New Roman" w:eastAsia="Times New Roman" w:hAnsi="Times New Roman"/>
          <w:sz w:val="17"/>
          <w:szCs w:val="17"/>
          <w:u w:val="single" w:color="auto"/>
          <w:color w:val="0000FF"/>
        </w:rPr>
        <w:t xml:space="preserve"> </w:t>
      </w:r>
      <w:hyperlink r:id="rId240">
        <w:r>
          <w:rPr>
            <w:rFonts w:ascii="Times New Roman" w:cs="Times New Roman" w:eastAsia="Times New Roman" w:hAnsi="Times New Roman"/>
            <w:sz w:val="17"/>
            <w:szCs w:val="17"/>
            <w:u w:val="single" w:color="auto"/>
            <w:color w:val="0000FF"/>
          </w:rPr>
          <w:t>MEPC Milton Park No. 1 Limited, and MEPC Milton Park No. 2 Limited.</w:t>
        </w:r>
      </w:hyperlink>
    </w:p>
    <w:p>
      <w:pPr>
        <w:spacing w:after="0" w:line="1" w:lineRule="exact"/>
        <w:rPr>
          <w:sz w:val="20"/>
          <w:szCs w:val="20"/>
          <w:color w:val="auto"/>
        </w:rPr>
      </w:pPr>
    </w:p>
    <w:p>
      <w:pPr>
        <w:jc w:val="both"/>
        <w:ind w:left="1220" w:right="280" w:hanging="868"/>
        <w:spacing w:after="0" w:line="266"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241">
        <w:r>
          <w:rPr>
            <w:rFonts w:ascii="Times New Roman" w:cs="Times New Roman" w:eastAsia="Times New Roman" w:hAnsi="Times New Roman"/>
            <w:sz w:val="18"/>
            <w:szCs w:val="18"/>
            <w:u w:val="single" w:color="auto"/>
            <w:color w:val="0000FF"/>
          </w:rPr>
          <w:t>Second Amendment to Loan and Security Agreement, dated as of December 22,</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2023, by and among Replimune Group Inc., Replimune, Inc., Replimune Limited</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and Hercules</w:t>
        </w:r>
      </w:hyperlink>
    </w:p>
    <w:p>
      <w:pPr>
        <w:spacing w:after="0" w:line="14" w:lineRule="exact"/>
        <w:rPr>
          <w:rFonts w:ascii="Times New Roman" w:cs="Times New Roman" w:eastAsia="Times New Roman" w:hAnsi="Times New Roman"/>
          <w:sz w:val="18"/>
          <w:szCs w:val="18"/>
          <w:u w:val="single" w:color="auto"/>
          <w:color w:val="0000FF"/>
        </w:rPr>
      </w:pPr>
    </w:p>
    <w:p>
      <w:pPr>
        <w:ind w:left="1220" w:hanging="868"/>
        <w:spacing w:after="0" w:line="266"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42">
        <w:r>
          <w:rPr>
            <w:rFonts w:ascii="Times New Roman" w:cs="Times New Roman" w:eastAsia="Times New Roman" w:hAnsi="Times New Roman"/>
            <w:sz w:val="18"/>
            <w:szCs w:val="18"/>
            <w:u w:val="single" w:color="auto"/>
            <w:color w:val="0000FF"/>
          </w:rPr>
          <w:t>Third Amendment to Loan and Security Agreement, dated as of January 29, 2026, by</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and among Replimune Group Inc., Replimune, Inc., Replimune Limited and</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Hercules Capital, Inc.</w:t>
        </w:r>
      </w:hyperlink>
    </w:p>
    <w:p>
      <w:pPr>
        <w:spacing w:after="0" w:line="14" w:lineRule="exact"/>
        <w:rPr>
          <w:rFonts w:ascii="Times New Roman" w:cs="Times New Roman" w:eastAsia="Times New Roman" w:hAnsi="Times New Roman"/>
          <w:sz w:val="18"/>
          <w:szCs w:val="18"/>
          <w:u w:val="single" w:color="auto"/>
          <w:color w:val="0000FF"/>
        </w:rPr>
      </w:pPr>
    </w:p>
    <w:p>
      <w:pPr>
        <w:ind w:left="1220" w:right="92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43">
        <w:r>
          <w:rPr>
            <w:rFonts w:ascii="Times New Roman" w:cs="Times New Roman" w:eastAsia="Times New Roman" w:hAnsi="Times New Roman"/>
            <w:sz w:val="18"/>
            <w:szCs w:val="18"/>
            <w:u w:val="single" w:color="auto"/>
            <w:color w:val="0000FF"/>
          </w:rPr>
          <w:t>Employment Agreement, dated as of December 1, 2022, by and between</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Konstantinos Xynos and Replimune, Inc.</w:t>
        </w:r>
      </w:hyperlink>
    </w:p>
    <w:p>
      <w:pPr>
        <w:spacing w:after="0" w:line="1" w:lineRule="exact"/>
        <w:rPr>
          <w:sz w:val="20"/>
          <w:szCs w:val="20"/>
          <w:color w:val="auto"/>
        </w:rPr>
      </w:pPr>
    </w:p>
    <w:p>
      <w:pPr>
        <w:ind w:left="1220" w:right="66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244">
        <w:r>
          <w:rPr>
            <w:rFonts w:ascii="Times New Roman" w:cs="Times New Roman" w:eastAsia="Times New Roman" w:hAnsi="Times New Roman"/>
            <w:sz w:val="18"/>
            <w:szCs w:val="18"/>
            <w:u w:val="single" w:color="auto"/>
            <w:color w:val="0000FF"/>
          </w:rPr>
          <w:t>Amendment to Amended and Restated Employment Agreement, dated as of</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December 30, 2022, by and between Sushil Patel and Replimune, Inc.</w:t>
        </w:r>
      </w:hyperlink>
    </w:p>
    <w:p>
      <w:pPr>
        <w:spacing w:after="0" w:line="1" w:lineRule="exact"/>
        <w:rPr>
          <w:sz w:val="20"/>
          <w:szCs w:val="20"/>
          <w:color w:val="auto"/>
        </w:rPr>
      </w:pPr>
    </w:p>
    <w:p>
      <w:pPr>
        <w:ind w:left="1220" w:right="82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45">
        <w:r>
          <w:rPr>
            <w:rFonts w:ascii="Times New Roman" w:cs="Times New Roman" w:eastAsia="Times New Roman" w:hAnsi="Times New Roman"/>
            <w:sz w:val="18"/>
            <w:szCs w:val="18"/>
            <w:u w:val="single" w:color="auto"/>
            <w:color w:val="0000FF"/>
          </w:rPr>
          <w:t>Employment Agreement, dated as of December 30, 2022, by and between</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Christopher Sarchi and Replimune, Inc.</w:t>
        </w:r>
      </w:hyperlink>
    </w:p>
    <w:p>
      <w:pPr>
        <w:spacing w:after="0" w:line="1" w:lineRule="exact"/>
        <w:rPr>
          <w:sz w:val="20"/>
          <w:szCs w:val="20"/>
          <w:color w:val="auto"/>
        </w:rPr>
      </w:pPr>
    </w:p>
    <w:p>
      <w:pPr>
        <w:ind w:left="1220" w:right="24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246">
        <w:r>
          <w:rPr>
            <w:rFonts w:ascii="Times New Roman" w:cs="Times New Roman" w:eastAsia="Times New Roman" w:hAnsi="Times New Roman"/>
            <w:sz w:val="18"/>
            <w:szCs w:val="18"/>
            <w:u w:val="single" w:color="auto"/>
            <w:color w:val="0000FF"/>
          </w:rPr>
          <w:t>Employment Agreement, dated as of August 31, 2023, by and between Emily Hill</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and Replimune, Inc.</w:t>
        </w:r>
      </w:hyperlink>
    </w:p>
    <w:p>
      <w:pPr>
        <w:spacing w:after="0" w:line="1" w:lineRule="exact"/>
        <w:rPr>
          <w:sz w:val="20"/>
          <w:szCs w:val="20"/>
          <w:color w:val="auto"/>
        </w:rPr>
      </w:pPr>
    </w:p>
    <w:p>
      <w:pPr>
        <w:ind w:left="30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247">
        <w:r>
          <w:rPr>
            <w:rFonts w:ascii="Times New Roman" w:cs="Times New Roman" w:eastAsia="Times New Roman" w:hAnsi="Times New Roman"/>
            <w:sz w:val="18"/>
            <w:szCs w:val="18"/>
            <w:u w:val="single" w:color="auto"/>
            <w:color w:val="0000FF"/>
          </w:rPr>
          <w:t>Second Amended and Restated Employment Agreement, dated as of March 25,</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2024, by and between Replimune, Inc. and Sushil Patel.</w:t>
        </w:r>
      </w:hyperlink>
    </w:p>
    <w:p>
      <w:pPr>
        <w:spacing w:after="0" w:line="45" w:lineRule="exact"/>
        <w:rPr>
          <w:sz w:val="20"/>
          <w:szCs w:val="20"/>
          <w:color w:val="auto"/>
        </w:rPr>
      </w:pPr>
    </w:p>
    <w:p>
      <w:pPr>
        <w:ind w:left="30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248">
        <w:r>
          <w:rPr>
            <w:rFonts w:ascii="Times New Roman" w:cs="Times New Roman" w:eastAsia="Times New Roman" w:hAnsi="Times New Roman"/>
            <w:sz w:val="18"/>
            <w:szCs w:val="18"/>
            <w:u w:val="single" w:color="auto"/>
            <w:color w:val="0000FF"/>
          </w:rPr>
          <w:t>Second Amended and Restated Employment Agreement, dated as of March 25,</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2024, by and between Replimune, Inc. and Philip Astley-Sparke.</w:t>
        </w:r>
      </w:hyperlink>
    </w:p>
    <w:p>
      <w:pPr>
        <w:spacing w:after="0" w:line="45" w:lineRule="exact"/>
        <w:rPr>
          <w:sz w:val="20"/>
          <w:szCs w:val="20"/>
          <w:color w:val="auto"/>
        </w:rPr>
      </w:pPr>
    </w:p>
    <w:p>
      <w:pPr>
        <w:ind w:left="1220" w:right="18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249">
        <w:r>
          <w:rPr>
            <w:rFonts w:ascii="Times New Roman" w:cs="Times New Roman" w:eastAsia="Times New Roman" w:hAnsi="Times New Roman"/>
            <w:sz w:val="18"/>
            <w:szCs w:val="18"/>
            <w:u w:val="single" w:color="auto"/>
            <w:color w:val="0000FF"/>
          </w:rPr>
          <w:t>Separation and Transition Agreement, dated as of March 25, 2024, by and between</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Robert Coffin and Replimune, Inc.</w:t>
        </w:r>
      </w:hyperlink>
    </w:p>
    <w:p>
      <w:pPr>
        <w:spacing w:after="0" w:line="1" w:lineRule="exact"/>
        <w:rPr>
          <w:sz w:val="20"/>
          <w:szCs w:val="20"/>
          <w:color w:val="auto"/>
        </w:rPr>
      </w:pPr>
    </w:p>
    <w:p>
      <w:pPr>
        <w:ind w:left="1220" w:right="26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250">
        <w:r>
          <w:rPr>
            <w:rFonts w:ascii="Times New Roman" w:cs="Times New Roman" w:eastAsia="Times New Roman" w:hAnsi="Times New Roman"/>
            <w:sz w:val="18"/>
            <w:szCs w:val="18"/>
            <w:u w:val="single" w:color="auto"/>
            <w:color w:val="0000FF"/>
          </w:rPr>
          <w:t>Amendment to Consulting Agreement, dated as of May 30, 2025, by and between</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Robert Coffin and Replimune, Inc.</w:t>
        </w:r>
      </w:hyperlink>
    </w:p>
    <w:p>
      <w:pPr>
        <w:spacing w:after="0" w:line="1" w:lineRule="exact"/>
        <w:rPr>
          <w:sz w:val="20"/>
          <w:szCs w:val="20"/>
          <w:color w:val="auto"/>
        </w:rPr>
      </w:pPr>
    </w:p>
    <w:p>
      <w:pPr>
        <w:ind w:left="1220" w:right="16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251">
        <w:r>
          <w:rPr>
            <w:rFonts w:ascii="Times New Roman" w:cs="Times New Roman" w:eastAsia="Times New Roman" w:hAnsi="Times New Roman"/>
            <w:sz w:val="18"/>
            <w:szCs w:val="18"/>
            <w:u w:val="single" w:color="auto"/>
            <w:color w:val="0000FF"/>
          </w:rPr>
          <w:t>Separation Agreement and Release, dated as of May 18, 2023 by and between Jean</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Franchi and Replimune, Inc.</w:t>
        </w:r>
      </w:hyperlink>
    </w:p>
    <w:p>
      <w:pPr>
        <w:spacing w:after="0" w:line="1" w:lineRule="exact"/>
        <w:rPr>
          <w:sz w:val="20"/>
          <w:szCs w:val="20"/>
          <w:color w:val="auto"/>
        </w:rPr>
      </w:pPr>
    </w:p>
    <w:p>
      <w:pPr>
        <w:ind w:left="1220" w:right="34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252">
        <w:r>
          <w:rPr>
            <w:rFonts w:ascii="Times New Roman" w:cs="Times New Roman" w:eastAsia="Times New Roman" w:hAnsi="Times New Roman"/>
            <w:sz w:val="18"/>
            <w:szCs w:val="18"/>
            <w:u w:val="single" w:color="auto"/>
            <w:color w:val="0000FF"/>
          </w:rPr>
          <w:t>Separation Agreement and Release, dated as of March 26, 2024, by and between</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Pamela Esposito and Replimune, Inc.</w:t>
        </w:r>
      </w:hyperlink>
    </w:p>
    <w:p>
      <w:pPr>
        <w:spacing w:after="0" w:line="1" w:lineRule="exact"/>
        <w:rPr>
          <w:sz w:val="20"/>
          <w:szCs w:val="20"/>
          <w:color w:val="auto"/>
        </w:rPr>
      </w:pPr>
    </w:p>
    <w:p>
      <w:pPr>
        <w:ind w:left="122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253">
        <w:r>
          <w:rPr>
            <w:rFonts w:ascii="Times New Roman" w:cs="Times New Roman" w:eastAsia="Times New Roman" w:hAnsi="Times New Roman"/>
            <w:sz w:val="18"/>
            <w:szCs w:val="18"/>
            <w:u w:val="single" w:color="auto"/>
            <w:color w:val="0000FF"/>
          </w:rPr>
          <w:t>Consulting Agreement, dated as of March 26, 2024, by and between Pamela Esposito</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and Replimune, Inc.</w:t>
        </w:r>
      </w:hyperlink>
    </w:p>
    <w:p>
      <w:pPr>
        <w:spacing w:after="0" w:line="1" w:lineRule="exact"/>
        <w:rPr>
          <w:sz w:val="20"/>
          <w:szCs w:val="20"/>
          <w:color w:val="auto"/>
        </w:rPr>
      </w:pPr>
    </w:p>
    <w:p>
      <w:pPr>
        <w:ind w:left="1220" w:right="34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254">
        <w:r>
          <w:rPr>
            <w:rFonts w:ascii="Times New Roman" w:cs="Times New Roman" w:eastAsia="Times New Roman" w:hAnsi="Times New Roman"/>
            <w:sz w:val="18"/>
            <w:szCs w:val="18"/>
            <w:u w:val="single" w:color="auto"/>
            <w:color w:val="0000FF"/>
          </w:rPr>
          <w:t>Separation Agreement and Release, dated as of March 31, 2024, by and between</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Tanya Lewis and Replimune, Inc.</w:t>
        </w:r>
      </w:hyperlink>
    </w:p>
    <w:p>
      <w:pPr>
        <w:spacing w:after="0" w:line="1" w:lineRule="exact"/>
        <w:rPr>
          <w:sz w:val="20"/>
          <w:szCs w:val="20"/>
          <w:color w:val="auto"/>
        </w:rPr>
      </w:pPr>
    </w:p>
    <w:p>
      <w:pPr>
        <w:ind w:left="1220" w:right="260" w:hanging="912"/>
        <w:spacing w:after="0" w:line="281"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255">
        <w:r>
          <w:rPr>
            <w:rFonts w:ascii="Times New Roman" w:cs="Times New Roman" w:eastAsia="Times New Roman" w:hAnsi="Times New Roman"/>
            <w:sz w:val="18"/>
            <w:szCs w:val="18"/>
            <w:u w:val="single" w:color="auto"/>
            <w:color w:val="0000FF"/>
          </w:rPr>
          <w:t>Consulting Agreement, dated as of March 31, 2024, by and between Tanya Lewis</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and Replimune, Inc.</w:t>
        </w:r>
      </w:hyperlink>
    </w:p>
    <w:p>
      <w:pPr>
        <w:spacing w:after="0" w:line="1" w:lineRule="exact"/>
        <w:rPr>
          <w:sz w:val="20"/>
          <w:szCs w:val="20"/>
          <w:color w:val="auto"/>
        </w:rPr>
      </w:pPr>
    </w:p>
    <w:p>
      <w:pPr>
        <w:ind w:left="30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256">
        <w:r>
          <w:rPr>
            <w:rFonts w:ascii="Times New Roman" w:cs="Times New Roman" w:eastAsia="Times New Roman" w:hAnsi="Times New Roman"/>
            <w:sz w:val="17"/>
            <w:szCs w:val="17"/>
            <w:u w:val="single" w:color="auto"/>
            <w:color w:val="0000FF"/>
          </w:rPr>
          <w:t>Form of U.K. Inducement Stock Option Grant Agreement</w:t>
        </w:r>
      </w:hyperlink>
    </w:p>
    <w:p>
      <w:pPr>
        <w:spacing w:after="0" w:line="63" w:lineRule="exact"/>
        <w:rPr>
          <w:sz w:val="20"/>
          <w:szCs w:val="20"/>
          <w:color w:val="auto"/>
        </w:rPr>
      </w:pPr>
    </w:p>
    <w:p>
      <w:pPr>
        <w:ind w:left="30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10.44†</w:t>
      </w:r>
      <w:r>
        <w:rPr>
          <w:sz w:val="20"/>
          <w:szCs w:val="20"/>
          <w:color w:val="auto"/>
        </w:rPr>
        <w:tab/>
      </w:r>
      <w:hyperlink r:id="rId257">
        <w:r>
          <w:rPr>
            <w:rFonts w:ascii="Times New Roman" w:cs="Times New Roman" w:eastAsia="Times New Roman" w:hAnsi="Times New Roman"/>
            <w:sz w:val="17"/>
            <w:szCs w:val="17"/>
            <w:u w:val="single" w:color="auto"/>
            <w:color w:val="0000FF"/>
          </w:rPr>
          <w:t>Form of U.K. Inducement Restricted Stock Unit Grant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23742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17,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22, 2018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13,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3,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47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3,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7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18,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8,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70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3,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70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9,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9,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9,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7,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7,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3,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52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12,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12,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2">
            <w:col w:w="7360" w:space="140"/>
            <w:col w:w="3740"/>
          </w:cols>
          <w:pgMar w:left="320" w:top="130"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0" w:type="dxa"/>
            <w:vAlign w:val="bottom"/>
            <w:gridSpan w:val="16"/>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2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17"/>
                <w:szCs w:val="17"/>
                <w:color w:val="auto"/>
              </w:rPr>
            </w:pPr>
          </w:p>
        </w:tc>
        <w:tc>
          <w:tcPr>
            <w:tcW w:w="52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U.K. Strategic Initiative Restricted Stock Unit Grant Agreement</w:t>
            </w:r>
          </w:p>
        </w:tc>
        <w:tc>
          <w:tcPr>
            <w:tcW w:w="920" w:type="dxa"/>
            <w:vAlign w:val="bottom"/>
            <w:gridSpan w:val="6"/>
          </w:tcPr>
          <w:p>
            <w:pPr>
              <w:spacing w:after="0"/>
              <w:rPr>
                <w:sz w:val="17"/>
                <w:szCs w:val="17"/>
                <w:color w:val="auto"/>
              </w:rPr>
            </w:pPr>
          </w:p>
        </w:tc>
      </w:tr>
      <w:tr>
        <w:trPr>
          <w:trHeight w:val="25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21"/>
                <w:szCs w:val="21"/>
                <w:color w:val="auto"/>
              </w:rPr>
            </w:pPr>
          </w:p>
        </w:tc>
        <w:tc>
          <w:tcPr>
            <w:tcW w:w="6180" w:type="dxa"/>
            <w:vAlign w:val="bottom"/>
            <w:gridSpan w:val="18"/>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of U.S. Strategic Initiative Restricted Stock Unit Grant Agreement</w:t>
              </w:r>
            </w:hyperlink>
          </w:p>
        </w:tc>
      </w:tr>
      <w:tr>
        <w:trPr>
          <w:trHeight w:val="25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21"/>
                <w:szCs w:val="21"/>
                <w:color w:val="auto"/>
              </w:rPr>
            </w:pPr>
          </w:p>
        </w:tc>
        <w:tc>
          <w:tcPr>
            <w:tcW w:w="388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Executive Severance Plan for Chief-Level Executives</w:t>
              </w:r>
            </w:hyperlink>
          </w:p>
        </w:tc>
        <w:tc>
          <w:tcPr>
            <w:tcW w:w="1340" w:type="dxa"/>
            <w:vAlign w:val="bottom"/>
            <w:tcBorders>
              <w:top w:val="single" w:sz="8" w:color="0000FF"/>
            </w:tcBorders>
            <w:gridSpan w:val="3"/>
          </w:tcPr>
          <w:p>
            <w:pPr>
              <w:spacing w:after="0"/>
              <w:rPr>
                <w:sz w:val="21"/>
                <w:szCs w:val="21"/>
                <w:color w:val="auto"/>
              </w:rPr>
            </w:pPr>
          </w:p>
        </w:tc>
        <w:tc>
          <w:tcPr>
            <w:tcW w:w="960" w:type="dxa"/>
            <w:vAlign w:val="bottom"/>
            <w:gridSpan w:val="7"/>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8"/>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Securities Purchase Agreement, dated June 12, 2024, by and among Replimune</w:t>
              </w:r>
            </w:hyperlink>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Group, Inc. and each of the investors as party thereto</w:t>
              </w:r>
            </w:hyperlink>
          </w:p>
        </w:tc>
        <w:tc>
          <w:tcPr>
            <w:tcW w:w="1900" w:type="dxa"/>
            <w:vAlign w:val="bottom"/>
            <w:tcBorders>
              <w:top w:val="single" w:sz="8" w:color="0000FF"/>
            </w:tcBorders>
            <w:gridSpan w:val="8"/>
          </w:tcPr>
          <w:p>
            <w:pPr>
              <w:spacing w:after="0"/>
              <w:rPr>
                <w:sz w:val="17"/>
                <w:szCs w:val="17"/>
                <w:color w:val="auto"/>
              </w:rPr>
            </w:pPr>
          </w:p>
        </w:tc>
        <w:tc>
          <w:tcPr>
            <w:tcW w:w="460" w:type="dxa"/>
            <w:vAlign w:val="bottom"/>
            <w:gridSpan w:val="3"/>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Form of Registration Rights Agreement</w:t>
              </w:r>
            </w:hyperlink>
          </w:p>
        </w:tc>
        <w:tc>
          <w:tcPr>
            <w:tcW w:w="3300" w:type="dxa"/>
            <w:vAlign w:val="bottom"/>
            <w:gridSpan w:val="15"/>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8"/>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Registration Rights Agreement, dated March 5, 2025, by and among Replimune</w:t>
              </w:r>
            </w:hyperlink>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264">
              <w:r>
                <w:rPr>
                  <w:rFonts w:ascii="Times New Roman" w:cs="Times New Roman" w:eastAsia="Times New Roman" w:hAnsi="Times New Roman"/>
                  <w:sz w:val="18"/>
                  <w:szCs w:val="18"/>
                  <w:color w:val="0000FF"/>
                  <w:w w:val="98"/>
                </w:rPr>
                <w:t>Group, Inc. and 667, L.P. and Baker Brothers Life Sciences, L.P.</w:t>
              </w:r>
            </w:hyperlink>
          </w:p>
        </w:tc>
        <w:tc>
          <w:tcPr>
            <w:tcW w:w="1100" w:type="dxa"/>
            <w:vAlign w:val="bottom"/>
            <w:tcBorders>
              <w:top w:val="single" w:sz="8" w:color="0000FF"/>
            </w:tcBorders>
            <w:gridSpan w:val="7"/>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Replimune Group, Inc. Amended and Restated Insider Trading Policy</w:t>
              </w:r>
            </w:hyperlink>
          </w:p>
        </w:tc>
        <w:tc>
          <w:tcPr>
            <w:tcW w:w="1140" w:type="dxa"/>
            <w:vAlign w:val="bottom"/>
            <w:gridSpan w:val="8"/>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4000" w:type="dxa"/>
            <w:vAlign w:val="bottom"/>
            <w:gridSpan w:val="16"/>
          </w:tcPr>
          <w:p>
            <w:pPr>
              <w:spacing w:after="0"/>
              <w:rPr>
                <w:sz w:val="21"/>
                <w:szCs w:val="2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w:t>
            </w:r>
          </w:p>
        </w:tc>
        <w:tc>
          <w:tcPr>
            <w:tcW w:w="2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Firm</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as required by Section 302 of the</w:t>
            </w: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 (18 U.S.C. 1350).</w:t>
            </w:r>
          </w:p>
        </w:tc>
        <w:tc>
          <w:tcPr>
            <w:tcW w:w="2200" w:type="dxa"/>
            <w:vAlign w:val="bottom"/>
            <w:tcBorders>
              <w:top w:val="single" w:sz="8" w:color="0000FF"/>
            </w:tcBorders>
            <w:gridSpan w:val="8"/>
          </w:tcPr>
          <w:p>
            <w:pPr>
              <w:spacing w:after="0"/>
              <w:rPr>
                <w:sz w:val="17"/>
                <w:szCs w:val="17"/>
                <w:color w:val="auto"/>
              </w:rPr>
            </w:pPr>
          </w:p>
        </w:tc>
        <w:tc>
          <w:tcPr>
            <w:tcW w:w="580" w:type="dxa"/>
            <w:vAlign w:val="bottom"/>
            <w:gridSpan w:val="4"/>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as required by Section 302 of the</w:t>
            </w:r>
          </w:p>
        </w:tc>
        <w:tc>
          <w:tcPr>
            <w:tcW w:w="620" w:type="dxa"/>
            <w:vAlign w:val="bottom"/>
            <w:gridSpan w:val="5"/>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(18 U.S.C. 1350).</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0" w:type="dxa"/>
            <w:vAlign w:val="bottom"/>
            <w:gridSpan w:val="13"/>
          </w:tcPr>
          <w:p>
            <w:pPr>
              <w:spacing w:after="0" w:line="20" w:lineRule="exact"/>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as required by Section 906 of the</w:t>
            </w: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 (18 U.S.C. 1350).</w:t>
            </w:r>
          </w:p>
        </w:tc>
        <w:tc>
          <w:tcPr>
            <w:tcW w:w="2200" w:type="dxa"/>
            <w:vAlign w:val="bottom"/>
            <w:tcBorders>
              <w:top w:val="single" w:sz="8" w:color="0000FF"/>
            </w:tcBorders>
            <w:gridSpan w:val="8"/>
          </w:tcPr>
          <w:p>
            <w:pPr>
              <w:spacing w:after="0"/>
              <w:rPr>
                <w:sz w:val="17"/>
                <w:szCs w:val="17"/>
                <w:color w:val="auto"/>
              </w:rPr>
            </w:pPr>
          </w:p>
        </w:tc>
        <w:tc>
          <w:tcPr>
            <w:tcW w:w="580" w:type="dxa"/>
            <w:vAlign w:val="bottom"/>
            <w:gridSpan w:val="4"/>
          </w:tcPr>
          <w:p>
            <w:pPr>
              <w:spacing w:after="0"/>
              <w:rPr>
                <w:sz w:val="17"/>
                <w:szCs w:val="17"/>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as required by Section 906 of the</w:t>
            </w:r>
          </w:p>
        </w:tc>
        <w:tc>
          <w:tcPr>
            <w:tcW w:w="620" w:type="dxa"/>
            <w:vAlign w:val="bottom"/>
            <w:gridSpan w:val="5"/>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(18 U.S.C. 1350).</w:t>
            </w: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Replimune Group, Inc. Clawback Policy</w:t>
            </w:r>
          </w:p>
        </w:tc>
        <w:tc>
          <w:tcPr>
            <w:tcW w:w="440" w:type="dxa"/>
            <w:vAlign w:val="bottom"/>
            <w:tcBorders>
              <w:top w:val="single" w:sz="8" w:color="0000FF"/>
            </w:tcBorders>
          </w:tcPr>
          <w:p>
            <w:pPr>
              <w:spacing w:after="0"/>
              <w:rPr>
                <w:sz w:val="21"/>
                <w:szCs w:val="21"/>
                <w:color w:val="auto"/>
              </w:rPr>
            </w:pPr>
          </w:p>
        </w:tc>
        <w:tc>
          <w:tcPr>
            <w:tcW w:w="2800" w:type="dxa"/>
            <w:vAlign w:val="bottom"/>
            <w:gridSpan w:val="13"/>
          </w:tcPr>
          <w:p>
            <w:pPr>
              <w:spacing w:after="0"/>
              <w:rPr>
                <w:sz w:val="21"/>
                <w:szCs w:val="21"/>
                <w:color w:val="auto"/>
              </w:rPr>
            </w:pPr>
          </w:p>
        </w:tc>
      </w:tr>
      <w:tr>
        <w:trPr>
          <w:trHeight w:val="29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23"/>
                <w:szCs w:val="23"/>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3"/>
                <w:szCs w:val="23"/>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3"/>
                <w:szCs w:val="23"/>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and not filed herewith.</w:t>
      </w:r>
    </w:p>
    <w:p>
      <w:pPr>
        <w:spacing w:after="0" w:line="14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23742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3, 2026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6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3,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0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12,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13,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52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13,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7,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8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22,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bl>
    <w:p>
      <w:pPr>
        <w:spacing w:after="0" w:line="6138" w:lineRule="exact"/>
        <w:rPr>
          <w:sz w:val="20"/>
          <w:szCs w:val="20"/>
          <w:color w:val="auto"/>
        </w:rPr>
      </w:pPr>
    </w:p>
    <w:p>
      <w:pPr>
        <w:sectPr>
          <w:pgSz w:w="11900" w:h="16838" w:orient="portrait"/>
          <w:cols w:equalWidth="0" w:num="2">
            <w:col w:w="7400" w:space="100"/>
            <w:col w:w="3740"/>
          </w:cols>
          <w:pgMar w:left="320" w:top="130" w:right="339" w:bottom="1440" w:gutter="0" w:footer="0" w:header="0"/>
        </w:sectPr>
      </w:pPr>
    </w:p>
    <w:p>
      <w:pPr>
        <w:ind w:left="340" w:right="40" w:hanging="332"/>
        <w:spacing w:after="0" w:line="282" w:lineRule="auto"/>
        <w:tabs>
          <w:tab w:leader="none" w:pos="2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confidential treatment has been requested with respect to specific portions of this exhibit. Omitted portions have been filed with the Securities and Exchange Commission pursuant to Rule 406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31" w:lineRule="exact"/>
        <w:rPr>
          <w:sz w:val="20"/>
          <w:szCs w:val="20"/>
          <w:color w:val="auto"/>
        </w:rPr>
      </w:pPr>
    </w:p>
    <w:p>
      <w:pPr>
        <w:ind w:left="40"/>
        <w:spacing w:after="0"/>
        <w:tabs>
          <w:tab w:leader="none" w:pos="5360" w:val="left"/>
          <w:tab w:leader="none" w:pos="590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864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Sushil Patel</w:t>
      </w:r>
    </w:p>
    <w:p>
      <w:pPr>
        <w:ind w:left="59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Sushil Patel and Emily Hill,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ratifying and confirming all that said attorneys-in-fact and agents or any of them or their substitute or substitutes may lawfully do or cause to be done by virtue thereof.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5628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41910</wp:posOffset>
            </wp:positionV>
            <wp:extent cx="44659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6020" w:space="720"/>
            <w:col w:w="4480"/>
          </w:cols>
          <w:pgMar w:left="320" w:top="130"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/s/ 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628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EMILY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5628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Emily Hill</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SCHWENDENMAN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Schwendenman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ASTLEY-SPARKE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Astley-Sparke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KAPIL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Kapil Dhingra</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MADHAVAN BALACHANDRAN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562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Madhavan Balachandran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628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CHRISTY OLIGER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Christy Oliger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PAOLO PUCCI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Paolo Pucci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62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SLATTERY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Slattery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VELEKA PEEPLES-DYER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Veleka Peeples-Dyer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DIETER WEINAND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Dieter Weinand</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GOLLER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5628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Goller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2026</w:t>
      </w:r>
    </w:p>
    <w:p>
      <w:pPr>
        <w:sectPr>
          <w:pgSz w:w="11900" w:h="16838" w:orient="portrait"/>
          <w:cols w:equalWidth="0" w:num="3">
            <w:col w:w="3500" w:space="720"/>
            <w:col w:w="5280" w:space="720"/>
            <w:col w:w="1000"/>
          </w:cols>
          <w:pgMar w:left="320" w:top="130" w:right="359" w:bottom="1440" w:gutter="0" w:footer="0" w:header="0"/>
          <w:type w:val="continuous"/>
        </w:sectPr>
      </w:pPr>
    </w:p>
    <w:bookmarkStart w:id="122" w:name="page123"/>
    <w:bookmarkEnd w:id="122"/>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sets forth certain material terms and provisions of Replimune Group, Inc.’s (“we,” “us,” and “our”) securities that are registered under Section 12 of the Securities Exchange Act of 1934, as amended.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Third Amended and Restated Certificate of Incorporation, as amended (our “Certificate of Incorporation”), and our Amended and Restated By-laws (our “Bylaws”), each of which are incorporated by reference or filed as an exhibit to our Annual Report on Form 10-K of which this Exhibit 4.3 is a part. The terms of these securities also may be affected by the Delaware General Corporation Law (the “DGCL”).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$0.001 per share, and 10,000,000 shares of undesignated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Subject to any preferential rights that may be applicable to any outstanding shares of preferred stock from time to time,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our stockholders, to designate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504014601.3</w:t>
      </w:r>
    </w:p>
    <w:p>
      <w:pPr>
        <w:sectPr>
          <w:pgSz w:w="11900" w:h="16838" w:orient="portrait"/>
          <w:cols w:equalWidth="0" w:num="1">
            <w:col w:w="11160"/>
          </w:cols>
          <w:pgMar w:left="320" w:top="1440" w:right="41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color w:val="231F20"/>
        </w:rPr>
        <w:t>We have outstanding pre-funded warrants to purchase shares of our common stock consisting of pre-funded warrants to purchase:</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217,391 shares of our common stock at an exercise price of $0.0001 per share, which were issued in June 2020 in an underwritten public offering;</w:t>
      </w:r>
    </w:p>
    <w:p>
      <w:pPr>
        <w:spacing w:after="0" w:line="225"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125,000 shares of our common stock at an exercise price of $0.0001 per share, which were issued in October 2020 in an underwritten public offering;</w:t>
      </w:r>
    </w:p>
    <w:p>
      <w:pPr>
        <w:spacing w:after="0" w:line="161"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4,200,000 shares of our common stock at an exercise price of $0.0001 per share, which were issued in December 2022 in an underwritten public offering;</w:t>
      </w:r>
    </w:p>
    <w:p>
      <w:pPr>
        <w:spacing w:after="0" w:line="161"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5,669,578 shares of our common stock at an exercise price of $0.001 per share, which were issued in June 2024 in a private placement (the “June 2024 Pre-Funded Warrants”); and</w:t>
      </w:r>
    </w:p>
    <w:p>
      <w:pPr>
        <w:spacing w:after="0" w:line="161"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3,846,184 shares of our common stock at an exercise price of $0.0001 per share, which were issued in December 2024 in an underwritten public offering (the “December 2024 Pre-Funded Warrants”).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31F20"/>
        </w:rPr>
        <w:t>Each pre-funded warrant entitles the holder to purchase one share of our common stock at the applicable per share exercise price described above. The pre-funded warrants do not expire and may be exercised by the holder at any time after their original issuance. Unless otherwise modified by a holder of a pre-funded warrant, no holder may exercise a pre-funded warrant (i) if such holder, together with its affiliates, would beneficially own more than 9.99% (or, in the case of the December 2024 Pre-Funded Warrants, 4.99%) of the number of shares of our common stock outstanding immediately after giving effect to such exercise, or (ii) if the combined voting power of our securities beneficially owned by such holder, together with its affiliates, would exceed 9.99% (or, in the case of the December 2024 Pre-Funded Warrants, 4.99%) of the combined voting power of all of our securities then outstanding immediately after giving effect to the exercise of such pre-funded warrants, as such percentage ownership is determined in accordance with the terms of the pre-funded warrants. However, a holder of a pre-funded warrant may increase or decrease this percentage to any other percentage not in excess of 19.99% (or, in the case of the June 2024 Pre-Funded Warrants, 9.99%) by providing us with at least 61 days’ prior notice.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Certificate of Incorporation and Bylaws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provisions of Delaware law and of our Certificate of Incorporation and Bylaws may have the effect of discouraging, delaying or 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w:t>
      </w:r>
      <w:r>
        <w:rPr>
          <w:rFonts w:ascii="Times New Roman" w:cs="Times New Roman" w:eastAsia="Times New Roman" w:hAnsi="Times New Roman"/>
          <w:sz w:val="18"/>
          <w:szCs w:val="18"/>
          <w:color w:val="auto"/>
        </w:rPr>
        <w:t>Our Certificate of Incorporation and Bylaws provide that our board of directors is divided into three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with the directors in each class serving staggered three-year terms and with the number of directors in each class to be as nearly equal as possible. The classification of our board of directors has the effect of requiring at least two annual stockholder meetings, instead of one, to replace a majority of the members of our board of directors.</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or Undesignated Capital Stock. </w:t>
      </w:r>
      <w:r>
        <w:rPr>
          <w:rFonts w:ascii="Times New Roman" w:cs="Times New Roman" w:eastAsia="Times New Roman" w:hAnsi="Times New Roman"/>
          <w:sz w:val="18"/>
          <w:szCs w:val="18"/>
          <w:color w:val="auto"/>
        </w:rPr>
        <w:t>Our authorized capital stock consists of 150,000,000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preferred stock. The authorized but unissued (and in the case of preferred stock, undesignated) stock may be issued by our board of directors in one or more transactions. In this regard, our Certificate of Incorporation grants our board of directors broad power to establish the rights and preferences of authorized and unissued preferred stock. The issuance of shares of preferred stock pursuant to our board of directors’ authority described above could decrease the amount of earnings and assets available for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504014601.3</w:t>
      </w:r>
    </w:p>
    <w:p>
      <w:pPr>
        <w:sectPr>
          <w:pgSz w:w="11900" w:h="16838" w:orient="portrait"/>
          <w:cols w:equalWidth="0" w:num="1">
            <w:col w:w="11240"/>
          </w:cols>
          <w:pgMar w:left="320" w:top="1417" w:right="339" w:bottom="1440" w:gutter="0" w:footer="0" w:header="0"/>
        </w:sectPr>
      </w:pPr>
    </w:p>
    <w:bookmarkStart w:id="124" w:name="page125"/>
    <w:bookmarkEnd w:id="124"/>
    <w:p>
      <w:pPr>
        <w:ind w:right="20"/>
        <w:spacing w:after="0" w:line="266" w:lineRule="auto"/>
        <w:rPr>
          <w:sz w:val="20"/>
          <w:szCs w:val="20"/>
          <w:color w:val="auto"/>
        </w:rPr>
      </w:pPr>
      <w:r>
        <w:rPr>
          <w:rFonts w:ascii="Times New Roman" w:cs="Times New Roman" w:eastAsia="Times New Roman" w:hAnsi="Times New Roman"/>
          <w:sz w:val="18"/>
          <w:szCs w:val="18"/>
          <w:color w:val="auto"/>
        </w:rPr>
        <w:t>distribution to holders of common stock and adversely affect the rights and powers, including voting rights, of such holders and may have the effect of delaying, deferring or preventing a change in control. Our board of directors does not currently intend to seek stockholder approval prior to any issuance of preferred stock, unless otherwise required by law.</w:t>
      </w:r>
    </w:p>
    <w:p>
      <w:pPr>
        <w:spacing w:after="0" w:line="174"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Certificate of Incorporation provides that special meetings of the stockholders may be called only by 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direction of our board of directors. Our Bylaws prohibit the conduct of any business at a special meeting other than as specified in the notice for such meeting.</w:t>
      </w:r>
    </w:p>
    <w:p>
      <w:pPr>
        <w:spacing w:after="0" w:line="17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establish advance notice procedures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Additionally, vacancies and newly created directorships may be filled only by a vote of a majority of the directors then in office, even though less than a quorum, and not by the stockholders.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18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Our Certificate of Incorporation prohibits the taking of any action of our stockholders by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meeting.</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Amendments to Our Certificate of Incorporation and Bylaws. </w:t>
      </w:r>
      <w:r>
        <w:rPr>
          <w:rFonts w:ascii="Times New Roman" w:cs="Times New Roman" w:eastAsia="Times New Roman" w:hAnsi="Times New Roman"/>
          <w:sz w:val="18"/>
          <w:szCs w:val="18"/>
          <w:color w:val="auto"/>
        </w:rPr>
        <w:t>The DGCL provides that, unless a corporation’s certificate of incorporation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the affirmative vote of holders of shares constituting a majority of the votes of all shares entitled to vote may approve amendments to the certificate of incorporation. Our Certificate of Incorporation and Bylaws provide that the affirmative vote of holders of at least 75% of the outstanding shares of capital stock, voting together as a single class, and entitled to vote in the election of directors, will be required to amend, alter, change or repeal our Certificate of Incorporation and Bylaws. This requirement of a</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supermajority vote to approve amendments to our Certificate of Incorporation and Bylaws could enable a minority of our stockholders to exercise veto power over such amendments.</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Certificate of Incorporation does not expressly provide for cumulative voting.</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We are governed by the provisions of Section 203 of the Delaware General Corporation Law. In general,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holders of our common stock, or their transferees, are entitled to registration rights with respect to registration of the resale of such shares under the Securities Act of 1933, as amended, pursuant to the amended and restated investors’ rights agreement, by and among us and certain of our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504014601.3</w:t>
      </w:r>
    </w:p>
    <w:p>
      <w:pPr>
        <w:sectPr>
          <w:pgSz w:w="11900" w:h="16838" w:orient="portrait"/>
          <w:cols w:equalWidth="0" w:num="1">
            <w:col w:w="11200"/>
          </w:cols>
          <w:pgMar w:left="320" w:top="1417" w:right="379" w:bottom="1440" w:gutter="0" w:footer="0" w:header="0"/>
        </w:sectPr>
      </w:pPr>
    </w:p>
    <w:bookmarkStart w:id="125" w:name="page126"/>
    <w:bookmarkEnd w:id="1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“REPL.”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504014601.3</w:t>
      </w:r>
    </w:p>
    <w:p>
      <w:pPr>
        <w:sectPr>
          <w:pgSz w:w="11900" w:h="16838" w:orient="portrait"/>
          <w:cols w:equalWidth="0" w:num="1">
            <w:col w:w="10139"/>
          </w:cols>
          <w:pgMar w:left="320" w:top="1440"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auto"/>
        </w:rPr>
        <w:t>December 2025 – Strategic Initiative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U.S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REPLIMUNE GROUP,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2018 OMNIBUS INCENTIVE COMPENSATION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 UNIT GRANT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510" w:type="dxa"/>
        <w:tblCellMar>
          <w:top w:w="0" w:type="dxa"/>
          <w:left w:w="0" w:type="dxa"/>
          <w:bottom w:w="0" w:type="dxa"/>
          <w:right w:w="0" w:type="dxa"/>
        </w:tblCellMar>
      </w:tblPr>
      <w:tr>
        <w:trPr>
          <w:trHeight w:val="296"/>
        </w:trPr>
        <w:tc>
          <w:tcPr>
            <w:tcW w:w="37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Participant:</w:t>
            </w:r>
          </w:p>
        </w:tc>
        <w:tc>
          <w:tcPr>
            <w:tcW w:w="6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%%FIRST_NAME%-% %%LAST_NAME%-%</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6360" w:type="dxa"/>
            <w:vAlign w:val="bottom"/>
            <w:tcBorders>
              <w:bottom w:val="single" w:sz="8" w:color="auto"/>
              <w:right w:val="single" w:sz="8" w:color="auto"/>
            </w:tcBorders>
          </w:tcPr>
          <w:p>
            <w:pPr>
              <w:spacing w:after="0"/>
              <w:rPr>
                <w:sz w:val="2"/>
                <w:szCs w:val="2"/>
                <w:color w:val="auto"/>
              </w:rPr>
            </w:pPr>
          </w:p>
        </w:tc>
      </w:tr>
      <w:tr>
        <w:trPr>
          <w:trHeight w:val="276"/>
        </w:trPr>
        <w:tc>
          <w:tcPr>
            <w:tcW w:w="3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Date of Grant:</w:t>
            </w: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%%OPTION_DATE,'Month DD, YYYY'%-%</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6360" w:type="dxa"/>
            <w:vAlign w:val="bottom"/>
            <w:tcBorders>
              <w:bottom w:val="single" w:sz="8" w:color="auto"/>
              <w:right w:val="single" w:sz="8" w:color="auto"/>
            </w:tcBorders>
          </w:tcPr>
          <w:p>
            <w:pPr>
              <w:spacing w:after="0"/>
              <w:rPr>
                <w:sz w:val="2"/>
                <w:szCs w:val="2"/>
                <w:color w:val="auto"/>
              </w:rPr>
            </w:pPr>
          </w:p>
        </w:tc>
      </w:tr>
      <w:tr>
        <w:trPr>
          <w:trHeight w:val="276"/>
        </w:trPr>
        <w:tc>
          <w:tcPr>
            <w:tcW w:w="3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Restricted Units Granted:</w:t>
            </w: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%%TOTAL_SHARES_GRANTED,'999,999,999'%-%</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6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Replimune Group, Inc. 2018 Omnibus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provides for the grant of restricted stock units. The Committee has decided to make this grant of restricted stock units as an inducement for the Participant to promote the best interests of the Replimune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stockholders. The Participant hereby acknowledges the receipt of a copy of the official prospectus for the Plan, which is available by accessing the Company’s intranet at www.replimune.com. Paper copies of the Plan and the official Plan prospectus are available by contacting the Chief Financial Officer of the Company at +1.781.222.9600. This Agreement is made pursuant to the Plan and is subject in its entirety to all applicable provisions of the Plan. Capitalized terms used herein and not otherwise defined will have the meanings set forth in the Plan.</w:t>
      </w:r>
    </w:p>
    <w:p>
      <w:pPr>
        <w:spacing w:after="0" w:line="160" w:lineRule="exact"/>
        <w:rPr>
          <w:sz w:val="20"/>
          <w:szCs w:val="20"/>
          <w:color w:val="auto"/>
        </w:rPr>
      </w:pPr>
    </w:p>
    <w:p>
      <w:pPr>
        <w:jc w:val="both"/>
        <w:ind w:firstLine="8"/>
        <w:spacing w:after="0" w:line="217" w:lineRule="auto"/>
        <w:tabs>
          <w:tab w:leader="none" w:pos="6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Units</w:t>
      </w:r>
      <w:r>
        <w:rPr>
          <w:rFonts w:ascii="Times New Roman" w:cs="Times New Roman" w:eastAsia="Times New Roman" w:hAnsi="Times New Roman"/>
          <w:sz w:val="22"/>
          <w:szCs w:val="22"/>
          <w:color w:val="auto"/>
        </w:rPr>
        <w:t>. Subject to the terms and conditions set forth in this Restricted Stock Unit Grant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in the Plan, the Company hereby grants the Participant the number of restricted stock units set forth above, subject to the restrictions set forth below and in the Plan (the “</w:t>
      </w:r>
      <w:r>
        <w:rPr>
          <w:rFonts w:ascii="Times New Roman" w:cs="Times New Roman" w:eastAsia="Times New Roman" w:hAnsi="Times New Roman"/>
          <w:sz w:val="22"/>
          <w:szCs w:val="22"/>
          <w:u w:val="single" w:color="auto"/>
          <w:color w:val="auto"/>
        </w:rPr>
        <w:t>Stock Units</w:t>
      </w:r>
      <w:r>
        <w:rPr>
          <w:rFonts w:ascii="Times New Roman" w:cs="Times New Roman" w:eastAsia="Times New Roman" w:hAnsi="Times New Roman"/>
          <w:sz w:val="22"/>
          <w:szCs w:val="22"/>
          <w:color w:val="auto"/>
        </w:rPr>
        <w:t>”). Each Stock Unit represents the right of the Participant to receive a share of common stock of the Company (“</w:t>
      </w:r>
      <w:r>
        <w:rPr>
          <w:rFonts w:ascii="Times New Roman" w:cs="Times New Roman" w:eastAsia="Times New Roman" w:hAnsi="Times New Roman"/>
          <w:sz w:val="22"/>
          <w:szCs w:val="22"/>
          <w:u w:val="single" w:color="auto"/>
          <w:color w:val="auto"/>
        </w:rPr>
        <w:t>Company Stock</w:t>
      </w:r>
      <w:r>
        <w:rPr>
          <w:rFonts w:ascii="Times New Roman" w:cs="Times New Roman" w:eastAsia="Times New Roman" w:hAnsi="Times New Roman"/>
          <w:sz w:val="22"/>
          <w:szCs w:val="22"/>
          <w:color w:val="auto"/>
        </w:rPr>
        <w:t>”) on the applicable payment date set forth in Section 5 below.</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Unit Account</w:t>
      </w:r>
      <w:r>
        <w:rPr>
          <w:rFonts w:ascii="Times New Roman" w:cs="Times New Roman" w:eastAsia="Times New Roman" w:hAnsi="Times New Roman"/>
          <w:sz w:val="22"/>
          <w:szCs w:val="22"/>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1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Units shall become vested according to the vesting table in Exhibit A, detailing the vesting dates (each, an individual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continues to be employed by, or provide approved service to, the Employer from the Date of Grant until the applicable Vesting Date. The following table defines which date is assigned as the annual vesting date (the “</w:t>
      </w:r>
      <w:r>
        <w:rPr>
          <w:rFonts w:ascii="Times New Roman" w:cs="Times New Roman" w:eastAsia="Times New Roman" w:hAnsi="Times New Roman"/>
          <w:sz w:val="22"/>
          <w:szCs w:val="22"/>
          <w:u w:val="single" w:color="auto"/>
          <w:color w:val="auto"/>
        </w:rPr>
        <w:t>Designated Vesting Date</w:t>
      </w:r>
      <w:r>
        <w:rPr>
          <w:rFonts w:ascii="Times New Roman" w:cs="Times New Roman" w:eastAsia="Times New Roman" w:hAnsi="Times New Roman"/>
          <w:sz w:val="22"/>
          <w:szCs w:val="22"/>
          <w:color w:val="auto"/>
        </w:rPr>
        <w:t>”) based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165154595.2</w:t>
      </w:r>
    </w:p>
    <w:p>
      <w:pPr>
        <w:sectPr>
          <w:pgSz w:w="11900" w:h="16838" w:orient="portrait"/>
          <w:cols w:equalWidth="0" w:num="1">
            <w:col w:w="11240"/>
          </w:cols>
          <w:pgMar w:left="320" w:top="126" w:right="339" w:bottom="1440" w:gutter="0" w:footer="0" w:header="0"/>
        </w:sectPr>
      </w:pPr>
    </w:p>
    <w:bookmarkStart w:id="127" w:name="page128"/>
    <w:bookmarkEnd w:id="12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00" w:type="dxa"/>
            <w:vAlign w:val="bottom"/>
            <w:tcBorders>
              <w:top w:val="single" w:sz="8" w:color="auto"/>
              <w:left w:val="single" w:sz="8" w:color="auto"/>
            </w:tcBorders>
          </w:tcPr>
          <w:p>
            <w:pPr>
              <w:spacing w:after="0"/>
              <w:rPr>
                <w:sz w:val="18"/>
                <w:szCs w:val="18"/>
                <w:color w:val="auto"/>
              </w:rPr>
            </w:pPr>
          </w:p>
        </w:tc>
        <w:tc>
          <w:tcPr>
            <w:tcW w:w="328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color w:val="auto"/>
              </w:rPr>
              <w:t>Date of Grant</w:t>
            </w:r>
          </w:p>
        </w:tc>
        <w:tc>
          <w:tcPr>
            <w:tcW w:w="1700" w:type="dxa"/>
            <w:vAlign w:val="bottom"/>
            <w:tcBorders>
              <w:top w:val="single" w:sz="8" w:color="auto"/>
            </w:tcBorders>
          </w:tcPr>
          <w:p>
            <w:pPr>
              <w:spacing w:after="0"/>
              <w:rPr>
                <w:sz w:val="18"/>
                <w:szCs w:val="18"/>
                <w:color w:val="auto"/>
              </w:rPr>
            </w:pPr>
          </w:p>
        </w:tc>
        <w:tc>
          <w:tcPr>
            <w:tcW w:w="378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color w:val="auto"/>
              </w:rPr>
              <w:t>Designated Vesting Date*</w:t>
            </w:r>
          </w:p>
        </w:tc>
      </w:tr>
      <w:tr>
        <w:trPr>
          <w:trHeight w:val="34"/>
        </w:trPr>
        <w:tc>
          <w:tcPr>
            <w:tcW w:w="2200" w:type="dxa"/>
            <w:vAlign w:val="bottom"/>
            <w:tcBorders>
              <w:left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60" w:type="dxa"/>
            <w:vAlign w:val="bottom"/>
            <w:tcBorders>
              <w:top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90"/>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January 1 – March 31</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February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next calendar year</w:t>
            </w:r>
          </w:p>
        </w:tc>
      </w:tr>
      <w:tr>
        <w:trPr>
          <w:trHeight w:val="291"/>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April 1 – June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May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next calendar year</w:t>
            </w:r>
          </w:p>
        </w:tc>
      </w:tr>
      <w:tr>
        <w:trPr>
          <w:trHeight w:val="290"/>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July 1 – September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August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next calendar year</w:t>
            </w:r>
          </w:p>
        </w:tc>
      </w:tr>
      <w:tr>
        <w:trPr>
          <w:trHeight w:val="291"/>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October 1 – December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November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next calendar year</w:t>
            </w:r>
          </w:p>
        </w:tc>
      </w:tr>
    </w:tbl>
    <w:p>
      <w:pPr>
        <w:spacing w:after="0" w:line="95" w:lineRule="exact"/>
        <w:rPr>
          <w:sz w:val="20"/>
          <w:szCs w:val="20"/>
          <w:color w:val="auto"/>
        </w:rPr>
      </w:pPr>
    </w:p>
    <w:p>
      <w:pPr>
        <w:ind w:firstLine="237"/>
        <w:spacing w:after="0" w:line="273" w:lineRule="auto"/>
        <w:tabs>
          <w:tab w:leader="none" w:pos="37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If a Designated Vesting Date falls on a weekend, federal holiday or any other day the Nasdaq Global Market is closed for trading, such Designated Vesting Date will become the next active trading day of the Company’s common stock</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20" w:lineRule="auto"/>
        <w:tabs>
          <w:tab w:leader="none" w:pos="1345"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or service terminates on account of the Participant’s death, Disability or on account of a termination by the Employer without Cause (for clarity, without Cause shall include termination or job elimination due to a reduction in force) or by the Participant for Good Reason (if applicable), in each case before the last Vesting Date, any unvested Stock Units shall become fully vested upon such termination of employment or service.</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not the surviving corporation (or survives only as a subsidiary of another corporation) as a result of a Change of Control and the surviving corporation (or a parent or subsidiary of the surviving corporation) does not assume or replace the Stock Units with an award with comparable terms, and the Participant is employed by, or providing services to, the Employer on the date of the Change of Control, any unvested Stock Units shall become fully vested upon the date of the Change of Control.</w:t>
      </w:r>
    </w:p>
    <w:p>
      <w:pPr>
        <w:spacing w:after="0" w:line="152" w:lineRule="exact"/>
        <w:rPr>
          <w:rFonts w:ascii="Times New Roman" w:cs="Times New Roman" w:eastAsia="Times New Roman" w:hAnsi="Times New Roman"/>
          <w:sz w:val="22"/>
          <w:szCs w:val="22"/>
          <w:color w:val="auto"/>
        </w:rPr>
      </w:pPr>
    </w:p>
    <w:p>
      <w:pPr>
        <w:jc w:val="both"/>
        <w:ind w:firstLine="8"/>
        <w:spacing w:after="0" w:line="220"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Stock Units</w:t>
      </w:r>
      <w:r>
        <w:rPr>
          <w:rFonts w:ascii="Times New Roman" w:cs="Times New Roman" w:eastAsia="Times New Roman" w:hAnsi="Times New Roman"/>
          <w:sz w:val="22"/>
          <w:szCs w:val="22"/>
          <w:color w:val="auto"/>
        </w:rPr>
        <w:t>. If the Participant ceases to be employed by, or provide service to, the Employer for any reason, except for the reasons included in Section 3(c) or 3(d) above,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4.</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Stock Units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when the Stock Units vest in accordance with Section 3, the Company shall issue to the Participant one share of Company Stock for each vested Stock Unit, subject to applicable Withholding Taxes (as defined below). Payment shall be made within 30 days after the applicable vesting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rights of the Employer as set forth in the Plan to withhold amounts required by law to be withheld for any federal (including FICA), state, local and other taxes with respect to the payment of the Stock Units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Participant irrevocably (i) has elected, as of the Date of Grant to sell shares of Company Stock in an amount having an aggregate Fair Market Value equal to the Withholding Taxes, and to allow the Company’s designated broker (the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to remit the cash proceeds of such sale to the Employer (a “</w:t>
      </w:r>
      <w:r>
        <w:rPr>
          <w:rFonts w:ascii="Times New Roman" w:cs="Times New Roman" w:eastAsia="Times New Roman" w:hAnsi="Times New Roman"/>
          <w:sz w:val="22"/>
          <w:szCs w:val="22"/>
          <w:u w:val="single" w:color="auto"/>
          <w:color w:val="auto"/>
        </w:rPr>
        <w:t>Sell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and (ii) directs the Employer to make a cash payment to satisfy the Withholding Taxes from the cash proceeds of such sale directly to the appropriate taxing authorities. To the extent the Sell to Cover does not cover all Withholding Taxes due, the Participant shall be required to pay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165154595.2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36" w:lineRule="auto"/>
        <w:rPr>
          <w:sz w:val="20"/>
          <w:szCs w:val="20"/>
          <w:color w:val="auto"/>
        </w:rPr>
      </w:pPr>
      <w:r>
        <w:rPr>
          <w:rFonts w:ascii="Times New Roman" w:cs="Times New Roman" w:eastAsia="Times New Roman" w:hAnsi="Times New Roman"/>
          <w:sz w:val="22"/>
          <w:szCs w:val="22"/>
          <w:color w:val="auto"/>
        </w:rPr>
        <w:t>Employer, or make other arrangements satisfactory to the Employer to provide for the payment of, any Withholding Taxes that the Employer is required to withhold with respect to the Stock Units.</w:t>
      </w:r>
    </w:p>
    <w:p>
      <w:pPr>
        <w:spacing w:after="0" w:line="150" w:lineRule="exact"/>
        <w:rPr>
          <w:sz w:val="20"/>
          <w:szCs w:val="20"/>
          <w:color w:val="auto"/>
        </w:rPr>
      </w:pPr>
    </w:p>
    <w:p>
      <w:pPr>
        <w:jc w:val="both"/>
        <w:ind w:firstLine="656"/>
        <w:spacing w:after="0" w:line="220" w:lineRule="auto"/>
        <w:tabs>
          <w:tab w:leader="none" w:pos="129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Company Stock following vesting of the Stock Units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52" w:lineRule="exact"/>
        <w:rPr>
          <w:rFonts w:ascii="Times New Roman" w:cs="Times New Roman" w:eastAsia="Times New Roman" w:hAnsi="Times New Roman"/>
          <w:sz w:val="22"/>
          <w:szCs w:val="22"/>
          <w:color w:val="auto"/>
        </w:rPr>
      </w:pPr>
    </w:p>
    <w:p>
      <w:pPr>
        <w:jc w:val="both"/>
        <w:ind w:firstLine="8"/>
        <w:spacing w:after="0" w:line="231" w:lineRule="auto"/>
        <w:tabs>
          <w:tab w:leader="none" w:pos="64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w:t>
      </w:r>
      <w:r>
        <w:rPr>
          <w:rFonts w:ascii="Times New Roman" w:cs="Times New Roman" w:eastAsia="Times New Roman" w:hAnsi="Times New Roman"/>
          <w:sz w:val="21"/>
          <w:szCs w:val="21"/>
          <w:color w:val="auto"/>
        </w:rPr>
        <w:t>. Neither the Participant, nor any person entitled to receive payment in the event of the Participant’s death, shall have any of the rights and privileges of a stockholder with respect to shares of Company Stock, including voting, dividend rights or dividend equivalent rights, until certificates for shares have been issued upon payment of Stock Units. The Participant acknowledges that no election under Section 83(b) of the Code is available with respect to Stock Units.</w:t>
      </w:r>
    </w:p>
    <w:p>
      <w:pPr>
        <w:spacing w:after="0" w:line="150" w:lineRule="exact"/>
        <w:rPr>
          <w:rFonts w:ascii="Times New Roman" w:cs="Times New Roman" w:eastAsia="Times New Roman" w:hAnsi="Times New Roman"/>
          <w:sz w:val="21"/>
          <w:szCs w:val="21"/>
          <w:color w:val="auto"/>
        </w:rPr>
      </w:pPr>
    </w:p>
    <w:p>
      <w:pPr>
        <w:jc w:val="both"/>
        <w:ind w:firstLine="8"/>
        <w:spacing w:after="0" w:line="212"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156" w:lineRule="exact"/>
        <w:rPr>
          <w:rFonts w:ascii="Times New Roman" w:cs="Times New Roman" w:eastAsia="Times New Roman" w:hAnsi="Times New Roman"/>
          <w:sz w:val="22"/>
          <w:szCs w:val="22"/>
          <w:color w:val="auto"/>
        </w:rPr>
      </w:pPr>
    </w:p>
    <w:p>
      <w:pPr>
        <w:jc w:val="both"/>
        <w:ind w:firstLine="8"/>
        <w:spacing w:after="0" w:line="220"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or Other Rights</w:t>
      </w:r>
      <w:r>
        <w:rPr>
          <w:rFonts w:ascii="Times New Roman" w:cs="Times New Roman" w:eastAsia="Times New Roman" w:hAnsi="Times New Roman"/>
          <w:sz w:val="22"/>
          <w:szCs w:val="22"/>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52" w:lineRule="exact"/>
        <w:rPr>
          <w:rFonts w:ascii="Times New Roman" w:cs="Times New Roman" w:eastAsia="Times New Roman" w:hAnsi="Times New Roman"/>
          <w:sz w:val="22"/>
          <w:szCs w:val="22"/>
          <w:color w:val="auto"/>
        </w:rPr>
      </w:pPr>
    </w:p>
    <w:p>
      <w:pPr>
        <w:jc w:val="both"/>
        <w:ind w:firstLine="8"/>
        <w:spacing w:after="0" w:line="211"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58" w:lineRule="exact"/>
        <w:rPr>
          <w:rFonts w:ascii="Times New Roman" w:cs="Times New Roman" w:eastAsia="Times New Roman" w:hAnsi="Times New Roman"/>
          <w:sz w:val="22"/>
          <w:szCs w:val="22"/>
          <w:color w:val="auto"/>
        </w:rPr>
      </w:pPr>
    </w:p>
    <w:p>
      <w:pPr>
        <w:jc w:val="both"/>
        <w:ind w:firstLine="8"/>
        <w:spacing w:after="0" w:line="215" w:lineRule="auto"/>
        <w:tabs>
          <w:tab w:leader="none" w:pos="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Jurisdiction</w:t>
      </w:r>
      <w:r>
        <w:rPr>
          <w:rFonts w:ascii="Times New Roman" w:cs="Times New Roman" w:eastAsia="Times New Roman" w:hAnsi="Times New Roman"/>
          <w:sz w:val="22"/>
          <w:szCs w:val="22"/>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165154595.2</w:t>
      </w:r>
    </w:p>
    <w:p>
      <w:pPr>
        <w:sectPr>
          <w:pgSz w:w="11900" w:h="16838" w:orient="portrait"/>
          <w:cols w:equalWidth="0" w:num="1">
            <w:col w:w="11240"/>
          </w:cols>
          <w:pgMar w:left="320" w:top="1395" w:right="339" w:bottom="1440" w:gutter="0" w:footer="0" w:header="0"/>
        </w:sectPr>
      </w:pPr>
    </w:p>
    <w:bookmarkStart w:id="129" w:name="page130"/>
    <w:bookmarkEnd w:id="129"/>
    <w:p>
      <w:pPr>
        <w:spacing w:after="0" w:line="236" w:lineRule="auto"/>
        <w:rPr>
          <w:sz w:val="20"/>
          <w:szCs w:val="20"/>
          <w:color w:val="auto"/>
        </w:rPr>
      </w:pPr>
      <w:r>
        <w:rPr>
          <w:rFonts w:ascii="Times New Roman" w:cs="Times New Roman" w:eastAsia="Times New Roman" w:hAnsi="Times New Roman"/>
          <w:sz w:val="22"/>
          <w:szCs w:val="22"/>
          <w:color w:val="auto"/>
        </w:rPr>
        <w:t>foregoing sentence, on and after the date a Participant receives shares of Company Stock hereunder, the Participant will be subject to the jurisdiction provision set forth in the Company’s bylaws.</w:t>
      </w:r>
    </w:p>
    <w:p>
      <w:pPr>
        <w:spacing w:after="0" w:line="150" w:lineRule="exact"/>
        <w:rPr>
          <w:sz w:val="20"/>
          <w:szCs w:val="20"/>
          <w:color w:val="auto"/>
        </w:rPr>
      </w:pPr>
    </w:p>
    <w:p>
      <w:pPr>
        <w:jc w:val="both"/>
        <w:ind w:firstLine="8"/>
        <w:spacing w:after="0" w:line="225" w:lineRule="auto"/>
        <w:tabs>
          <w:tab w:leader="none" w:pos="64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to the Company provided for in this instrument shall be addressed to the Company in care of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53" w:lineRule="exact"/>
        <w:rPr>
          <w:rFonts w:ascii="Times New Roman" w:cs="Times New Roman" w:eastAsia="Times New Roman" w:hAnsi="Times New Roman"/>
          <w:sz w:val="21"/>
          <w:szCs w:val="21"/>
          <w:color w:val="auto"/>
        </w:rPr>
      </w:pPr>
    </w:p>
    <w:p>
      <w:pPr>
        <w:jc w:val="both"/>
        <w:ind w:firstLine="8"/>
        <w:spacing w:after="0" w:line="215" w:lineRule="auto"/>
        <w:tabs>
          <w:tab w:leader="none" w:pos="6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 The Participant agrees that payment to the Participant shall be made in such manner and on such terms and conditions as may be required by the Committee and the Employer shall be entitled to set off against the amount of any such payment any amounts otherwise owed to the Participant by the Employer, to the extent permitted by applicable law. In addition, the Participant agrees that the Stock Units shall be subject to any applicable clawback or recoupment policies, share trading policies and other policies that may be implemented by the Board or imposed under applicable rule or regulation from time to time.</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 of the Code</w:t>
      </w:r>
      <w:r>
        <w:rPr>
          <w:rFonts w:ascii="Times New Roman" w:cs="Times New Roman" w:eastAsia="Times New Roman" w:hAnsi="Times New Roman"/>
          <w:sz w:val="22"/>
          <w:szCs w:val="22"/>
          <w:color w:val="auto"/>
        </w:rPr>
        <w:t>. 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electronic acceptance, the Participant hereby accepts the award of Stock Units described in this Agreement, and agrees to be bound by the terms of the Plan and this Agreement. The Participant hereby agrees that all decisions and determinations of the Committee with respect to the Stock Units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165154595.2</w:t>
      </w:r>
    </w:p>
    <w:p>
      <w:pPr>
        <w:sectPr>
          <w:pgSz w:w="11900" w:h="16838" w:orient="portrait"/>
          <w:cols w:equalWidth="0" w:num="1">
            <w:col w:w="11240"/>
          </w:cols>
          <w:pgMar w:left="320" w:top="1395" w:right="339"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Units Vesting</w:t>
            </w: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Vesting Date</w:t>
            </w: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165154595.2</w:t>
      </w:r>
    </w:p>
    <w:p>
      <w:pPr>
        <w:sectPr>
          <w:pgSz w:w="11900" w:h="16838" w:orient="portrait"/>
          <w:cols w:equalWidth="0" w:num="1">
            <w:col w:w="11260"/>
          </w:cols>
          <w:pgMar w:left="320" w:top="1413" w:right="31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18942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714057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6</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165154595.2</w:t>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60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633"/>
        </w:trPr>
        <w:tc>
          <w:tcPr>
            <w:tcW w:w="7660" w:type="dxa"/>
            <w:vAlign w:val="bottom"/>
          </w:tcPr>
          <w:p>
            <w:pPr>
              <w:ind w:left="3840"/>
              <w:spacing w:after="0"/>
              <w:rPr>
                <w:sz w:val="20"/>
                <w:szCs w:val="20"/>
                <w:color w:val="auto"/>
              </w:rPr>
            </w:pPr>
            <w:r>
              <w:rPr>
                <w:rFonts w:ascii="Times New Roman" w:cs="Times New Roman" w:eastAsia="Times New Roman" w:hAnsi="Times New Roman"/>
                <w:sz w:val="22"/>
                <w:szCs w:val="22"/>
                <w:b w:val="1"/>
                <w:bCs w:val="1"/>
                <w:color w:val="auto"/>
              </w:rPr>
              <w:t>Subsidiaries of Replimune Group, Inc.</w:t>
            </w:r>
          </w:p>
        </w:tc>
        <w:tc>
          <w:tcPr>
            <w:tcW w:w="3600" w:type="dxa"/>
            <w:vAlign w:val="bottom"/>
          </w:tcPr>
          <w:p>
            <w:pPr>
              <w:spacing w:after="0"/>
              <w:rPr>
                <w:sz w:val="24"/>
                <w:szCs w:val="24"/>
                <w:color w:val="auto"/>
              </w:rPr>
            </w:pPr>
          </w:p>
        </w:tc>
      </w:tr>
      <w:tr>
        <w:trPr>
          <w:trHeight w:val="96"/>
        </w:trPr>
        <w:tc>
          <w:tcPr>
            <w:tcW w:w="7660" w:type="dxa"/>
            <w:vAlign w:val="bottom"/>
            <w:tcBorders>
              <w:bottom w:val="single" w:sz="8" w:color="C0C0C0"/>
            </w:tcBorders>
          </w:tcPr>
          <w:p>
            <w:pPr>
              <w:spacing w:after="0"/>
              <w:rPr>
                <w:sz w:val="8"/>
                <w:szCs w:val="8"/>
                <w:color w:val="auto"/>
              </w:rPr>
            </w:pPr>
          </w:p>
        </w:tc>
        <w:tc>
          <w:tcPr>
            <w:tcW w:w="3600" w:type="dxa"/>
            <w:vAlign w:val="bottom"/>
            <w:tcBorders>
              <w:bottom w:val="single" w:sz="8" w:color="C0C0C0"/>
            </w:tcBorders>
          </w:tcPr>
          <w:p>
            <w:pPr>
              <w:spacing w:after="0"/>
              <w:rPr>
                <w:sz w:val="8"/>
                <w:szCs w:val="8"/>
                <w:color w:val="auto"/>
              </w:rPr>
            </w:pPr>
          </w:p>
        </w:tc>
      </w:tr>
      <w:tr>
        <w:trPr>
          <w:trHeight w:val="250"/>
        </w:trPr>
        <w:tc>
          <w:tcPr>
            <w:tcW w:w="7660" w:type="dxa"/>
            <w:vAlign w:val="bottom"/>
            <w:tcBorders>
              <w:left w:val="single" w:sz="8" w:color="C0C0C0"/>
              <w:bottom w:val="single" w:sz="8" w:color="C0C0C0"/>
              <w:right w:val="single" w:sz="8" w:color="C0C0C0"/>
            </w:tcBorders>
          </w:tcPr>
          <w:p>
            <w:pPr>
              <w:ind w:left="3000"/>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3600" w:type="dxa"/>
            <w:vAlign w:val="bottom"/>
            <w:tcBorders>
              <w:bottom w:val="single" w:sz="8" w:color="C0C0C0"/>
              <w:right w:val="single" w:sz="8" w:color="C0C0C0"/>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r>
      <w:tr>
        <w:trPr>
          <w:trHeight w:val="250"/>
        </w:trPr>
        <w:tc>
          <w:tcPr>
            <w:tcW w:w="7660" w:type="dxa"/>
            <w:vAlign w:val="bottom"/>
            <w:tcBorders>
              <w:left w:val="single" w:sz="8" w:color="C0C0C0"/>
              <w:bottom w:val="single" w:sz="8" w:color="C0C0C0"/>
              <w:right w:val="single" w:sz="8" w:color="C0C0C0"/>
            </w:tcBorders>
          </w:tcPr>
          <w:p>
            <w:pPr>
              <w:ind w:left="80"/>
              <w:spacing w:after="0"/>
              <w:rPr>
                <w:sz w:val="20"/>
                <w:szCs w:val="20"/>
                <w:color w:val="auto"/>
              </w:rPr>
            </w:pPr>
            <w:r>
              <w:rPr>
                <w:rFonts w:ascii="Times New Roman" w:cs="Times New Roman" w:eastAsia="Times New Roman" w:hAnsi="Times New Roman"/>
                <w:sz w:val="20"/>
                <w:szCs w:val="20"/>
                <w:color w:val="auto"/>
              </w:rPr>
              <w:t>Replimune, Inc.</w:t>
            </w:r>
          </w:p>
        </w:tc>
        <w:tc>
          <w:tcPr>
            <w:tcW w:w="3600" w:type="dxa"/>
            <w:vAlign w:val="bottom"/>
            <w:tcBorders>
              <w:bottom w:val="single" w:sz="8" w:color="C0C0C0"/>
              <w:right w:val="single" w:sz="8" w:color="C0C0C0"/>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50"/>
        </w:trPr>
        <w:tc>
          <w:tcPr>
            <w:tcW w:w="7660" w:type="dxa"/>
            <w:vAlign w:val="bottom"/>
            <w:tcBorders>
              <w:left w:val="single" w:sz="8" w:color="C0C0C0"/>
              <w:bottom w:val="single" w:sz="8" w:color="C0C0C0"/>
              <w:right w:val="single" w:sz="8" w:color="C0C0C0"/>
            </w:tcBorders>
          </w:tcPr>
          <w:p>
            <w:pPr>
              <w:ind w:left="80"/>
              <w:spacing w:after="0"/>
              <w:rPr>
                <w:sz w:val="20"/>
                <w:szCs w:val="20"/>
                <w:color w:val="auto"/>
              </w:rPr>
            </w:pPr>
            <w:r>
              <w:rPr>
                <w:rFonts w:ascii="Times New Roman" w:cs="Times New Roman" w:eastAsia="Times New Roman" w:hAnsi="Times New Roman"/>
                <w:sz w:val="20"/>
                <w:szCs w:val="20"/>
                <w:color w:val="auto"/>
              </w:rPr>
              <w:t>Replimune Limited</w:t>
            </w:r>
          </w:p>
        </w:tc>
        <w:tc>
          <w:tcPr>
            <w:tcW w:w="3600" w:type="dxa"/>
            <w:vAlign w:val="bottom"/>
            <w:tcBorders>
              <w:bottom w:val="single" w:sz="8" w:color="C0C0C0"/>
              <w:right w:val="single" w:sz="8" w:color="C0C0C0"/>
            </w:tcBorders>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0"/>
        </w:trPr>
        <w:tc>
          <w:tcPr>
            <w:tcW w:w="7660" w:type="dxa"/>
            <w:vAlign w:val="bottom"/>
            <w:tcBorders>
              <w:left w:val="single" w:sz="8" w:color="C0C0C0"/>
              <w:bottom w:val="single" w:sz="8" w:color="C0C0C0"/>
              <w:right w:val="single" w:sz="8" w:color="C0C0C0"/>
            </w:tcBorders>
          </w:tcPr>
          <w:p>
            <w:pPr>
              <w:ind w:left="80"/>
              <w:spacing w:after="0"/>
              <w:rPr>
                <w:sz w:val="20"/>
                <w:szCs w:val="20"/>
                <w:color w:val="auto"/>
              </w:rPr>
            </w:pPr>
            <w:r>
              <w:rPr>
                <w:rFonts w:ascii="Times New Roman" w:cs="Times New Roman" w:eastAsia="Times New Roman" w:hAnsi="Times New Roman"/>
                <w:sz w:val="20"/>
                <w:szCs w:val="20"/>
                <w:color w:val="auto"/>
              </w:rPr>
              <w:t>Replimune Securities Corporation</w:t>
            </w:r>
          </w:p>
        </w:tc>
        <w:tc>
          <w:tcPr>
            <w:tcW w:w="3600" w:type="dxa"/>
            <w:vAlign w:val="bottom"/>
            <w:tcBorders>
              <w:bottom w:val="single" w:sz="8" w:color="C0C0C0"/>
              <w:right w:val="single" w:sz="8" w:color="C0C0C0"/>
            </w:tcBorders>
          </w:tcPr>
          <w:p>
            <w:pPr>
              <w:jc w:val="center"/>
              <w:spacing w:after="0"/>
              <w:rPr>
                <w:sz w:val="20"/>
                <w:szCs w:val="20"/>
                <w:color w:val="auto"/>
              </w:rPr>
            </w:pPr>
            <w:r>
              <w:rPr>
                <w:rFonts w:ascii="Times New Roman" w:cs="Times New Roman" w:eastAsia="Times New Roman" w:hAnsi="Times New Roman"/>
                <w:sz w:val="20"/>
                <w:szCs w:val="20"/>
                <w:color w:val="auto"/>
                <w:w w:val="98"/>
              </w:rPr>
              <w:t>Massachusetts</w:t>
            </w:r>
          </w:p>
        </w:tc>
      </w:tr>
      <w:tr>
        <w:trPr>
          <w:trHeight w:val="250"/>
        </w:trPr>
        <w:tc>
          <w:tcPr>
            <w:tcW w:w="7660" w:type="dxa"/>
            <w:vAlign w:val="bottom"/>
            <w:tcBorders>
              <w:left w:val="single" w:sz="8" w:color="C0C0C0"/>
              <w:bottom w:val="single" w:sz="8" w:color="C0C0C0"/>
              <w:right w:val="single" w:sz="8" w:color="C0C0C0"/>
            </w:tcBorders>
          </w:tcPr>
          <w:p>
            <w:pPr>
              <w:ind w:left="80"/>
              <w:spacing w:after="0"/>
              <w:rPr>
                <w:sz w:val="20"/>
                <w:szCs w:val="20"/>
                <w:color w:val="auto"/>
              </w:rPr>
            </w:pPr>
            <w:r>
              <w:rPr>
                <w:rFonts w:ascii="Times New Roman" w:cs="Times New Roman" w:eastAsia="Times New Roman" w:hAnsi="Times New Roman"/>
                <w:sz w:val="20"/>
                <w:szCs w:val="20"/>
                <w:color w:val="auto"/>
              </w:rPr>
              <w:t>Replimune (Ireland) Limited</w:t>
            </w:r>
          </w:p>
        </w:tc>
        <w:tc>
          <w:tcPr>
            <w:tcW w:w="3600" w:type="dxa"/>
            <w:vAlign w:val="bottom"/>
            <w:tcBorders>
              <w:bottom w:val="single" w:sz="8" w:color="C0C0C0"/>
              <w:right w:val="single" w:sz="8" w:color="C0C0C0"/>
            </w:tcBorders>
          </w:tcPr>
          <w:p>
            <w:pPr>
              <w:jc w:val="center"/>
              <w:spacing w:after="0"/>
              <w:rPr>
                <w:sz w:val="20"/>
                <w:szCs w:val="20"/>
                <w:color w:val="auto"/>
              </w:rPr>
            </w:pPr>
            <w:r>
              <w:rPr>
                <w:rFonts w:ascii="Times New Roman" w:cs="Times New Roman" w:eastAsia="Times New Roman" w:hAnsi="Times New Roman"/>
                <w:sz w:val="20"/>
                <w:szCs w:val="20"/>
                <w:color w:val="auto"/>
                <w:w w:val="98"/>
              </w:rPr>
              <w:t>Ireland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55029326.1</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Georgia" w:cs="Georgia" w:eastAsia="Georgia" w:hAnsi="Georgia"/>
          <w:sz w:val="20"/>
          <w:szCs w:val="20"/>
          <w:color w:val="auto"/>
        </w:rPr>
        <w:t>CONSENT OF INDEPENDENT REGISTERED PUBLIC ACCOUNTING FIRM</w:t>
      </w:r>
    </w:p>
    <w:p>
      <w:pPr>
        <w:spacing w:after="0" w:line="200" w:lineRule="exact"/>
        <w:rPr>
          <w:sz w:val="20"/>
          <w:szCs w:val="20"/>
          <w:color w:val="auto"/>
        </w:rPr>
      </w:pPr>
    </w:p>
    <w:p>
      <w:pPr>
        <w:spacing w:after="0" w:line="252" w:lineRule="exact"/>
        <w:rPr>
          <w:sz w:val="20"/>
          <w:szCs w:val="20"/>
          <w:color w:val="auto"/>
        </w:rPr>
      </w:pPr>
    </w:p>
    <w:p>
      <w:pPr>
        <w:ind w:right="240"/>
        <w:spacing w:after="0" w:line="245" w:lineRule="auto"/>
        <w:rPr>
          <w:sz w:val="20"/>
          <w:szCs w:val="20"/>
          <w:color w:val="auto"/>
        </w:rPr>
      </w:pPr>
      <w:r>
        <w:rPr>
          <w:rFonts w:ascii="Georgia" w:cs="Georgia" w:eastAsia="Georgia" w:hAnsi="Georgia"/>
          <w:sz w:val="20"/>
          <w:szCs w:val="20"/>
          <w:color w:val="auto"/>
        </w:rPr>
        <w:t>We hereby consent to the incorporation by reference in the Registration Statements on Form S-3 (Nos. 333-281358, 333-287536, and 333-287537) and Form S-8 (Nos. 333-226323, 333-256314 and 333-272031, 333-279442, 333-282682, 333-283344, 333-283990, 333-284353, 333-284870, 333-285824, 333-286784, and 333-287534) of Replimune Group, Inc. of our report dated June 29, 2026 relating to the financial statements, which appears in this Form 10-K.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16" w:lineRule="exact"/>
        <w:rPr>
          <w:sz w:val="20"/>
          <w:szCs w:val="20"/>
          <w:color w:val="auto"/>
        </w:rPr>
      </w:pPr>
    </w:p>
    <w:p>
      <w:pPr>
        <w:spacing w:after="0"/>
        <w:rPr>
          <w:sz w:val="20"/>
          <w:szCs w:val="20"/>
          <w:color w:val="auto"/>
        </w:rPr>
      </w:pPr>
      <w:r>
        <w:rPr>
          <w:rFonts w:ascii="Georgia" w:cs="Georgia" w:eastAsia="Georgia" w:hAnsi="Georgia"/>
          <w:sz w:val="20"/>
          <w:szCs w:val="20"/>
          <w:color w:val="auto"/>
        </w:rPr>
        <w:t>Florham Park, New Jersey</w:t>
      </w:r>
    </w:p>
    <w:p>
      <w:pPr>
        <w:spacing w:after="0" w:line="2" w:lineRule="exact"/>
        <w:rPr>
          <w:sz w:val="20"/>
          <w:szCs w:val="20"/>
          <w:color w:val="auto"/>
        </w:rPr>
      </w:pPr>
    </w:p>
    <w:p>
      <w:pPr>
        <w:spacing w:after="0"/>
        <w:rPr>
          <w:sz w:val="20"/>
          <w:szCs w:val="20"/>
          <w:color w:val="auto"/>
        </w:rPr>
      </w:pPr>
      <w:r>
        <w:rPr>
          <w:rFonts w:ascii="Georgia" w:cs="Georgia" w:eastAsia="Georgia" w:hAnsi="Georgia"/>
          <w:sz w:val="20"/>
          <w:szCs w:val="20"/>
          <w:color w:val="auto"/>
        </w:rPr>
        <w:t>June 29, 2026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440" w:right="339" w:bottom="1440" w:gutter="0" w:footer="0" w:header="0"/>
        </w:sectPr>
      </w:pPr>
    </w:p>
    <w:bookmarkStart w:id="134" w:name="page135"/>
    <w:bookmarkEnd w:id="13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Sushil Patel, certify that:</w:t>
      </w:r>
    </w:p>
    <w:p>
      <w:pPr>
        <w:spacing w:after="0" w:line="158"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Replimune Group, Inc.;</w:t>
      </w:r>
    </w:p>
    <w:p>
      <w:pPr>
        <w:spacing w:after="0" w:line="157" w:lineRule="exact"/>
        <w:rPr>
          <w:rFonts w:ascii="Times New Roman" w:cs="Times New Roman" w:eastAsia="Times New Roman" w:hAnsi="Times New Roman"/>
          <w:sz w:val="18"/>
          <w:szCs w:val="18"/>
          <w:color w:val="auto"/>
        </w:rPr>
      </w:pPr>
    </w:p>
    <w:p>
      <w:pPr>
        <w:ind w:right="260" w:firstLine="8"/>
        <w:spacing w:after="0" w:line="282" w:lineRule="auto"/>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8"/>
          <w:szCs w:val="18"/>
          <w:color w:val="auto"/>
        </w:rPr>
      </w:pPr>
    </w:p>
    <w:p>
      <w:pPr>
        <w:ind w:right="400" w:firstLine="8"/>
        <w:spacing w:after="0" w:line="282" w:lineRule="auto"/>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right="80" w:firstLine="8"/>
        <w:spacing w:after="0" w:line="266" w:lineRule="auto"/>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4"/>
        <w:spacing w:after="0" w:line="266" w:lineRule="auto"/>
        <w:tabs>
          <w:tab w:leader="none" w:pos="9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660" w:right="60" w:hanging="4"/>
        <w:spacing w:after="0" w:line="266" w:lineRule="auto"/>
        <w:tabs>
          <w:tab w:leader="none" w:pos="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660" w:right="580" w:hanging="4"/>
        <w:spacing w:after="0" w:line="282" w:lineRule="auto"/>
        <w:tabs>
          <w:tab w:leader="none" w:pos="9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660" w:right="80" w:hanging="4"/>
        <w:spacing w:after="0" w:line="266" w:lineRule="auto"/>
        <w:tabs>
          <w:tab w:leader="none" w:pos="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right="340" w:firstLine="8"/>
        <w:spacing w:after="0" w:line="282" w:lineRule="auto"/>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500" w:hanging="4"/>
        <w:spacing w:after="0" w:line="282" w:lineRule="auto"/>
        <w:tabs>
          <w:tab w:leader="none" w:pos="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40" w:val="left"/>
          <w:tab w:leader="none" w:pos="58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864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Sushil Patel</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35" w:right="339" w:bottom="1440" w:gutter="0" w:footer="0" w:header="0"/>
        </w:sectPr>
      </w:pPr>
    </w:p>
    <w:bookmarkStart w:id="135" w:name="page136"/>
    <w:bookmarkEnd w:id="13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Emily Hill, certify that:</w:t>
      </w:r>
    </w:p>
    <w:p>
      <w:pPr>
        <w:spacing w:after="0" w:line="158"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Replimune Group, Inc.;</w:t>
      </w:r>
    </w:p>
    <w:p>
      <w:pPr>
        <w:spacing w:after="0" w:line="157" w:lineRule="exact"/>
        <w:rPr>
          <w:rFonts w:ascii="Times New Roman" w:cs="Times New Roman" w:eastAsia="Times New Roman" w:hAnsi="Times New Roman"/>
          <w:sz w:val="18"/>
          <w:szCs w:val="18"/>
          <w:color w:val="auto"/>
        </w:rPr>
      </w:pPr>
    </w:p>
    <w:p>
      <w:pPr>
        <w:ind w:right="260" w:firstLine="8"/>
        <w:spacing w:after="0" w:line="282"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8"/>
          <w:szCs w:val="18"/>
          <w:color w:val="auto"/>
        </w:rPr>
      </w:pPr>
    </w:p>
    <w:p>
      <w:pPr>
        <w:ind w:right="400" w:firstLine="8"/>
        <w:spacing w:after="0" w:line="282"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right="80" w:firstLine="8"/>
        <w:spacing w:after="0" w:line="266"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4"/>
        <w:spacing w:after="0" w:line="266" w:lineRule="auto"/>
        <w:tabs>
          <w:tab w:leader="none" w:pos="9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660" w:right="60" w:hanging="4"/>
        <w:spacing w:after="0" w:line="266" w:lineRule="auto"/>
        <w:tabs>
          <w:tab w:leader="none" w:pos="9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660" w:right="580" w:hanging="4"/>
        <w:spacing w:after="0" w:line="282" w:lineRule="auto"/>
        <w:tabs>
          <w:tab w:leader="none" w:pos="9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660" w:right="80" w:hanging="4"/>
        <w:spacing w:after="0" w:line="266" w:lineRule="auto"/>
        <w:tabs>
          <w:tab w:leader="none" w:pos="9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right="340" w:firstLine="8"/>
        <w:spacing w:after="0" w:line="282"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500" w:hanging="4"/>
        <w:spacing w:after="0" w:line="282" w:lineRule="auto"/>
        <w:tabs>
          <w:tab w:leader="none" w:pos="9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40" w:val="left"/>
          <w:tab w:leader="none" w:pos="58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Emily Hill</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3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Replimune Group, Inc. (the "Company") for the fiscal year ended March 31, 2026, as filed with the Securities and Exchange Commission on the date hereof (the "Report"), the undersigned, Sushil Patel, Chief Executive Officer of the Company, hereby certifies, pursuant to 18 U.S.C. Section 1350, as adopted pursuant to Section 906 of the Sarbanes-Oxley Act of 2002, that to the best of his knowledge:</w:t>
      </w:r>
    </w:p>
    <w:p>
      <w:pPr>
        <w:spacing w:after="0" w:line="108"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5340" w:val="left"/>
          <w:tab w:leader="none" w:pos="58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Sushil Patel</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3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Replimune Group, Inc. (the "Company") for the fiscal year ended March 31, 2026, as filed with the Securities and Exchange Commission on the date hereof (the "Report"), the undersigned, Emily Hill, Chief Financial Officer of the Company, hereby certifies, pursuant to 18 U.S.C. Section 1350, as adopted pursuant to Section 906 of the Sarbanes-Oxley Act of 2002, that to the best of her knowledge:</w:t>
      </w:r>
    </w:p>
    <w:p>
      <w:pPr>
        <w:spacing w:after="0" w:line="108"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5340" w:val="left"/>
          <w:tab w:leader="none" w:pos="58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Emily Hill</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35"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PURPOSE AND GENERAL TERMS</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u w:val="single" w:color="auto"/>
          <w:color w:val="auto"/>
        </w:rPr>
        <w:t>Purpose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61"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Replimune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Compensation Recoupment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to implement a mandatory clawback policy in the event of a Restatement in compliance with the applicable rules of the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xml:space="preserve">”), which is set forth in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of this Policy.</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capitalized terms used but not immediately defined in this Policy have the meanings set forth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Article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4"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be administered in the sole discretion of the Committee. The Committee shall have the discretion to interpret the Policy and make all determinations with respect to this Policy, consistent with applicable law and this Policy. Without limiting the foregoing, Article II of this Policy shall be interpreted in a manner that is consistent with the requirements of the Applicable Rules, and compliance with this Policy shall not be waived by the Committee, the Board or the Company in any respect.</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interpretations and determinations made by the Committee shall be final and binding on all affected individuals.</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u w:val="single" w:color="auto"/>
          <w:color w:val="auto"/>
        </w:rPr>
        <w:t>Effective Date; Term</w:t>
      </w:r>
      <w:r>
        <w:rPr>
          <w:rFonts w:ascii="Times New Roman" w:cs="Times New Roman" w:eastAsia="Times New Roman" w:hAnsi="Times New Roman"/>
          <w:sz w:val="20"/>
          <w:szCs w:val="20"/>
          <w:color w:val="auto"/>
        </w:rPr>
        <w:t>. This Policy is effective as of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Policy applies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Incentive-Based Compensation that is Received by any Executive Officer on or after the Effective Date as described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below.</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this Policy from time to time in its discretion, subject to any limitations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applicable law or listing standards, including, in the case of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the Applicable Rules. Without limiting the forgoing, the Committee may amend this Policy as it deems necessary to reflect any amendment of the Applicable Rules or regulations or guidance issued under the Applicable Rules.</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u w:val="single" w:color="auto"/>
          <w:color w:val="auto"/>
        </w:rPr>
        <w:t>No Substitution of Rights; Non-Exhaustive Rights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3"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of recoupment under this Policy is in addition to, and not in lieu of, any other remedies or rights that may be available to the Company pursuant to (a) the Company’s equity incentive plans, including the Company’s 2017 Equity Compensation Plan, the Company’s 2018 Omnibus Incentive Compensation Plan and the Company’s Employee Stock Purchase Plan or any successor plan thereto, or any other incentive plan of the Company or any of its subsidiaries, (b) the terms of any recoupment policy or provision in any employment agreement, compensation agreement or arrangement, or other agreement, or (c) any other legal remedies available to the Company under applicable law.</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recovery of compensation as provided for in this Policy, the Company may take any and all other actions as it deems necessary, appropriate and in the Company’s best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502027227.2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Adopted Nov. 20, 2023</w:t>
      </w:r>
    </w:p>
    <w:p>
      <w:pPr>
        <w:sectPr>
          <w:pgSz w:w="11900" w:h="16838" w:orient="portrait"/>
          <w:cols w:equalWidth="0" w:num="1">
            <w:col w:w="11240"/>
          </w:cols>
          <w:pgMar w:left="320" w:top="1409" w:right="339" w:bottom="1440" w:gutter="0" w:footer="0" w:header="0"/>
        </w:sectPr>
      </w:pPr>
    </w:p>
    <w:bookmarkStart w:id="139" w:name="page140"/>
    <w:bookmarkEnd w:id="139"/>
    <w:p>
      <w:pPr>
        <w:jc w:val="both"/>
        <w:spacing w:after="0" w:line="283" w:lineRule="auto"/>
        <w:rPr>
          <w:sz w:val="20"/>
          <w:szCs w:val="20"/>
          <w:color w:val="auto"/>
        </w:rPr>
      </w:pPr>
      <w:r>
        <w:rPr>
          <w:rFonts w:ascii="Times New Roman" w:cs="Times New Roman" w:eastAsia="Times New Roman" w:hAnsi="Times New Roman"/>
          <w:sz w:val="20"/>
          <w:szCs w:val="20"/>
          <w:color w:val="auto"/>
        </w:rPr>
        <w:t>connection with the Committee determining that this Policy should apply, including termination of the employment of, or initiating legal action against, an Executive Officer, and nothing in this Policy limits the Company’s rights to take any such appropriate actions.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Policy and all determinations made and actions taken pursuant hereto, to the extent not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by mandatory provisions of the Applicable Rules, shall be governed by and construed in accordance with the laws of the State of Delaware without regard to choice of law principles. If any provision of this Policy shall be held illegal or invalid for any reason, such illegality or invalidity shall not affect the remaining parts of this Policy, but this Policy shall be construed and enforced as if the illegal or invalid provision had never been included in this Policy.</w:t>
      </w:r>
    </w:p>
    <w:p>
      <w:pPr>
        <w:spacing w:after="0" w:line="1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capitalized terms used in this Policy have the following meanings:</w:t>
      </w:r>
    </w:p>
    <w:p>
      <w:pPr>
        <w:spacing w:after="0" w:line="229"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Rules</w:t>
      </w:r>
      <w:r>
        <w:rPr>
          <w:rFonts w:ascii="Times New Roman" w:cs="Times New Roman" w:eastAsia="Times New Roman" w:hAnsi="Times New Roman"/>
          <w:sz w:val="20"/>
          <w:szCs w:val="20"/>
          <w:color w:val="auto"/>
        </w:rPr>
        <w:t>” means Section 10D of the Exchange Act and Rule 10D-1 promulgated thereunder and Listing Rule 5608 of the Listing Rules of Nasdaq.</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Compensation Committee of the Board, or, in the absence of such committee, a majority of independent directors serving on the Board.</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means each officer of the Company who is identified as an executive officer for the purposes of 17 CFR</w:t>
      </w:r>
    </w:p>
    <w:p>
      <w:pPr>
        <w:spacing w:after="0" w:line="44" w:lineRule="exact"/>
        <w:rPr>
          <w:sz w:val="20"/>
          <w:szCs w:val="20"/>
          <w:color w:val="auto"/>
        </w:rPr>
      </w:pPr>
    </w:p>
    <w:p>
      <w:pPr>
        <w:jc w:val="both"/>
        <w:ind w:firstLine="8"/>
        <w:spacing w:after="0" w:line="253" w:lineRule="auto"/>
        <w:tabs>
          <w:tab w:leader="none" w:pos="17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229.401(b), which is defined as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w:t>
      </w:r>
    </w:p>
    <w:p>
      <w:pPr>
        <w:spacing w:after="0" w:line="17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 as determined to be subject to repayment pursuant to this Policy.</w:t>
      </w:r>
    </w:p>
    <w:p>
      <w:pPr>
        <w:spacing w:after="0" w:line="187"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502027227.2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Adopted Nov. 20, 2023</w:t>
      </w:r>
    </w:p>
    <w:p>
      <w:pPr>
        <w:sectPr>
          <w:pgSz w:w="11900" w:h="16838" w:orient="portrait"/>
          <w:cols w:equalWidth="0" w:num="1">
            <w:col w:w="11240"/>
          </w:cols>
          <w:pgMar w:left="320" w:top="1413" w:right="339" w:bottom="1440" w:gutter="0" w:footer="0" w:header="0"/>
        </w:sectPr>
      </w:pPr>
    </w:p>
    <w:bookmarkStart w:id="140" w:name="page141"/>
    <w:bookmarkEnd w:id="140"/>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Recovery Period</w:t>
      </w:r>
      <w:r>
        <w:rPr>
          <w:rFonts w:ascii="Times New Roman" w:cs="Times New Roman" w:eastAsia="Times New Roman" w:hAnsi="Times New Roman"/>
          <w:sz w:val="20"/>
          <w:szCs w:val="20"/>
          <w:color w:val="auto"/>
        </w:rPr>
        <w:t>” means the three completed fiscal years immediately preceding the date on which the Company is required to prepare a Restatement, which date is the earlier of (i) the date the Board,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Regulators</w:t>
      </w:r>
      <w:r>
        <w:rPr>
          <w:rFonts w:ascii="Times New Roman" w:cs="Times New Roman" w:eastAsia="Times New Roman" w:hAnsi="Times New Roman"/>
          <w:sz w:val="20"/>
          <w:szCs w:val="20"/>
          <w:color w:val="auto"/>
        </w:rPr>
        <w:t>” means, as applicable, the Securities and Exchange Commission and Nasdaq.</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that the Company is required to prepare an accounting restatement due to a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would result in a material misstatement if the error were corrected in the current period or left uncorrected in the current period.</w:t>
      </w:r>
    </w:p>
    <w:p>
      <w:pPr>
        <w:spacing w:after="0" w:line="1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b w:val="1"/>
          <w:bCs w:val="1"/>
          <w:color w:val="auto"/>
        </w:rPr>
        <w:t>DODD-FRANK RECOUPMENT POLICY FOR EXECUTIVE OFFICERS</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u w:val="single" w:color="auto"/>
          <w:color w:val="auto"/>
        </w:rPr>
        <w:t>Recovery on a Restatement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1"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is required to prepare a Restatement, the Company shall reasonably promptly recover from an Executive Officer the amount of any erroneously awarded Incentive-Based Compensation that is Received by such Executive Officer during the Recovery Period. The amount of erroneously Received Incentive-Based Compensation will be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Recovery of any erroneously awarded compensation under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is not dependent on fraud or misconduct by any Executive Officer in connection with a Restatement.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for Incentive-Based Compensation based on the Company’s stock price or total shareholder return, where the amount of erroneously awarded compensation is not subject to mathematical recalculation directly from the information in the Restatement, (i) the amount shall be based on the Company’s reasonable estimate of the effect of the Restatement on the stock price or total shareholder return upon which the Incentive-Based Compensation was Received, and (ii) the Company shall maintain documentation of the determination of that reasonable estimate and provide such estimate to Nasdaq as required by the Applicable Rules.</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u w:val="single" w:color="auto"/>
          <w:color w:val="auto"/>
        </w:rPr>
        <w:t>Covered Executive Officers and Covered Incentive-Based Compensation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4"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covers all persons who are Executive Officers at any time during the Recovery Period for which Incentive-Based Compensation is Received or during the performance period applicable to such Incentive-Based Compensation. Incentive-Based Compensation shall not be recovered under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to the extent Received by any person before the date the person served as an Executive Officer. Subsequent changes in an Executive Officer’s employment status, including retirement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502027227.2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Adopted Nov. 20, 2023</w:t>
      </w:r>
    </w:p>
    <w:p>
      <w:pPr>
        <w:sectPr>
          <w:pgSz w:w="11900" w:h="16838" w:orient="portrait"/>
          <w:cols w:equalWidth="0" w:num="1">
            <w:col w:w="11240"/>
          </w:cols>
          <w:pgMar w:left="320" w:top="140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 xml:space="preserve">or termination of employment, do not affect the Company’s right to recover Incentive-Based Compensation pursuant to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3"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of this Policy shall apply to Incentive-Based Compensation that is Received by any Executive Officer on or after the Effective Date and that results from attainment of a Financial Reporting Measure based on or derived from financial information for any fiscal period ending on or after the Effective Date. For the avoidance of doubt, this will include Incentive-Based Compensation that may have been approved, awarded, or granted to an Executive Officer on or before the Effective Date if such Incentive-Based Compensation is Received on or after the Effective Date.</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u w:val="single" w:color="auto"/>
          <w:color w:val="auto"/>
        </w:rPr>
        <w:t>Methods of Recovery; Limited Exceptions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61" w:lineRule="auto"/>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Committee shall determine, in its sole discretion, the method of recovering any Incentive-Based Compensation Received pursuant to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consistent with applicable law, which may include, without limitation, the methods of recovery described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recovery shall be required if any of the following conditions are met and the Committee determines that, on such basis, recovery would be impracticable:</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2"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direct expense paid to a third party to assist in enforcing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would exceed the amount to be recovered; provided that prior to making a determination that it would be impracticable to recover any Incentive-Based Compensation based on the expense of enforcement, the Company shall (x) have made a reasonable attempt to recover the Incentive-Based Compensation, (y) have documented such reasonable attempts to recover, and (z) provide the documentation to Nasdaq;</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recovery would violate home country law where that law was adopted prior to November 28, 2022;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making a determination that it would be impracticable to recover any Incentive-Based Compensation based on a violation of home country law, the Company shall (x) have obtained an opinion of home country counsel, acceptable to Nasdaq, that recovery would result in such violation, and (y) provide a copy of such opinion to Nasdaq; or</w:t>
      </w:r>
    </w:p>
    <w:p>
      <w:pPr>
        <w:spacing w:after="0" w:line="187"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4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to fail to meet the requirements of Section 401(a)(13) or Section 411(a)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and U.S. Treasury regulations promulgated thereunder.</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u w:val="single" w:color="auto"/>
          <w:color w:val="auto"/>
        </w:rPr>
        <w:t>Reporting; Disclosure; Monitoring</w:t>
      </w:r>
      <w:r>
        <w:rPr>
          <w:rFonts w:ascii="Times New Roman" w:cs="Times New Roman" w:eastAsia="Times New Roman" w:hAnsi="Times New Roman"/>
          <w:sz w:val="20"/>
          <w:szCs w:val="20"/>
          <w:color w:val="auto"/>
        </w:rPr>
        <w:t>. The Company shall make all required disclosures and filings with the Regulators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this Policy in accordance with the requirements of the Applicable Rules, and any other requirements applicable to the Company, including the disclosures required in connection with SEC filings.</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METHODS OF RECOVERY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u w:val="single" w:color="auto"/>
          <w:color w:val="auto"/>
        </w:rPr>
        <w:t>Methods of Recovery</w:t>
      </w:r>
      <w:r>
        <w:rPr>
          <w:rFonts w:ascii="Times New Roman" w:cs="Times New Roman" w:eastAsia="Times New Roman" w:hAnsi="Times New Roman"/>
          <w:sz w:val="20"/>
          <w:szCs w:val="20"/>
          <w:color w:val="auto"/>
        </w:rPr>
        <w:t>. Subject to the limited exceptions set forth in Section [4] of Article II, in the event that the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determines that this Policy should apply, to the extent permitted by applicable law, the Company shall, as determined by the Committee in its sole discretion, take any such actions as it deems necessary or appropriate to recover Incentive-Based Compensation. The actions may include, without limitation (and as applicable):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502027227.2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Adopted Nov. 20, 2023</w:t>
      </w:r>
    </w:p>
    <w:p>
      <w:pPr>
        <w:sectPr>
          <w:pgSz w:w="11900" w:h="16838" w:orient="portrait"/>
          <w:cols w:equalWidth="0" w:num="1">
            <w:col w:w="11240"/>
          </w:cols>
          <w:pgMar w:left="320" w:top="1413" w:right="339" w:bottom="1440" w:gutter="0" w:footer="0" w:header="0"/>
        </w:sectPr>
      </w:pPr>
    </w:p>
    <w:bookmarkStart w:id="142" w:name="page143"/>
    <w:bookmarkEnd w:id="142"/>
    <w:p>
      <w:pPr>
        <w:ind w:firstLine="656"/>
        <w:spacing w:after="0" w:line="283" w:lineRule="auto"/>
        <w:tabs>
          <w:tab w:leader="none" w:pos="12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forfeit, reduce or cancel any Incentive-Based Compensation (whether vested or unvested) that has not been distributed or otherwise settled;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recovery of any Incentive-Based Compensation that was previously paid to the Executive Officer;</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recovery of any amounts realized on the vesting, exercise, settlement, sale, transfer, or other disposition of any Incentive-Based Compensation;</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 any amount in respect of Incentive-Based Compensation that was contributed or deferred to a plan that takes into account Incentive-Based Compensation (excluding certain tax-qualified plans, but including deferred compensation plans, and supplemental executive retirement plans, and insurance plans to the extent otherwise permitted by applicable law, including Section 409A of the Code) and any earnings accrued on such Incentive-Based Compensation;</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required by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determine whether Incentive-Based Compensation should be recouped on a pre-tax or after-tax basis;</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 withhold, eliminate or cause to be forfeited any amount that could be paid or awarded to the Executive Officer after the date of determination;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remedial and recovery action permitted by law, as determined by the Committee.</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 the Committee may authorize legal action for breach of fiduciary duty or other violation of law and take such other actions to enforce the obligations of the Executive Officer to the Company as the Committee deems appropriate, or (ii) in the event that an Executive Officer fails to repay or reimburse erroneously awarded compensation that is subject to recovery, the Committee may require an Executive Officer to reimburse the Company for any and all expenses reasonably incurred (including legal fees) by the Company in recovering erroneously awarded compensation under this Policy.</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Before the Company takes action to seek recovery of compensation pursuant to this Policy against an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Officer the Company shall take commercially reasonable steps to provide such individual with advance written notice of such clawback;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notice requirement shall not in any way delay the reasonably prompt recovery of any erroneously awarded Incentive-Based Compensation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u w:val="single" w:color="auto"/>
          <w:color w:val="auto"/>
        </w:rPr>
        <w:t>No Indemnification</w:t>
      </w:r>
      <w:r>
        <w:rPr>
          <w:rFonts w:ascii="Times New Roman" w:cs="Times New Roman" w:eastAsia="Times New Roman" w:hAnsi="Times New Roman"/>
          <w:sz w:val="20"/>
          <w:szCs w:val="20"/>
          <w:color w:val="auto"/>
        </w:rPr>
        <w:t>. The Company shall not indemnify any current or former Executive Officer against the loss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erroneously awarded compensation, and shall not pay or reimburse any such person for premiums incurred or paid for any insurance policy to fund such person’s potential recovery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EU1/ 502027227.2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Adopted Nov. 20,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lowerLetter"/>
      <w:start w:val="25"/>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lowerLetter"/>
      <w:start w:val="25"/>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lowerRoman"/>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decimal"/>
      <w:start w:val="2"/>
    </w:lvl>
  </w:abstractNum>
  <w:abstractNum w:abstractNumId="45">
    <w:nsid w:val="10233C99"/>
    <w:multiLevelType w:val="hybridMultilevel"/>
    <w:lvl w:ilvl="0">
      <w:lvlJc w:val="left"/>
      <w:lvlText w:val="%1."/>
      <w:numFmt w:val="decimal"/>
      <w:start w:val="3"/>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2"/>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3"/>
    </w:lvl>
  </w:abstractNum>
  <w:abstractNum w:abstractNumId="50">
    <w:nsid w:val="579BE4F1"/>
    <w:multiLevelType w:val="hybridMultilevel"/>
    <w:lvl w:ilvl="0">
      <w:lvlJc w:val="left"/>
      <w:lvlText w:val="%1."/>
      <w:numFmt w:val="decimal"/>
      <w:start w:val="4"/>
    </w:lvl>
  </w:abstractNum>
  <w:abstractNum w:abstractNumId="51">
    <w:nsid w:val="310C50B3"/>
    <w:multiLevelType w:val="hybridMultilevel"/>
    <w:lvl w:ilvl="0">
      <w:lvlJc w:val="left"/>
      <w:lvlText w:val="%1."/>
      <w:numFmt w:val="decimal"/>
      <w:start w:val="8"/>
    </w:lvl>
  </w:abstractNum>
  <w:abstractNum w:abstractNumId="52">
    <w:nsid w:val="5FF87E05"/>
    <w:multiLevelType w:val="hybridMultilevel"/>
    <w:lvl w:ilvl="0">
      <w:lvlJc w:val="left"/>
      <w:lvlText w:val="\emdash "/>
      <w:numFmt w:val="bullet"/>
      <w:start w:val="1"/>
    </w:lvl>
  </w:abstractNum>
  <w:abstractNum w:abstractNumId="53">
    <w:nsid w:val="2F305DEF"/>
    <w:multiLevelType w:val="hybridMultilevel"/>
    <w:lvl w:ilvl="0">
      <w:lvlJc w:val="left"/>
      <w:lvlText w:val="(%1)"/>
      <w:numFmt w:val="lowerLetter"/>
      <w:start w:val="25"/>
    </w:lvl>
  </w:abstractNum>
  <w:abstractNum w:abstractNumId="54">
    <w:nsid w:val="25A70BF7"/>
    <w:multiLevelType w:val="hybridMultilevel"/>
    <w:lvl w:ilvl="0">
      <w:lvlJc w:val="left"/>
      <w:lvlText w:val="%1."/>
      <w:numFmt w:val="decimal"/>
      <w:start w:val="17"/>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1."/>
      <w:numFmt w:val="decimal"/>
      <w:start w:val="1"/>
    </w:lvl>
    <w:lvl w:ilvl="1">
      <w:lvlJc w:val="left"/>
      <w:lvlText w:val="(%2)"/>
      <w:numFmt w:val="lowerLetter"/>
      <w:start w:val="1"/>
    </w:lvl>
  </w:abstractNum>
  <w:abstractNum w:abstractNumId="58">
    <w:nsid w:val="1381823A"/>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59">
    <w:nsid w:val="5DB70AE5"/>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abstractNum>
  <w:abstractNum w:abstractNumId="60">
    <w:nsid w:val="100F8FCA"/>
    <w:multiLevelType w:val="hybridMultilevel"/>
    <w:lvl w:ilvl="0">
      <w:lvlJc w:val="left"/>
      <w:lvlText w:val="%1"/>
      <w:numFmt w:val="decimal"/>
      <w:start w:val="1"/>
    </w:lvl>
    <w:lvl w:ilvl="1">
      <w:lvlJc w:val="left"/>
      <w:lvlText w:val="(%2)"/>
      <w:numFmt w:val="lowerLetter"/>
      <w:start w:val="3"/>
    </w:lvl>
  </w:abstractNum>
  <w:abstractNum w:abstractNumId="61">
    <w:nsid w:val="6590700B"/>
    <w:multiLevelType w:val="hybridMultilevel"/>
    <w:lvl w:ilvl="0">
      <w:lvlJc w:val="left"/>
      <w:lvlText w:val="%1."/>
      <w:numFmt w:val="decimal"/>
      <w:start w:val="6"/>
    </w:lvl>
    <w:lvl w:ilvl="1">
      <w:lvlJc w:val="left"/>
      <w:lvlText w:val="%2"/>
      <w:numFmt w:val="lowerLetter"/>
      <w:start w:val="1"/>
    </w:lvl>
  </w:abstractNum>
  <w:abstractNum w:abstractNumId="62">
    <w:nsid w:val="15014ACB"/>
    <w:multiLevelType w:val="hybridMultilevel"/>
    <w:lvl w:ilvl="0">
      <w:lvlJc w:val="left"/>
      <w:lvlText w:val="%1."/>
      <w:numFmt w:val="decimal"/>
      <w:start w:val="11"/>
    </w:lvl>
    <w:lvl w:ilvl="1">
      <w:lvlJc w:val="left"/>
      <w:lvlText w:val="%2."/>
      <w:numFmt w:val="decimal"/>
      <w:start w:val="14"/>
    </w:lvl>
  </w:abstractNum>
  <w:abstractNum w:abstractNumId="63">
    <w:nsid w:val="5F5E7FD0"/>
    <w:multiLevelType w:val="hybridMultilevel"/>
    <w:lvl w:ilvl="0">
      <w:lvlJc w:val="left"/>
      <w:lvlText w:val="%1."/>
      <w:numFmt w:val="decimal"/>
      <w:start w:val="1"/>
    </w:lvl>
    <w:lvl w:ilvl="1">
      <w:lvlJc w:val="left"/>
      <w:lvlText w:val="(%2)"/>
      <w:numFmt w:val="lowerLetter"/>
      <w:start w:val="1"/>
    </w:lvl>
  </w:abstractNum>
  <w:abstractNum w:abstractNumId="64">
    <w:nsid w:val="98A3148"/>
    <w:multiLevelType w:val="hybridMultilevel"/>
    <w:lvl w:ilvl="0">
      <w:lvlJc w:val="left"/>
      <w:lvlText w:val="%1."/>
      <w:numFmt w:val="decimal"/>
      <w:start w:val="1"/>
    </w:lvl>
    <w:lvl w:ilvl="1">
      <w:lvlJc w:val="left"/>
      <w:lvlText w:val="(%2)"/>
      <w:numFmt w:val="lowerLetter"/>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2"/>
    </w:lvl>
  </w:abstractNum>
  <w:abstractNum w:abstractNumId="74">
    <w:nsid w:val="51D9C564"/>
    <w:multiLevelType w:val="hybridMultilevel"/>
    <w:lvl w:ilvl="0">
      <w:lvlJc w:val="left"/>
      <w:lvlText w:val="(%1)"/>
      <w:numFmt w:val="lowerLetter"/>
      <w:start w:val="1"/>
    </w:lvl>
    <w:lvl w:ilvl="1">
      <w:lvlJc w:val="left"/>
      <w:lvlText w:val="(%2)"/>
      <w:numFmt w:val="lowerRoman"/>
      <w:start w:val="1"/>
    </w:lvl>
  </w:abstractNum>
  <w:abstractNum w:abstractNumId="75">
    <w:nsid w:val="613EFD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10" Type="http://schemas.openxmlformats.org/officeDocument/2006/relationships/hyperlink" Target="https://www.sec.gov/Archives/edgar/data/0001737953/000104746920003318/a2241747zex-3_1.htm" TargetMode="External"/><Relationship Id="rId211" Type="http://schemas.openxmlformats.org/officeDocument/2006/relationships/hyperlink" Target="https://www.sec.gov/Archives/edgar/data/0001737953/000110465918046742/a18-17646_2ex3d2.htm#Exhibit3_4_073014" TargetMode="External"/><Relationship Id="rId212" Type="http://schemas.openxmlformats.org/officeDocument/2006/relationships/hyperlink" Target="https://www.sec.gov/Archives/edgar/data/0001737953/000104746918004923/a2236169zex-4_1.htm" TargetMode="External"/><Relationship Id="rId213" Type="http://schemas.openxmlformats.org/officeDocument/2006/relationships/hyperlink" Target="https://www.sec.gov/Archives/edgar/data/0001737953/000104746918004714/a2236084zex-4_2.htm" TargetMode="External"/><Relationship Id="rId214" Type="http://schemas.openxmlformats.org/officeDocument/2006/relationships/hyperlink" Target="https://www.sec.gov/Archives/edgar/data/0001737953/000110465919064897/a19-23017_1ex4d1.htm#Exhibit4_1_095508" TargetMode="External"/><Relationship Id="rId215" Type="http://schemas.openxmlformats.org/officeDocument/2006/relationships/hyperlink" Target="https://www.sec.gov/Archives/edgar/data/0001737953/000110465920072032/tm2022258d1_ex4-1.htm" TargetMode="External"/><Relationship Id="rId216" Type="http://schemas.openxmlformats.org/officeDocument/2006/relationships/hyperlink" Target="https://www.sec.gov/Archives/edgar/data/1737953/000110465922126323/tm2232427d1_ex4-1.htm" TargetMode="External"/><Relationship Id="rId217" Type="http://schemas.openxmlformats.org/officeDocument/2006/relationships/hyperlink" Target="https://www.sec.gov/Archives/edgar/data/1737953/000110465924071078/tm2417173d1_ex4-1.htm" TargetMode="External"/><Relationship Id="rId218" Type="http://schemas.openxmlformats.org/officeDocument/2006/relationships/hyperlink" Target="https://www.sec.gov/Archives/edgar/data/1737953/000110465924125370/tm2430122d1_ex4-1.htm" TargetMode="External"/><Relationship Id="rId219" Type="http://schemas.openxmlformats.org/officeDocument/2006/relationships/hyperlink" Target="https://www.sec.gov/Archives/edgar/data/1737953/000110465923087074/tm2317745d2_ex4-7.htm" TargetMode="External"/><Relationship Id="rId220" Type="http://schemas.openxmlformats.org/officeDocument/2006/relationships/hyperlink" Target="https://www.sec.gov/Archives/edgar/data/0001737953/000104746918004923/a2236169zex-10_1.htm" TargetMode="External"/><Relationship Id="rId221" Type="http://schemas.openxmlformats.org/officeDocument/2006/relationships/hyperlink" Target="https://www.sec.gov/Archives/edgar/data/0001737953/000104746918004764/a2236131zex-10_2.htm" TargetMode="External"/><Relationship Id="rId222" Type="http://schemas.openxmlformats.org/officeDocument/2006/relationships/hyperlink" Target="https://www.sec.gov/Archives/edgar/data/1737953/000173795322000010/replimunegroupinc-2018omni.htm" TargetMode="External"/><Relationship Id="rId223" Type="http://schemas.openxmlformats.org/officeDocument/2006/relationships/hyperlink" Target="https://www.sec.gov/Archives/edgar/data/1737953/000173795324000008/usreplperformancestockunit.htm" TargetMode="External"/><Relationship Id="rId224" Type="http://schemas.openxmlformats.org/officeDocument/2006/relationships/hyperlink" Target="https://www.sec.gov/Archives/edgar/data/1737953/000173795324000008/ukreplperformancestockunit.htm" TargetMode="External"/><Relationship Id="rId225" Type="http://schemas.openxmlformats.org/officeDocument/2006/relationships/hyperlink" Target="https://www.sec.gov/Archives/edgar/data/1737953/000173795324000008/repl_usnqsoinducementgrant.htm" TargetMode="External"/><Relationship Id="rId226" Type="http://schemas.openxmlformats.org/officeDocument/2006/relationships/hyperlink" Target="https://www.sec.gov/Archives/edgar/data/1737953/000173795324000008/replimunegroupinc-induceme.htm" TargetMode="External"/><Relationship Id="rId227" Type="http://schemas.openxmlformats.org/officeDocument/2006/relationships/hyperlink" Target="https://www.sec.gov/Archives/edgar/data/0001737953/000104746918004923/a2236169zex-10_4.htm" TargetMode="External"/><Relationship Id="rId228" Type="http://schemas.openxmlformats.org/officeDocument/2006/relationships/hyperlink" Target="https://www.sec.gov/Archives/edgar/data/0001737953/000104746918004714/a2236084zex-10_8.htm" TargetMode="External"/><Relationship Id="rId229" Type="http://schemas.openxmlformats.org/officeDocument/2006/relationships/hyperlink" Target="https://www.sec.gov/Archives/edgar/data/0001737953/000104746918004714/a2236084zex-10_9.htm" TargetMode="External"/><Relationship Id="rId230" Type="http://schemas.openxmlformats.org/officeDocument/2006/relationships/hyperlink" Target="https://www.sec.gov/Archives/edgar/data/0001737953/000110465920091744/tm2024833d1_ex10-3.htm" TargetMode="External"/><Relationship Id="rId231" Type="http://schemas.openxmlformats.org/officeDocument/2006/relationships/hyperlink" Target="https://www.sec.gov/Archives/edgar/data/0001737953/000104746918004923/a2236169zex-10_12.htm" TargetMode="External"/><Relationship Id="rId235" Type="http://schemas.openxmlformats.org/officeDocument/2006/relationships/hyperlink" Target="https://www.sec.gov/Archives/edgar/data/0001737953/000104746918005058/a2236252zex-10_13.htm" TargetMode="External"/><Relationship Id="rId236" Type="http://schemas.openxmlformats.org/officeDocument/2006/relationships/hyperlink" Target="https://www.sec.gov/Archives/edgar/data/0001737953/000104746918004714/a2236084zex-10_12.htm" TargetMode="External"/><Relationship Id="rId237" Type="http://schemas.openxmlformats.org/officeDocument/2006/relationships/hyperlink" Target="https://www.sec.gov/Archives/edgar/data/0001737953/000110465919035382/a19-11482_1ex10d1.htm#Exhibit10_1_044127" TargetMode="External"/><Relationship Id="rId238" Type="http://schemas.openxmlformats.org/officeDocument/2006/relationships/hyperlink" Target="https://www.sec.gov/Archives/edgar/data/0001737953/000104746920003318/a2241747zex-10_22.htm" TargetMode="External"/><Relationship Id="rId239" Type="http://schemas.openxmlformats.org/officeDocument/2006/relationships/hyperlink" Target="https://www.sec.gov/Archives/edgar/data/0001737953/000173795322000005/replimunelimited_miltonp.htm" TargetMode="External"/><Relationship Id="rId240" Type="http://schemas.openxmlformats.org/officeDocument/2006/relationships/hyperlink" Target="https://www.sec.gov/Archives/edgar/data/1737953/000173795323000009/lease-68ghinnovationdrivem.htm" TargetMode="External"/><Relationship Id="rId241" Type="http://schemas.openxmlformats.org/officeDocument/2006/relationships/hyperlink" Target="https://www.sec.gov/Archives/edgar/data/1737953/000173795324000004/replimune-lsaamendmentno2e.htm" TargetMode="External"/><Relationship Id="rId242" Type="http://schemas.openxmlformats.org/officeDocument/2006/relationships/hyperlink" Target="https://www.sec.gov/Archives/edgar/data/1737953/000162828026004805/replimune-lsaamendmentno3e.htm" TargetMode="External"/><Relationship Id="rId243" Type="http://schemas.openxmlformats.org/officeDocument/2006/relationships/hyperlink" Target="https://www.sec.gov/Archives/edgar/data/1737953/000173795323000005/replimune-konstantinosxyno.htm" TargetMode="External"/><Relationship Id="rId244" Type="http://schemas.openxmlformats.org/officeDocument/2006/relationships/hyperlink" Target="https://www.sec.gov/Archives/edgar/data/1737953/000173795323000005/replimune-amendmenttoaremp.htm" TargetMode="External"/><Relationship Id="rId245" Type="http://schemas.openxmlformats.org/officeDocument/2006/relationships/hyperlink" Target="https://www.sec.gov/Archives/edgar/data/1737953/000173795323000005/repl-chrissarchiccoemploym.htm" TargetMode="External"/><Relationship Id="rId246" Type="http://schemas.openxmlformats.org/officeDocument/2006/relationships/hyperlink" Target="https://www.sec.gov/Archives/edgar/data/1737953/000173795323000017/repl-emilyhillcfoemploymen.htm" TargetMode="External"/><Relationship Id="rId247" Type="http://schemas.openxmlformats.org/officeDocument/2006/relationships/hyperlink" Target="https://www.sec.gov/Archives/edgar/data/1737953/000173795324000008/replimune-ceosecondaremplo.htm" TargetMode="External"/><Relationship Id="rId248" Type="http://schemas.openxmlformats.org/officeDocument/2006/relationships/hyperlink" Target="https://www.sec.gov/Archives/edgar/data/1737953/000173795324000008/replimune_pastley-sparkexe.htm" TargetMode="External"/><Relationship Id="rId249" Type="http://schemas.openxmlformats.org/officeDocument/2006/relationships/hyperlink" Target="https://www.sec.gov/Archives/edgar/data/1737953/000173795324000008/rcoffinreplimuneinc-separa.htm" TargetMode="External"/><Relationship Id="rId250" Type="http://schemas.openxmlformats.org/officeDocument/2006/relationships/hyperlink" Target="https://www.sec.gov/Archives/edgar/data/1737953/000173795325000013/amendment_consultingagreem.htm" TargetMode="External"/><Relationship Id="rId251" Type="http://schemas.openxmlformats.org/officeDocument/2006/relationships/hyperlink" Target="https://www.sec.gov/Archives/edgar/data/1737953/000173795323000013/replimuneinc-separationagr.htm" TargetMode="External"/><Relationship Id="rId252" Type="http://schemas.openxmlformats.org/officeDocument/2006/relationships/hyperlink" Target="https://www.sec.gov/Archives/edgar/data/1737953/000173795324000008/pespositoreplimuneinc-sepa.htm" TargetMode="External"/><Relationship Id="rId253" Type="http://schemas.openxmlformats.org/officeDocument/2006/relationships/hyperlink" Target="https://www.sec.gov/Archives/edgar/data/1737953/000173795324000008/replimuneinc-pespositocons.htm" TargetMode="External"/><Relationship Id="rId254" Type="http://schemas.openxmlformats.org/officeDocument/2006/relationships/hyperlink" Target="https://www.sec.gov/Archives/edgar/data/1737953/000173795324000008/tlewisreplimuneinc-separat.htm" TargetMode="External"/><Relationship Id="rId255" Type="http://schemas.openxmlformats.org/officeDocument/2006/relationships/hyperlink" Target="https://www.sec.gov/Archives/edgar/data/1737953/000173795324000008/replimuneinc-tlewisconsult.htm" TargetMode="External"/><Relationship Id="rId256" Type="http://schemas.openxmlformats.org/officeDocument/2006/relationships/hyperlink" Target="https://www.sec.gov/Archives/edgar/data/1737953/000173795324000015/repl_uknqsoinducementgrant.htm" TargetMode="External"/><Relationship Id="rId257" Type="http://schemas.openxmlformats.org/officeDocument/2006/relationships/hyperlink" Target="https://www.sec.gov/Archives/edgar/data/1737953/000173795324000015/replimunegroupinc-induceme.htm" TargetMode="External"/><Relationship Id="rId260" Type="http://schemas.openxmlformats.org/officeDocument/2006/relationships/hyperlink" Target="https://www.sec.gov/Archives/edgar/data/1737953/000162828026004805/replimunegroupinc-formrest.htm" TargetMode="External"/><Relationship Id="rId261" Type="http://schemas.openxmlformats.org/officeDocument/2006/relationships/hyperlink" Target="https://www.sec.gov/Archives/edgar/data/1737953/000173795324000015/a105800-01_148796832v3xrep.htm" TargetMode="External"/><Relationship Id="rId262" Type="http://schemas.openxmlformats.org/officeDocument/2006/relationships/hyperlink" Target="https://www.sec.gov/Archives/edgar/data/1737953/000110465924071078/tm2417173d1_ex10-1.htm" TargetMode="External"/><Relationship Id="rId263" Type="http://schemas.openxmlformats.org/officeDocument/2006/relationships/hyperlink" Target="https://www.sec.gov/Archives/edgar/data/1737953/000110465924071078/tm2417173d1_ex10-2.htm" TargetMode="External"/><Relationship Id="rId264" Type="http://schemas.openxmlformats.org/officeDocument/2006/relationships/hyperlink" Target="https://www.sec.gov/Archives/edgar/data/1737953/000110465925021756/tm258605d1_ex10-1.htm" TargetMode="External"/><Relationship Id="rId265" Type="http://schemas.openxmlformats.org/officeDocument/2006/relationships/hyperlink" Target="https://www.sec.gov/Archives/edgar/data/1737953/000173795325000009/ex191replimune-arinsidert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2026-06-29T07:18:47Z</dcterms:created>
  <dcterms:modified xsi:type="dcterms:W3CDTF">2026-06-29T07:18:47Z</dcterms:modified>
</cp:coreProperties>
</file>