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037-3_4seq1.xml.htm"/>
      <w:bookmarkStart w:id="1" w:name="kstm2623037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Hill Emily Luisa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REPLIMUNE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UNICORN PARK DRIVE, SUITE 303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Replimune Group, Inc.</w:t>
              </w:r>
            </w:hyperlink>
            <w:r>
              <w:rPr/>
              <w:t xml:space="preserve"> [ </w:t>
            </w:r>
            <w:r>
              <w:rPr>
                <w:rFonts w:ascii="Times;serif" w:hAnsi="Times;serif"/>
                <w:color w:val="0000FF"/>
                <w:sz w:val="24"/>
                <w:shd w:fill="FFFFFF" w:val="clear"/>
              </w:rPr>
              <w:t>REPL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11,448</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12.97</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225,108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(the "Shares") sold to cover tax withholding obligations in connection with the vesting of the Reporting Person's performance-based restricted stock units (the "PSUs"). The transaction reported herein was made in accordance with the irrevocable "sell to cover" provision set forth in the award agreements under which the PSUs were granted and does not represent a discretionary sale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Shawn Glidden,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8279" TargetMode="External"/><Relationship Id="rId5" Type="http://schemas.openxmlformats.org/officeDocument/2006/relationships/hyperlink" Target="http://www.sec.gov/cgi-bin/browse-edgar?action=getcompany&amp;CIK=0001737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3495</Characters>
  <CharactersWithSpaces>4065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