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574040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598805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143" w:lineRule="exact"/>
        <w:rPr>
          <w:sz w:val="24"/>
          <w:szCs w:val="24"/>
          <w:color w:val="auto"/>
        </w:rPr>
      </w:pPr>
    </w:p>
    <w:p>
      <w:pPr>
        <w:ind w:left="540" w:right="2460" w:hanging="520"/>
        <w:spacing w:after="0" w:line="244" w:lineRule="auto"/>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For the quarterly period ended </w:t>
      </w:r>
      <w:r>
        <w:rPr>
          <w:rFonts w:ascii="Times New Roman" w:cs="Times New Roman" w:eastAsia="Times New Roman" w:hAnsi="Times New Roman"/>
          <w:sz w:val="17"/>
          <w:szCs w:val="17"/>
          <w:color w:val="auto"/>
        </w:rPr>
        <w:t>September 30, 2026</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7" w:lineRule="exact"/>
        <w:rPr>
          <w:sz w:val="24"/>
          <w:szCs w:val="24"/>
          <w:color w:val="auto"/>
        </w:rPr>
      </w:pPr>
    </w:p>
    <w:p>
      <w:pPr>
        <w:ind w:left="540" w:right="2460" w:hanging="520"/>
        <w:spacing w:after="0" w:line="260" w:lineRule="auto"/>
        <w:tabs>
          <w:tab w:leader="none" w:pos="5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73" w:lineRule="exact"/>
        <w:rPr>
          <w:sz w:val="24"/>
          <w:szCs w:val="24"/>
          <w:color w:val="auto"/>
        </w:rPr>
      </w:pPr>
    </w:p>
    <w:p>
      <w:pPr>
        <w:ind w:left="400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001-38596</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REPLIMUNE GROUP,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226" w:right="339" w:bottom="536" w:gutter="0" w:footer="0" w:header="0"/>
        </w:sectPr>
      </w:pPr>
    </w:p>
    <w:p>
      <w:pPr>
        <w:spacing w:after="0" w:line="34"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82-2082553</w:t>
      </w:r>
    </w:p>
    <w:p>
      <w:pPr>
        <w:spacing w:after="0" w:line="29" w:lineRule="exact"/>
        <w:rPr>
          <w:sz w:val="24"/>
          <w:szCs w:val="24"/>
          <w:color w:val="auto"/>
        </w:rPr>
      </w:pPr>
    </w:p>
    <w:p>
      <w:pPr>
        <w:sectPr>
          <w:pgSz w:w="11900" w:h="16838" w:orient="portrait"/>
          <w:cols w:equalWidth="0" w:num="2">
            <w:col w:w="7300" w:space="720"/>
            <w:col w:w="3220"/>
          </w:cols>
          <w:pgMar w:left="320" w:top="226" w:right="339" w:bottom="536" w:gutter="0" w:footer="0" w:header="0"/>
          <w:type w:val="continuous"/>
        </w:sectPr>
      </w:pPr>
    </w:p>
    <w:p>
      <w:pPr>
        <w:ind w:left="1800"/>
        <w:spacing w:after="0"/>
        <w:rPr>
          <w:sz w:val="20"/>
          <w:szCs w:val="20"/>
          <w:color w:val="auto"/>
        </w:rPr>
      </w:pPr>
      <w:r>
        <w:rPr>
          <w:rFonts w:ascii="Times New Roman" w:cs="Times New Roman" w:eastAsia="Times New Roman" w:hAnsi="Times New Roman"/>
          <w:sz w:val="17"/>
          <w:szCs w:val="17"/>
          <w:color w:val="auto"/>
        </w:rPr>
        <w:t>(State or other jurisdiction of</w:t>
      </w:r>
    </w:p>
    <w:p>
      <w:pPr>
        <w:ind w:left="180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7"/>
          <w:szCs w:val="17"/>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060" w:space="720"/>
            <w:col w:w="3460"/>
          </w:cols>
          <w:pgMar w:left="320" w:top="226" w:right="339" w:bottom="536" w:gutter="0" w:footer="0" w:header="0"/>
          <w:type w:val="continuous"/>
        </w:sectPr>
      </w:pP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500 Unicorn Park Drive</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Suite 303</w:t>
      </w:r>
    </w:p>
    <w:p>
      <w:pPr>
        <w:sectPr>
          <w:pgSz w:w="11900" w:h="16838" w:orient="portrait"/>
          <w:cols w:equalWidth="0" w:num="1">
            <w:col w:w="11240"/>
          </w:cols>
          <w:pgMar w:left="320" w:top="226" w:right="339" w:bottom="536" w:gutter="0" w:footer="0" w:header="0"/>
          <w:type w:val="continuous"/>
        </w:sect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Woburn MA 01801</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(Zip Code)</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(781) 222-9600</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335"/>
        </w:trPr>
        <w:tc>
          <w:tcPr>
            <w:tcW w:w="44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160"/>
        </w:trPr>
        <w:tc>
          <w:tcPr>
            <w:tcW w:w="4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The Nasdaq Stock Market LLC (Nasdaq Global Select</w:t>
            </w:r>
          </w:p>
        </w:tc>
      </w:tr>
      <w:tr>
        <w:trPr>
          <w:trHeight w:val="232"/>
        </w:trPr>
        <w:tc>
          <w:tcPr>
            <w:tcW w:w="44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REPL</w:t>
            </w: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Market)</w:t>
            </w:r>
          </w:p>
        </w:tc>
      </w:tr>
    </w:tbl>
    <w:p>
      <w:pPr>
        <w:spacing w:after="0" w:line="267"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6" w:right="339" w:bottom="536" w:gutter="0" w:footer="0" w:header="0"/>
          <w:type w:val="continuous"/>
        </w:sectPr>
      </w:pPr>
    </w:p>
    <w:p>
      <w:pPr>
        <w:spacing w:after="0" w:line="48" w:lineRule="exact"/>
        <w:rPr>
          <w:sz w:val="24"/>
          <w:szCs w:val="24"/>
          <w:color w:val="auto"/>
        </w:rPr>
      </w:pPr>
    </w:p>
    <w:p>
      <w:pPr>
        <w:ind w:left="19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2" w:lineRule="exact"/>
        <w:rPr>
          <w:sz w:val="24"/>
          <w:szCs w:val="24"/>
          <w:color w:val="auto"/>
        </w:rPr>
      </w:pPr>
    </w:p>
    <w:p>
      <w:pPr>
        <w:ind w:left="1920"/>
        <w:spacing w:after="0" w:line="196" w:lineRule="exact"/>
        <w:tabs>
          <w:tab w:leader="none" w:pos="3520" w:val="left"/>
        </w:tabs>
        <w:rPr>
          <w:sz w:val="20"/>
          <w:szCs w:val="20"/>
          <w:color w:val="auto"/>
        </w:rPr>
      </w:pP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18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2" w:lineRule="exact"/>
        <w:rPr>
          <w:sz w:val="24"/>
          <w:szCs w:val="24"/>
          <w:color w:val="auto"/>
        </w:rPr>
      </w:pPr>
    </w:p>
    <w:p>
      <w:pPr>
        <w:jc w:val="center"/>
        <w:ind w:right="180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4" w:lineRule="exact"/>
        <w:rPr>
          <w:sz w:val="24"/>
          <w:szCs w:val="24"/>
          <w:color w:val="auto"/>
        </w:rPr>
      </w:pPr>
    </w:p>
    <w:p>
      <w:pPr>
        <w:jc w:val="center"/>
        <w:ind w:right="1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40" w:space="720"/>
            <w:col w:w="3880"/>
          </w:cols>
          <w:pgMar w:left="320" w:top="226" w:right="339" w:bottom="536" w:gutter="0" w:footer="0" w:header="0"/>
          <w:type w:val="continuous"/>
        </w:sectPr>
      </w:pPr>
    </w:p>
    <w:p>
      <w:pPr>
        <w:spacing w:after="0" w:line="89" w:lineRule="exact"/>
        <w:rPr>
          <w:sz w:val="24"/>
          <w:szCs w:val="24"/>
          <w:color w:val="auto"/>
        </w:rPr>
      </w:pPr>
    </w:p>
    <w:p>
      <w:pPr>
        <w:ind w:right="480"/>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4" w:lineRule="exact"/>
        <w:rPr>
          <w:sz w:val="24"/>
          <w:szCs w:val="24"/>
          <w:color w:val="auto"/>
        </w:rPr>
      </w:pPr>
    </w:p>
    <w:p>
      <w:pPr>
        <w:ind w:left="80" w:right="2860" w:hanging="85"/>
        <w:spacing w:after="0" w:line="24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the registrant’s Common Stock, par value $0.001 per share, outstanding as of October 23, 2026 was 94,800,404.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229870</wp:posOffset>
            </wp:positionV>
            <wp:extent cx="7122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254635</wp:posOffset>
            </wp:positionV>
            <wp:extent cx="7122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226" w:right="339" w:bottom="53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591820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20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60"/>
        </w:trPr>
        <w:tc>
          <w:tcPr>
            <w:tcW w:w="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10"/>
          </w:tcPr>
          <w:p>
            <w:pPr>
              <w:jc w:val="center"/>
              <w:ind w:right="3300"/>
              <w:spacing w:after="0"/>
              <w:rPr>
                <w:sz w:val="20"/>
                <w:szCs w:val="20"/>
                <w:color w:val="auto"/>
              </w:rPr>
            </w:pPr>
            <w:r>
              <w:rPr>
                <w:rFonts w:ascii="Times New Roman" w:cs="Times New Roman" w:eastAsia="Times New Roman" w:hAnsi="Times New Roman"/>
                <w:sz w:val="17"/>
                <w:szCs w:val="17"/>
                <w:b w:val="1"/>
                <w:bCs w:val="1"/>
                <w:color w:val="auto"/>
              </w:rPr>
              <w:t>REPLIMUNE GROUP,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gridSpan w:val="9"/>
          </w:tcPr>
          <w:p>
            <w:pPr>
              <w:jc w:val="center"/>
              <w:ind w:right="3940"/>
              <w:spacing w:after="0"/>
              <w:rPr>
                <w:sz w:val="20"/>
                <w:szCs w:val="20"/>
                <w:color w:val="auto"/>
              </w:rPr>
            </w:pPr>
            <w:r>
              <w:rPr>
                <w:rFonts w:ascii="Times New Roman" w:cs="Times New Roman" w:eastAsia="Times New Roman" w:hAnsi="Times New Roman"/>
                <w:sz w:val="17"/>
                <w:szCs w:val="17"/>
                <w:b w:val="1"/>
                <w:bCs w:val="1"/>
                <w:color w:val="auto"/>
                <w:w w:val="99"/>
              </w:rPr>
              <w:t>FORM 10-Q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gridSpan w:val="9"/>
          </w:tcPr>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Page No.</w:t>
            </w:r>
          </w:p>
        </w:tc>
      </w:tr>
      <w:tr>
        <w:trPr>
          <w:trHeight w:val="192"/>
        </w:trPr>
        <w:tc>
          <w:tcPr>
            <w:tcW w:w="10240" w:type="dxa"/>
            <w:vAlign w:val="bottom"/>
            <w:tcBorders>
              <w:top w:val="single" w:sz="8" w:color="CCEEFF"/>
            </w:tcBorders>
            <w:gridSpan w:val="26"/>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980" w:type="dxa"/>
            <w:vAlign w:val="bottom"/>
            <w:tcBorders>
              <w:top w:val="single" w:sz="8" w:color="auto"/>
            </w:tcBorders>
            <w:gridSpan w:val="4"/>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6"/>
                <w:szCs w:val="16"/>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1.</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Financial Statements (Unaudited)</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Balance Sheets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Statements of Operations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Statements of Comprehensive Loss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Statements of Stockholders’ Equity</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6</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Statements of Cash Flows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7</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Notes to Unaudited Condensed Consolidated Financial Statements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2.</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Management’s Discussion and Analysis of Financial Condition and Results of Operations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25</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660" w:type="dxa"/>
            <w:vAlign w:val="bottom"/>
            <w:tcBorders>
              <w:top w:val="single" w:sz="8" w:color="0000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3.</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Quantitative and Qualitative Disclosures About Market Risk</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39</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4.</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Controls and Procedures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39</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10240" w:type="dxa"/>
            <w:vAlign w:val="bottom"/>
            <w:gridSpan w:val="26"/>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1.</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Legal Proceedings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1A.</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Risk Factors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2.</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Unregistered Sales of Equity Securities and Use of Proceeds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81</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3.</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Defaults Upon Senior Securities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81</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4.</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Mine Safety Disclosure</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81</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5.</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Other Information</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81</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6.</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Exhibits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81</w:t>
            </w:r>
          </w:p>
        </w:tc>
        <w:tc>
          <w:tcPr>
            <w:tcW w:w="20" w:type="dxa"/>
            <w:vAlign w:val="bottom"/>
          </w:tcPr>
          <w:p>
            <w:pPr>
              <w:spacing w:after="0"/>
              <w:rPr>
                <w:sz w:val="17"/>
                <w:szCs w:val="17"/>
                <w:color w:val="auto"/>
              </w:rPr>
            </w:pPr>
          </w:p>
        </w:tc>
      </w:tr>
      <w:tr>
        <w:trPr>
          <w:trHeight w:val="258"/>
        </w:trPr>
        <w:tc>
          <w:tcPr>
            <w:tcW w:w="2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gridSpan w:val="2"/>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17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199"/>
        </w:trPr>
        <w:tc>
          <w:tcPr>
            <w:tcW w:w="2000" w:type="dxa"/>
            <w:vAlign w:val="bottom"/>
            <w:gridSpan w:val="7"/>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FF"/>
              </w:rPr>
              <w:t>SIGNATURES</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83</w:t>
            </w:r>
          </w:p>
        </w:tc>
        <w:tc>
          <w:tcPr>
            <w:tcW w:w="20" w:type="dxa"/>
            <w:vAlign w:val="bottom"/>
          </w:tcPr>
          <w:p>
            <w:pPr>
              <w:spacing w:after="0"/>
              <w:rPr>
                <w:sz w:val="17"/>
                <w:szCs w:val="17"/>
                <w:color w:val="auto"/>
              </w:rPr>
            </w:pPr>
          </w:p>
        </w:tc>
      </w:tr>
      <w:tr>
        <w:trPr>
          <w:trHeight w:val="1045"/>
        </w:trPr>
        <w:tc>
          <w:tcPr>
            <w:tcW w:w="20" w:type="dxa"/>
            <w:vAlign w:val="bottom"/>
            <w:tcBorders>
              <w:top w:val="single" w:sz="8" w:color="CCEE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gridSpan w:val="11"/>
          </w:tcPr>
          <w:p>
            <w:pPr>
              <w:jc w:val="center"/>
              <w:ind w:left="3434"/>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9"/>
        </w:trPr>
        <w:tc>
          <w:tcPr>
            <w:tcW w:w="1220" w:type="dxa"/>
            <w:vAlign w:val="bottom"/>
            <w:tcBorders>
              <w:top w:val="single" w:sz="8" w:color="0000FF"/>
            </w:tcBorders>
          </w:tcPr>
          <w:p>
            <w:pPr>
              <w:spacing w:after="0"/>
              <w:rPr>
                <w:sz w:val="24"/>
                <w:szCs w:val="24"/>
                <w:color w:val="auto"/>
              </w:rPr>
            </w:pPr>
          </w:p>
        </w:tc>
        <w:tc>
          <w:tcPr>
            <w:tcW w:w="704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111111"/>
                <w:w w:val="99"/>
              </w:rPr>
              <w:t xml:space="preserve">PART I </w:t>
            </w:r>
            <w:r>
              <w:rPr>
                <w:rFonts w:ascii="Times New Roman" w:cs="Times New Roman" w:eastAsia="Times New Roman" w:hAnsi="Times New Roman"/>
                <w:sz w:val="17"/>
                <w:szCs w:val="17"/>
                <w:color w:val="000000"/>
                <w:w w:val="99"/>
              </w:rPr>
              <w:t>-</w:t>
            </w:r>
            <w:r>
              <w:rPr>
                <w:rFonts w:ascii="Times New Roman" w:cs="Times New Roman" w:eastAsia="Times New Roman" w:hAnsi="Times New Roman"/>
                <w:sz w:val="17"/>
                <w:szCs w:val="17"/>
                <w:b w:val="1"/>
                <w:bCs w:val="1"/>
                <w:color w:val="111111"/>
                <w:w w:val="99"/>
              </w:rPr>
              <w:t xml:space="preserve"> FINANCIAL INFORMATION</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111111"/>
              </w:rPr>
              <w:t>Item 1. Financial Statements.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704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REPLIMUNE GROUP, INC.</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4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(Amounts in thousands, except share and per share amounts)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0" w:type="dxa"/>
            <w:vAlign w:val="bottom"/>
          </w:tcPr>
          <w:p>
            <w:pPr>
              <w:spacing w:after="0"/>
              <w:rPr>
                <w:sz w:val="1"/>
                <w:szCs w:val="1"/>
                <w:color w:val="auto"/>
              </w:rPr>
            </w:pPr>
          </w:p>
        </w:tc>
      </w:tr>
      <w:tr>
        <w:trPr>
          <w:trHeight w:val="232"/>
        </w:trPr>
        <w:tc>
          <w:tcPr>
            <w:tcW w:w="1220" w:type="dxa"/>
            <w:vAlign w:val="bottom"/>
            <w:tcBorders>
              <w:bottom w:val="single" w:sz="8" w:color="CCEEFF"/>
            </w:tcBorders>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209,024</w:t>
            </w: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59,865</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 incentives receivable</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Inventory,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0" w:type="dxa"/>
            <w:vAlign w:val="bottom"/>
          </w:tcPr>
          <w:p>
            <w:pPr>
              <w:spacing w:after="0"/>
              <w:rPr>
                <w:sz w:val="1"/>
                <w:szCs w:val="1"/>
                <w:color w:val="auto"/>
              </w:rPr>
            </w:pPr>
          </w:p>
        </w:tc>
      </w:tr>
      <w:tr>
        <w:trPr>
          <w:trHeight w:val="212"/>
        </w:trPr>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324,035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279,119</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12,974</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Right-of-use asset - operating leases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3,270</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 - finance leases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32,380</w:t>
            </w:r>
          </w:p>
        </w:tc>
        <w:tc>
          <w:tcPr>
            <w:tcW w:w="0" w:type="dxa"/>
            <w:vAlign w:val="bottom"/>
          </w:tcPr>
          <w:p>
            <w:pPr>
              <w:spacing w:after="0"/>
              <w:rPr>
                <w:sz w:val="1"/>
                <w:szCs w:val="1"/>
                <w:color w:val="auto"/>
              </w:rPr>
            </w:pPr>
          </w:p>
        </w:tc>
      </w:tr>
      <w:tr>
        <w:trPr>
          <w:trHeight w:val="212"/>
        </w:trPr>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373,940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332,388</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2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6,671</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47,516</w:t>
            </w: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Finance lease liabilities, current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0" w:type="dxa"/>
            <w:vAlign w:val="bottom"/>
          </w:tcPr>
          <w:p>
            <w:pPr>
              <w:spacing w:after="0"/>
              <w:rPr>
                <w:sz w:val="1"/>
                <w:szCs w:val="1"/>
                <w:color w:val="auto"/>
              </w:rPr>
            </w:pPr>
          </w:p>
        </w:tc>
      </w:tr>
      <w:tr>
        <w:trPr>
          <w:trHeight w:val="212"/>
        </w:trPr>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58,228</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 liabilities, non-current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21,909</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 term debt, net of discount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83,308</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166,228</w:t>
            </w:r>
          </w:p>
        </w:tc>
        <w:tc>
          <w:tcPr>
            <w:tcW w:w="0" w:type="dxa"/>
            <w:vAlign w:val="bottom"/>
          </w:tcPr>
          <w:p>
            <w:pPr>
              <w:spacing w:after="0"/>
              <w:rPr>
                <w:sz w:val="1"/>
                <w:szCs w:val="1"/>
                <w:color w:val="auto"/>
              </w:rPr>
            </w:pPr>
          </w:p>
        </w:tc>
      </w:tr>
      <w:tr>
        <w:trPr>
          <w:trHeight w:val="19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26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Common stock, $0.001 par value; 300,000,000 shares authorized as of September 30, 2026 and 150,000,000 as of</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6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March 31, 2026; 94,805,154 and 82,716,923 shares issued and outstanding as of September 30, 2026 and March 31,</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2026, respectively</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1,588,167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1,423,194</w:t>
            </w:r>
          </w:p>
        </w:tc>
        <w:tc>
          <w:tcPr>
            <w:tcW w:w="0" w:type="dxa"/>
            <w:vAlign w:val="bottom"/>
          </w:tcPr>
          <w:p>
            <w:pPr>
              <w:spacing w:after="0"/>
              <w:rPr>
                <w:sz w:val="1"/>
                <w:szCs w:val="1"/>
                <w:color w:val="auto"/>
              </w:rPr>
            </w:pPr>
          </w:p>
        </w:tc>
      </w:tr>
      <w:tr>
        <w:trPr>
          <w:trHeight w:val="21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(1,389,406)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(1,262,519)</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5,403</w:t>
            </w:r>
          </w:p>
        </w:tc>
        <w:tc>
          <w:tcPr>
            <w:tcW w:w="0" w:type="dxa"/>
            <w:vAlign w:val="bottom"/>
          </w:tcPr>
          <w:p>
            <w:pPr>
              <w:spacing w:after="0"/>
              <w:rPr>
                <w:sz w:val="1"/>
                <w:szCs w:val="1"/>
                <w:color w:val="auto"/>
              </w:rPr>
            </w:pPr>
          </w:p>
        </w:tc>
      </w:tr>
      <w:tr>
        <w:trPr>
          <w:trHeight w:val="212"/>
        </w:trPr>
        <w:tc>
          <w:tcPr>
            <w:tcW w:w="8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204,778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166,160</w:t>
            </w:r>
          </w:p>
        </w:tc>
        <w:tc>
          <w:tcPr>
            <w:tcW w:w="0" w:type="dxa"/>
            <w:vAlign w:val="bottom"/>
          </w:tcPr>
          <w:p>
            <w:pPr>
              <w:spacing w:after="0"/>
              <w:rPr>
                <w:sz w:val="1"/>
                <w:szCs w:val="1"/>
                <w:color w:val="auto"/>
              </w:rPr>
            </w:pP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373,940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332,388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REPLIMUNE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40" w:type="dxa"/>
            <w:vAlign w:val="bottom"/>
          </w:tcPr>
          <w:p>
            <w:pPr>
              <w:spacing w:after="0"/>
              <w:rPr>
                <w:sz w:val="19"/>
                <w:szCs w:val="19"/>
                <w:color w:val="auto"/>
              </w:rPr>
            </w:pPr>
          </w:p>
        </w:tc>
        <w:tc>
          <w:tcPr>
            <w:tcW w:w="326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0" w:type="dxa"/>
            <w:vAlign w:val="bottom"/>
          </w:tcPr>
          <w:p>
            <w:pPr>
              <w:spacing w:after="0"/>
              <w:rPr>
                <w:sz w:val="1"/>
                <w:szCs w:val="1"/>
                <w:color w:val="auto"/>
              </w:rPr>
            </w:pPr>
          </w:p>
        </w:tc>
      </w:tr>
      <w:tr>
        <w:trPr>
          <w:trHeight w:val="212"/>
        </w:trPr>
        <w:tc>
          <w:tcPr>
            <w:tcW w:w="39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34,365</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57,877</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83,644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115,721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58,994</w:t>
            </w:r>
          </w:p>
        </w:tc>
        <w:tc>
          <w:tcPr>
            <w:tcW w:w="0" w:type="dxa"/>
            <w:vAlign w:val="bottom"/>
          </w:tcPr>
          <w:p>
            <w:pPr>
              <w:spacing w:after="0"/>
              <w:rPr>
                <w:sz w:val="1"/>
                <w:szCs w:val="1"/>
                <w:color w:val="auto"/>
              </w:rPr>
            </w:pPr>
          </w:p>
        </w:tc>
      </w:tr>
      <w:tr>
        <w:trPr>
          <w:trHeight w:val="212"/>
        </w:trPr>
        <w:tc>
          <w:tcPr>
            <w:tcW w:w="39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56,281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84,291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124,529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174,715</w:t>
            </w: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(56,281)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(124,529)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(174,715)</w:t>
            </w:r>
          </w:p>
        </w:tc>
        <w:tc>
          <w:tcPr>
            <w:tcW w:w="0" w:type="dxa"/>
            <w:vAlign w:val="bottom"/>
          </w:tcPr>
          <w:p>
            <w:pPr>
              <w:spacing w:after="0"/>
              <w:rPr>
                <w:sz w:val="1"/>
                <w:szCs w:val="1"/>
                <w:color w:val="auto"/>
              </w:rPr>
            </w:pPr>
          </w:p>
        </w:tc>
      </w:tr>
      <w:tr>
        <w:trPr>
          <w:trHeight w:val="19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0" w:type="dxa"/>
            <w:vAlign w:val="bottom"/>
          </w:tcPr>
          <w:p>
            <w:pPr>
              <w:spacing w:after="0"/>
              <w:rPr>
                <w:sz w:val="1"/>
                <w:szCs w:val="1"/>
                <w:color w:val="auto"/>
              </w:rPr>
            </w:pPr>
          </w:p>
        </w:tc>
      </w:tr>
      <w:tr>
        <w:trPr>
          <w:trHeight w:val="219"/>
        </w:trPr>
        <w:tc>
          <w:tcPr>
            <w:tcW w:w="3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income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on finance lease liability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0" w:type="dxa"/>
            <w:vAlign w:val="bottom"/>
          </w:tcPr>
          <w:p>
            <w:pPr>
              <w:spacing w:after="0"/>
              <w:rPr>
                <w:sz w:val="1"/>
                <w:szCs w:val="1"/>
                <w:color w:val="auto"/>
              </w:rPr>
            </w:pPr>
          </w:p>
        </w:tc>
      </w:tr>
      <w:tr>
        <w:trPr>
          <w:trHeight w:val="219"/>
        </w:trPr>
        <w:tc>
          <w:tcPr>
            <w:tcW w:w="3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 on debt obligations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(2,963)</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12"/>
        </w:trPr>
        <w:tc>
          <w:tcPr>
            <w:tcW w:w="39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other (expense) income, net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4,922</w:t>
            </w: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(83,100)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(126,887)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(169,793)</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9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Weighted average common shares outstanding, basic and</w:t>
            </w:r>
          </w:p>
        </w:tc>
        <w:tc>
          <w:tcPr>
            <w:tcW w:w="28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105,176,101</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91,915,769</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101,042,985</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91,717,076</w:t>
            </w:r>
          </w:p>
        </w:tc>
        <w:tc>
          <w:tcPr>
            <w:tcW w:w="0" w:type="dxa"/>
            <w:vAlign w:val="bottom"/>
          </w:tcPr>
          <w:p>
            <w:pPr>
              <w:spacing w:after="0"/>
              <w:rPr>
                <w:sz w:val="1"/>
                <w:szCs w:val="1"/>
                <w:color w:val="auto"/>
              </w:rPr>
            </w:pPr>
          </w:p>
        </w:tc>
      </w:tr>
      <w:tr>
        <w:trPr>
          <w:trHeight w:val="22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39"/>
        </w:trPr>
        <w:tc>
          <w:tcPr>
            <w:tcW w:w="1220" w:type="dxa"/>
            <w:vAlign w:val="bottom"/>
            <w:tcBorders>
              <w:top w:val="single" w:sz="8" w:color="0000FF"/>
            </w:tcBorders>
          </w:tcPr>
          <w:p>
            <w:pPr>
              <w:spacing w:after="0"/>
              <w:rPr>
                <w:sz w:val="24"/>
                <w:szCs w:val="24"/>
                <w:color w:val="auto"/>
              </w:rPr>
            </w:pPr>
          </w:p>
        </w:tc>
        <w:tc>
          <w:tcPr>
            <w:tcW w:w="2920" w:type="dxa"/>
            <w:vAlign w:val="bottom"/>
          </w:tcPr>
          <w:p>
            <w:pPr>
              <w:spacing w:after="0"/>
              <w:rPr>
                <w:sz w:val="24"/>
                <w:szCs w:val="24"/>
                <w:color w:val="auto"/>
              </w:rPr>
            </w:pPr>
          </w:p>
        </w:tc>
        <w:tc>
          <w:tcPr>
            <w:tcW w:w="256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b w:val="1"/>
                <w:bCs w:val="1"/>
                <w:color w:val="auto"/>
              </w:rPr>
              <w:t>REPLIMUNE GROUP, INC.</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8600" w:type="dxa"/>
            <w:vAlign w:val="bottom"/>
            <w:gridSpan w:val="11"/>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560" w:type="dxa"/>
            <w:vAlign w:val="bottom"/>
            <w:gridSpan w:val="4"/>
          </w:tcPr>
          <w:p>
            <w:pPr>
              <w:jc w:val="center"/>
              <w:ind w:left="31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80" w:type="dxa"/>
            <w:vAlign w:val="bottom"/>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5"/>
        </w:trPr>
        <w:tc>
          <w:tcPr>
            <w:tcW w:w="1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Pr>
          <w:p>
            <w:pPr>
              <w:spacing w:after="0"/>
              <w:rPr>
                <w:sz w:val="24"/>
                <w:szCs w:val="24"/>
                <w:color w:val="auto"/>
              </w:rPr>
            </w:pPr>
          </w:p>
        </w:tc>
        <w:tc>
          <w:tcPr>
            <w:tcW w:w="2780" w:type="dxa"/>
            <w:vAlign w:val="bottom"/>
            <w:gridSpan w:val="4"/>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r>
      <w:tr>
        <w:trPr>
          <w:trHeight w:val="212"/>
        </w:trPr>
        <w:tc>
          <w:tcPr>
            <w:tcW w:w="122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(169,793)</w:t>
            </w:r>
          </w:p>
        </w:tc>
      </w:tr>
      <w:tr>
        <w:trPr>
          <w:trHeight w:val="21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gain (loss):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4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(loss) gain</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19"/>
        </w:trPr>
        <w:tc>
          <w:tcPr>
            <w:tcW w:w="4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Net unrealized gain (loss) on short-term investments</w:t>
            </w:r>
          </w:p>
        </w:tc>
        <w:tc>
          <w:tcPr>
            <w:tcW w:w="9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37"/>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(57,175)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(82,218)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(170,118)</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REPLIMUNE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78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3"/>
                <w:szCs w:val="13"/>
                <w:color w:val="auto"/>
              </w:rPr>
            </w:pPr>
          </w:p>
        </w:tc>
        <w:tc>
          <w:tcPr>
            <w:tcW w:w="90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80" w:type="dxa"/>
            <w:vAlign w:val="bottom"/>
          </w:tcPr>
          <w:p>
            <w:pPr>
              <w:spacing w:after="0"/>
              <w:rPr>
                <w:sz w:val="2"/>
                <w:szCs w:val="2"/>
                <w:color w:val="auto"/>
              </w:rPr>
            </w:pPr>
          </w:p>
        </w:tc>
        <w:tc>
          <w:tcPr>
            <w:tcW w:w="960" w:type="dxa"/>
            <w:vAlign w:val="bottom"/>
            <w:gridSpan w:val="2"/>
            <w:vMerge w:val="restart"/>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0" w:type="dxa"/>
            <w:vAlign w:val="bottom"/>
          </w:tcPr>
          <w:p>
            <w:pPr>
              <w:spacing w:after="0"/>
              <w:rPr>
                <w:sz w:val="2"/>
                <w:szCs w:val="2"/>
                <w:color w:val="auto"/>
              </w:rPr>
            </w:pPr>
          </w:p>
        </w:tc>
        <w:tc>
          <w:tcPr>
            <w:tcW w:w="900" w:type="dxa"/>
            <w:vAlign w:val="bottom"/>
            <w:vMerge w:val="restart"/>
          </w:tcPr>
          <w:p>
            <w:pPr>
              <w:jc w:val="center"/>
              <w:ind w:right="31"/>
              <w:spacing w:after="0" w:line="141"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96"/>
        </w:trPr>
        <w:tc>
          <w:tcPr>
            <w:tcW w:w="5020" w:type="dxa"/>
            <w:vAlign w:val="bottom"/>
          </w:tcPr>
          <w:p>
            <w:pPr>
              <w:spacing w:after="0"/>
              <w:rPr>
                <w:sz w:val="8"/>
                <w:szCs w:val="8"/>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capital</w:t>
            </w:r>
          </w:p>
        </w:tc>
        <w:tc>
          <w:tcPr>
            <w:tcW w:w="8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80" w:type="dxa"/>
            <w:vAlign w:val="bottom"/>
          </w:tcPr>
          <w:p>
            <w:pPr>
              <w:spacing w:after="0"/>
              <w:rPr>
                <w:sz w:val="16"/>
                <w:szCs w:val="16"/>
                <w:color w:val="auto"/>
              </w:rPr>
            </w:pPr>
          </w:p>
        </w:tc>
        <w:tc>
          <w:tcPr>
            <w:tcW w:w="9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9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2026</w:t>
            </w: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82,716,923</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82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1,423,194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(1,262,519)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166,160</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118,075</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1,144,368</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7,674</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(69,766)</w:t>
            </w:r>
          </w:p>
        </w:tc>
        <w:tc>
          <w:tcPr>
            <w:tcW w:w="0" w:type="dxa"/>
            <w:vAlign w:val="bottom"/>
          </w:tcPr>
          <w:p>
            <w:pPr>
              <w:spacing w:after="0"/>
              <w:rPr>
                <w:sz w:val="1"/>
                <w:szCs w:val="1"/>
                <w:color w:val="auto"/>
              </w:rPr>
            </w:pPr>
          </w:p>
        </w:tc>
      </w:tr>
      <w:tr>
        <w:trPr>
          <w:trHeight w:val="17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2026</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83,979,366</w:t>
            </w: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99"/>
              </w:rPr>
              <w:t>84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1,431,870</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(1,332,285)</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5,976</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105,645</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 to purchase common stock</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31,020</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9,701,490</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99"/>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109,980</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652,820</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4,763</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471,478</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10,545</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(57,121)</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2026</w:t>
            </w: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94,805,154</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95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1,588,167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(1,389,406)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204,778</w:t>
            </w:r>
          </w:p>
        </w:tc>
        <w:tc>
          <w:tcPr>
            <w:tcW w:w="0" w:type="dxa"/>
            <w:vAlign w:val="bottom"/>
          </w:tcPr>
          <w:p>
            <w:pPr>
              <w:spacing w:after="0"/>
              <w:rPr>
                <w:sz w:val="1"/>
                <w:szCs w:val="1"/>
                <w:color w:val="auto"/>
              </w:rPr>
            </w:pPr>
          </w:p>
        </w:tc>
      </w:tr>
      <w:tr>
        <w:trPr>
          <w:trHeight w:val="206"/>
        </w:trPr>
        <w:tc>
          <w:tcPr>
            <w:tcW w:w="5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2025</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77,085,024</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77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1,358,897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(948,579)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415,843</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966</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721,184</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8,762</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(86,693)</w:t>
            </w:r>
          </w:p>
        </w:tc>
        <w:tc>
          <w:tcPr>
            <w:tcW w:w="0" w:type="dxa"/>
            <w:vAlign w:val="bottom"/>
          </w:tcPr>
          <w:p>
            <w:pPr>
              <w:spacing w:after="0"/>
              <w:rPr>
                <w:sz w:val="1"/>
                <w:szCs w:val="1"/>
                <w:color w:val="auto"/>
              </w:rPr>
            </w:pPr>
          </w:p>
        </w:tc>
      </w:tr>
      <w:tr>
        <w:trPr>
          <w:trHeight w:val="17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2025</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77,807,174</w:t>
            </w: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99"/>
              </w:rPr>
              <w:t>78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1,367,668</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(1,035,272)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336,715</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497,344</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98,737</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8,338</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(83,100)</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2025</w:t>
            </w: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78,403,255</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78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1,376,507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(1,118,372)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263,336</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39"/>
        </w:trPr>
        <w:tc>
          <w:tcPr>
            <w:tcW w:w="1220" w:type="dxa"/>
            <w:vAlign w:val="bottom"/>
            <w:tcBorders>
              <w:top w:val="single" w:sz="8" w:color="0000FF"/>
            </w:tcBorders>
          </w:tcPr>
          <w:p>
            <w:pPr>
              <w:spacing w:after="0"/>
              <w:rPr>
                <w:sz w:val="24"/>
                <w:szCs w:val="24"/>
                <w:color w:val="auto"/>
              </w:rPr>
            </w:pPr>
          </w:p>
        </w:tc>
        <w:tc>
          <w:tcPr>
            <w:tcW w:w="704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REPLIMUNE GROUP, INC.</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5"/>
        </w:trPr>
        <w:tc>
          <w:tcPr>
            <w:tcW w:w="12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r>
      <w:tr>
        <w:trPr>
          <w:trHeight w:val="212"/>
        </w:trPr>
        <w:tc>
          <w:tcPr>
            <w:tcW w:w="12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9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(126,887)</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(169,793)</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17,100</w:t>
            </w: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w:t>
            </w: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lease, right-of-use-asset amortization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Finance lease, right-of-use-asset amortization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Net amortization of premiums and discounts on short-term investments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(2,098)</w:t>
            </w: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Impairment on property, plant and equipment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w:t>
            </w: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foreign currency transaction (gains) losses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Research and development incentives receivable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r>
      <w:tr>
        <w:trPr>
          <w:trHeight w:val="219"/>
        </w:trPr>
        <w:tc>
          <w:tcPr>
            <w:tcW w:w="82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Increase in inventories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9"/>
        </w:trPr>
        <w:tc>
          <w:tcPr>
            <w:tcW w:w="82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(5,165)</w:t>
            </w:r>
          </w:p>
        </w:tc>
      </w:tr>
      <w:tr>
        <w:trPr>
          <w:trHeight w:val="219"/>
        </w:trPr>
        <w:tc>
          <w:tcPr>
            <w:tcW w:w="82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(2,766)</w:t>
            </w:r>
          </w:p>
        </w:tc>
      </w:tr>
      <w:tr>
        <w:trPr>
          <w:trHeight w:val="219"/>
        </w:trPr>
        <w:tc>
          <w:tcPr>
            <w:tcW w:w="8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r>
      <w:tr>
        <w:trPr>
          <w:trHeight w:val="219"/>
        </w:trPr>
        <w:tc>
          <w:tcPr>
            <w:tcW w:w="82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12"/>
        </w:trPr>
        <w:tc>
          <w:tcPr>
            <w:tcW w:w="826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(123,430)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(158,228)</w:t>
            </w:r>
          </w:p>
        </w:tc>
      </w:tr>
      <w:tr>
        <w:trPr>
          <w:trHeight w:val="19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 and software capitalization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w:t>
            </w: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Proceeds from sales of property, plant and equipment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(47,430)</w:t>
            </w:r>
          </w:p>
        </w:tc>
      </w:tr>
      <w:tr>
        <w:trPr>
          <w:trHeight w:val="21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Proceeds from sales and maturities of short-term investments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200,730</w:t>
            </w:r>
          </w:p>
        </w:tc>
      </w:tr>
      <w:tr>
        <w:trPr>
          <w:trHeight w:val="212"/>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149,217</w:t>
            </w:r>
          </w:p>
        </w:tc>
      </w:tr>
      <w:tr>
        <w:trPr>
          <w:trHeight w:val="19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net of underwriting fees and discounts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Proceeds from issuance of prefunded warrants to purchase common stock, net of underwriting fees and offering costs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long term debt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payment of finance lease obligation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12"/>
        </w:trPr>
        <w:tc>
          <w:tcPr>
            <w:tcW w:w="82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1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 of exchange rate changes on cash, cash equivalents and restricted cash</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(8,819)</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112,822</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309,536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104,003</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826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826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 included in accounts payable and accrued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r>
    </w:tbl>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REPLIMUNE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6" w:lineRule="exact"/>
        <w:rPr>
          <w:sz w:val="20"/>
          <w:szCs w:val="20"/>
          <w:color w:val="auto"/>
        </w:rPr>
      </w:pPr>
    </w:p>
    <w:p>
      <w:pPr>
        <w:ind w:left="180" w:hanging="177"/>
        <w:spacing w:after="0"/>
        <w:tabs>
          <w:tab w:leader="none" w:pos="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Nature of the business</w:t>
      </w:r>
    </w:p>
    <w:p>
      <w:pPr>
        <w:spacing w:after="0" w:line="234"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17"/>
          <w:szCs w:val="17"/>
          <w:color w:val="auto"/>
        </w:rPr>
        <w:t>Replimune Group, Inc. (the “Company”) is a commercial-stage biotechnology company with the mission to transform cancer treatment by pioneering the development of a novel portfolio of oncolytic immunotherapies. The Company's proprietary oncolytic immunotherapy product and product candidates are designed and intended to maximally activate the immune system against cancer. Replimune Group, Inc., whose predecessor was founded in 2015, is the parent company of its wholly owned, direct and indirect subsidiaries: Replimune Limited (“Replimune UK”); Replimune, Inc. (“Replimune US”); Replimune Securities Corporation; and Replimune (Ireland) Limited.</w:t>
      </w:r>
    </w:p>
    <w:p>
      <w:pPr>
        <w:spacing w:after="0" w:line="201" w:lineRule="exact"/>
        <w:rPr>
          <w:sz w:val="20"/>
          <w:szCs w:val="20"/>
          <w:color w:val="auto"/>
        </w:rPr>
      </w:pPr>
    </w:p>
    <w:p>
      <w:pPr>
        <w:ind w:right="140" w:firstLine="619"/>
        <w:spacing w:after="0" w:line="245" w:lineRule="auto"/>
        <w:rPr>
          <w:sz w:val="20"/>
          <w:szCs w:val="20"/>
          <w:color w:val="auto"/>
        </w:rPr>
      </w:pPr>
      <w:r>
        <w:rPr>
          <w:rFonts w:ascii="Times New Roman" w:cs="Times New Roman" w:eastAsia="Times New Roman" w:hAnsi="Times New Roman"/>
          <w:sz w:val="17"/>
          <w:szCs w:val="17"/>
          <w:color w:val="auto"/>
        </w:rPr>
        <w:t>The Company is subject to risks and uncertainties common to companies in the biotechnology industry, including, but not limited to, those related to the development and commercialization of our product and product candidates, our ability to successfully complete one or more confirmatory trials of TUDRIQEV</w:t>
      </w:r>
    </w:p>
    <w:p>
      <w:pPr>
        <w:spacing w:after="0" w:line="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7"/>
          <w:szCs w:val="17"/>
          <w:color w:val="auto"/>
        </w:rPr>
        <w:t>(vusolimogene oderparepvec-wtpg), previously referred to as RP1, our expectations about our cash runway, the design and advancement of our clinical trials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the requirements and views of regulators, the development by competitors of new technological innovations, dependence on key personnel, protection of proprietary technology, third-party intellectual property, compliance with government regulations and the ability to secure additional capital to fund operations. Product candidates currently under development will require significant additional research and development efforts, including preclinical and clinical testing and regulatory review and approval, prior to commercialization. These efforts require significant amounts of additional capital, adequate personnel and infrastructure, and extensive compliance and reporting capabilities. Even if the Company’s product development efforts are successful, it is uncertain when, if ever, the Company will realize revenue from product sales.</w:t>
      </w:r>
    </w:p>
    <w:p>
      <w:pPr>
        <w:spacing w:after="0" w:line="207"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The Company's proprietary RPx platform is based on a novel, engineered strain of herpes simplex virus 1, or HSV-1, backbone with added payloads that are intended to maximize immunogenic cell death and the induction of a systemic anti-tumor immune response. In addition to TUDRIQEV, the Company currently has two further RPx product candidates, RP2 and RP3. We have been conducting a number of clinical trials of TUDRIQEV, both as a monotherapy and in combination with anti-PD-1 therapy with the goal of establishing a major skin cancer treatment franchise.</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08"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on the basis of continuity of operations, realization of assets and the satisfaction of liabilities and commitments in the ordinary course of business. The Company has incurred recurring losses since its inception, including net losses of $57.1 million and $83.1 million for the three months ended September 30, 2026 and 2025, and net losses of $126.9 million and $169.8 million for the six months ended September 30, 2026 and 2025, respectively. In addition, as of September 30, 2026, the Company had an accumulated deficit of $1,389.4 million.</w:t>
      </w:r>
    </w:p>
    <w:p>
      <w:pPr>
        <w:spacing w:after="0" w:line="201"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7"/>
          <w:szCs w:val="17"/>
          <w:color w:val="auto"/>
        </w:rPr>
        <w:t>While the Company expects to generate product revenue in the near term from sales of TUDRIQEV, it anticipates that it will continue to incur losses until such time, if ever, that it can generate significant product sales and achieve profitability. As described in the Company's Annual Report on Form 10-K for the year ended March 31, 2026, substantial doubt existed about the Company's ability to continue as a going concern. The conditions that raised substantial doubt have been subsequently alleviated, as the Company raised approximately $141.0 million in net proceeds from an equity offering in August 2026. The Company expects that its cash and cash equivalents and short-term investments will be sufficient to fund its operations and capital expenditure requirements for greater than twelve months from the issuance of these condensed consolidated financial statements, including the commercialization of TUDRIQEV in advanced melanoma and for working capital and general corporate purposes. These estimates are based on assumptions that may prove to be wrong and the Company could utilize its available capital resources sooner than expected.</w:t>
      </w:r>
    </w:p>
    <w:p>
      <w:pPr>
        <w:spacing w:after="0" w:line="185" w:lineRule="exact"/>
        <w:rPr>
          <w:sz w:val="20"/>
          <w:szCs w:val="20"/>
          <w:color w:val="auto"/>
        </w:rPr>
      </w:pPr>
    </w:p>
    <w:p>
      <w:pPr>
        <w:ind w:left="620" w:right="7920" w:hanging="617"/>
        <w:spacing w:after="0" w:line="508" w:lineRule="auto"/>
        <w:tabs>
          <w:tab w:leader="none" w:pos="17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i w:val="1"/>
          <w:iCs w:val="1"/>
          <w:color w:val="auto"/>
        </w:rPr>
        <w:t>Principles of consolidation</w:t>
      </w:r>
    </w:p>
    <w:p>
      <w:pPr>
        <w:spacing w:after="0" w:line="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in accordance with accounting principles generally accepted in the United States of America ("GAAP") and include the accounts of the Company and its direct and indirect wholly owned subsidiaries, Replimune Limited (UK), Replimune, Inc. (US), Replimune Securities Corporation and Replimune (Ireland) Limited after elimination of all intercompany accounts and transactions.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accrual for research and development expenses and the valuation of stock-based awards. The Company bases its estimates on historical experience, known trends and other market-specific or other relevant factors that it believes to be reasonable under the circumstances.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 w:lineRule="exact"/>
        <w:rPr>
          <w:sz w:val="20"/>
          <w:szCs w:val="20"/>
          <w:color w:val="auto"/>
        </w:rPr>
      </w:pPr>
    </w:p>
    <w:p>
      <w:pPr>
        <w:ind w:right="20" w:firstLine="619"/>
        <w:spacing w:after="0" w:line="229" w:lineRule="auto"/>
        <w:rPr>
          <w:sz w:val="20"/>
          <w:szCs w:val="20"/>
          <w:color w:val="auto"/>
        </w:rPr>
      </w:pPr>
      <w:r>
        <w:rPr>
          <w:rFonts w:ascii="Times New Roman" w:cs="Times New Roman" w:eastAsia="Times New Roman" w:hAnsi="Times New Roman"/>
          <w:sz w:val="17"/>
          <w:szCs w:val="17"/>
          <w:color w:val="auto"/>
        </w:rPr>
        <w:t xml:space="preserve">The Company will recognize revenue from sales of a single product, TUDRIQEV in accordance with ASC Topic 606 - </w:t>
      </w:r>
      <w:r>
        <w:rPr>
          <w:rFonts w:ascii="Times New Roman" w:cs="Times New Roman" w:eastAsia="Times New Roman" w:hAnsi="Times New Roman"/>
          <w:sz w:val="17"/>
          <w:szCs w:val="17"/>
          <w:i w:val="1"/>
          <w:iCs w:val="1"/>
          <w:color w:val="auto"/>
        </w:rPr>
        <w:t>Revenue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Customers</w:t>
      </w:r>
      <w:r>
        <w:rPr>
          <w:rFonts w:ascii="Times New Roman" w:cs="Times New Roman" w:eastAsia="Times New Roman" w:hAnsi="Times New Roman"/>
          <w:sz w:val="17"/>
          <w:szCs w:val="17"/>
          <w:color w:val="auto"/>
        </w:rPr>
        <w:t>. TUDRIQEV became available for commercial sale on October 1, 2026 and shipments to customers commenced in the third quarter of fiscal year 2027.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contracted with Cardinal Health as its 3rd Party Logistic (“3PL”) service provider to deliver TUDRIQEV to the end customer under Cardinal Health's Title Model services in the United States. Cardinal 3PL will provide services to the Company that include storage, distribution, returns, customer support, and financial and system access support. Under this model, the end customers will place purchase orders with the specialty distributors who take flash title (title and risk of loss) when the product is received by the end customer.</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Under the Exclusive Distribution Agreement between Replimune and Cardinal, the product will be warehoused in Cardinal’s 3PL facility where Replimune retains title and risk of loss. Title and risk of loss transfers from Replimune to Cardinal Title when Cardinal Title purchases the product from Cardinal 3PL. Under the title model, Cardinal will take legal title of the product when purchased from Cardinal 3PL on behalf of Replimune, allowing Replimune to leverage Cardinal Title’s licensing to distribute the product to the end customers, which is currently limited to the specialty distributors. The Company recognizes revenue when the specialty distributor has received the product and title and risk of loss has been transferred (i.e. when the specialty distributor has taken "flash" title and risk of loss of the product).</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Product revenue is recorded with each sale net of consideration payable to customers and variable consideration. The Company pays fees to the specialty distributors for certain administrative services associated with the distribution of the product. As these fees are not for a distinct good or service, they are a recorded as a reduction of revenue, as well as a deduction of accounts receivable. The variable consideration components include, but are not limited to, the right of return, chargebacks, rebates, Group Purchasing Organization ("GPO") administrative fees and co-pay assistance programs, which are collectively referred to as gross-to-net adjustments. In accordance with ASC 606, the Company must make judgments to determine the estimates for certain variable considerations. 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Company will estimate the amount of variable consideration to include in the transaction price with respect to each of the components of variable consideration using the expected value method. Where appropriate, these estimates are based on factors such as industry and forecasted customer buying and payment patterns, our experience, current contractual and statutory requirements, and specific known market trends.</w:t>
      </w:r>
    </w:p>
    <w:p>
      <w:pPr>
        <w:spacing w:after="0" w:line="17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Variable consideration is reassessed each reporting period, and adjustments are recorded on a cumulative catch-up basis, which affects product revenue and net income in the period of adjustment. The actual amounts of variable consideration ultimately received may differ from our estimates. If actual results in future periods vary from our estimates, we adjust these estimates accordingly. As we gain more experience, estimates will be more heavily based on the expected utilization from historical data we have accumulated since the TUDRIQEV product launch.</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Cost of sales will represent production costs including raw materials, employee-related expenses, including salaries, related benefits, travel and share-based compensation expense for employees engaged in commercial manufacturing functions, external manufacturing costs including outsourced professional expenses services, allocated facilities costs, depreciation and other expenses, and other costs incurred in bringing the inventory to the location and condition prior to sale. Cost of sales may also include costs related to excess or obsolete inventory adjustment charges. All costs associated with the production of TUDRIQEV prior to receiving regulatory approval were expensed in research and development expense, on the condensed consolidated statement of operations in the period incurred and therefore will not be reflected in cost of sales.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236" w:lineRule="exact"/>
        <w:rPr>
          <w:sz w:val="20"/>
          <w:szCs w:val="20"/>
          <w:color w:val="auto"/>
        </w:rPr>
      </w:pPr>
    </w:p>
    <w:p>
      <w:pPr>
        <w:ind w:right="160" w:firstLine="619"/>
        <w:spacing w:after="0" w:line="255" w:lineRule="auto"/>
        <w:rPr>
          <w:sz w:val="20"/>
          <w:szCs w:val="20"/>
          <w:color w:val="auto"/>
        </w:rPr>
      </w:pPr>
      <w:r>
        <w:rPr>
          <w:rFonts w:ascii="Times New Roman" w:cs="Times New Roman" w:eastAsia="Times New Roman" w:hAnsi="Times New Roman"/>
          <w:sz w:val="17"/>
          <w:szCs w:val="17"/>
          <w:color w:val="auto"/>
        </w:rPr>
        <w:t>Accounts receivable will be recorded net of allowances for product returns, chargebacks, and credit losses. The Company will estimate an allowance for credit losses by considering factors such as credit quality, the age of the accounts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receivable balances, and current economic conditions that may affect a customer’s ability to pay. In addition, the Company will estimate the chargebacks, rebates, GPO administrative fees and other discounts it will provide and will deduct these estimated amounts from its gross product revenues at the time revenues are recognized. The Company will estimate these reserves based upon a range of possible outcomes that are probability-weighted for the estimated volume mix subject to various chargebacks, rebates, GPO administrative fees, and other discounts that are either negotiated or required (i.e., government programs). These reserves will be recorded in the same period the revenue is recognized, resulting in a reduction of revenue and the establishment of a current liability, which will be presented in accrued expenses and other current liabilities or as a contra-asset in accounts receivable on the condensed consolidated balance sheet.</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Inventory, net</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values its inventory at the lower of cost or net realizable value, with cost determined using weighted average method for different components of inventory. The Company reviews the recoverability of inventory at each reporting period to determine any changes to net realizable value arising from excess, slow-moving or obsolete inventory. If net realizable value is lower than cost, the inventory will be written down to net realizable value and an impairment charge will be recognized in cost of sales.</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commences capitalization of inventory once regulatory approval is received. Until this date, the Company expenses all such costs as incurred as research and development expenses. The Company capitalizes material costs, labor and applicable overheads that are incurred in the production of its commercial product. Inventory that can be used for either clinical, research or commercial purposes is classified initially as inventory. Inventory that is subsequently used in clinical trials or research activities is expensed once it has been used for research and development purposes.</w:t>
      </w:r>
    </w:p>
    <w:p>
      <w:pPr>
        <w:spacing w:after="0" w:line="197"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On August 6, 2026 the Company received FDA accelerated approval for TUDRIQEV and commenced capitalization of inventory related to this approved product, from this date.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Unaudited interim financial information</w:t>
      </w:r>
    </w:p>
    <w:p>
      <w:pPr>
        <w:spacing w:after="0" w:line="22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accompanying condensed consolidated balance sheet as of September 30, 2026, the condensed consolidated statements of operations, condensed consolidated statements of comprehensive loss and consolidated statements of stockholders’ equity for the three and six months ended September 30, 2026 and 2025 and the condensed consolidated statements of cash flows for the six months ended September 30, 2026 and 2025 are unaudited.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2026 and the results of its operations for the three and six months ended September 30, 2026 and 2025 and its cash flows for the six months ended September 30, 2026 and 2025. The financial data and other information disclosed in these consolidated notes related to the three and six months ended September 30, 2026 and 2025 are unaudited. The results for the three and six months ended September 30, 2026 are not necessarily indicative of results to be expected for the year ending March 31, 2027, any other interim periods or any future year or period. The financial information included herein should be read in conjunction with the financial statements and notes in the Company's Annual Report on Form 10-K for the year ended March 31, 2026, which was filed with the U.S. Securities and Exchange Commission, or the SEC, on June 29, 2026 (the "Annual Report").</w:t>
      </w:r>
    </w:p>
    <w:p>
      <w:pPr>
        <w:spacing w:after="0" w:line="18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included accounting policies for revenue recognition related to product sales, cost of sales, accounts receivable and inventory as a result of the launch of TUDRIQEV. During the three and six months ended September 30, 2026, there have been no other changes to the Company’s significant accounting policies as described in the Annual Report.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In November 2024, the FASB issued ASU-2024-03, Income Statement-Reporting Comprehensive Income-Expense Disaggregation Disclosures (Topic 220): Disaggregation of Income Statement Expenses. The ASU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this ASU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(ASU 2025-06)", which is intended to simplify the capitalization guidance for internal-use software by removing references to project stages and clarifying when the capitalizing of eligible costs is required. The new guidance is effective for annual periods beginning after December 15, 2027, and interim periods within those fiscal years, with early adoption permitted. ASU 2025-06 may be applied retrospectively or prospectively. The Company is in the process of evaluating the impact of this new guidance on its consolidated financial statements and related disclosures.</w:t>
      </w:r>
    </w:p>
    <w:p>
      <w:pPr>
        <w:spacing w:after="0" w:line="171" w:lineRule="exact"/>
        <w:rPr>
          <w:sz w:val="20"/>
          <w:szCs w:val="20"/>
          <w:color w:val="auto"/>
        </w:rPr>
      </w:pPr>
    </w:p>
    <w:p>
      <w:pPr>
        <w:ind w:left="180" w:hanging="177"/>
        <w:spacing w:after="0"/>
        <w:tabs>
          <w:tab w:leader="none" w:pos="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Fair value of financial assets and liabilities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information about the Company’s financial assets and liabilities measured at fair value on a recurring basis: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6"/>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w w:val="99"/>
              </w:rPr>
              <w:t>Fair Value Measurements as of</w:t>
            </w:r>
          </w:p>
        </w:tc>
        <w:tc>
          <w:tcPr>
            <w:tcW w:w="1120" w:type="dxa"/>
            <w:vAlign w:val="bottom"/>
          </w:tcPr>
          <w:p>
            <w:pPr>
              <w:spacing w:after="0"/>
              <w:rPr>
                <w:sz w:val="17"/>
                <w:szCs w:val="17"/>
                <w:color w:val="auto"/>
              </w:rPr>
            </w:pPr>
          </w:p>
        </w:tc>
      </w:tr>
      <w:tr>
        <w:trPr>
          <w:trHeight w:val="230"/>
        </w:trPr>
        <w:tc>
          <w:tcPr>
            <w:tcW w:w="5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September 30, 2026 Using:</w:t>
            </w:r>
          </w:p>
        </w:tc>
        <w:tc>
          <w:tcPr>
            <w:tcW w:w="1120" w:type="dxa"/>
            <w:vAlign w:val="bottom"/>
            <w:tcBorders>
              <w:bottom w:val="single" w:sz="8" w:color="auto"/>
            </w:tcBorders>
          </w:tcPr>
          <w:p>
            <w:pPr>
              <w:spacing w:after="0"/>
              <w:rPr>
                <w:sz w:val="19"/>
                <w:szCs w:val="19"/>
                <w:color w:val="auto"/>
              </w:rPr>
            </w:pPr>
          </w:p>
        </w:tc>
      </w:tr>
      <w:tr>
        <w:trPr>
          <w:trHeight w:val="215"/>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tcPr>
          <w:p>
            <w:pPr>
              <w:spacing w:after="0"/>
              <w:rPr>
                <w:sz w:val="18"/>
                <w:szCs w:val="18"/>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9"/>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93,009</w:t>
            </w:r>
          </w:p>
        </w:tc>
      </w:tr>
      <w:tr>
        <w:trPr>
          <w:trHeight w:val="237"/>
        </w:trPr>
        <w:tc>
          <w:tcPr>
            <w:tcW w:w="52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93,009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Fair Value Measurements as of</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March 31, 2026 Using:</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5"/>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9"/>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104,275</w:t>
            </w:r>
          </w:p>
        </w:tc>
        <w:tc>
          <w:tcPr>
            <w:tcW w:w="100" w:type="dxa"/>
            <w:vAlign w:val="bottom"/>
          </w:tcPr>
          <w:p>
            <w:pPr>
              <w:spacing w:after="0"/>
              <w:rPr>
                <w:sz w:val="19"/>
                <w:szCs w:val="19"/>
                <w:color w:val="auto"/>
              </w:rPr>
            </w:pP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104,275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Government Agency bonds</w:t>
            </w:r>
          </w:p>
        </w:tc>
        <w:tc>
          <w:tcPr>
            <w:tcW w:w="2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15,998</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Government Agency bonds</w:t>
            </w:r>
          </w:p>
        </w:tc>
        <w:tc>
          <w:tcPr>
            <w:tcW w:w="2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3,984</w:t>
            </w:r>
          </w:p>
        </w:tc>
      </w:tr>
      <w:tr>
        <w:trPr>
          <w:trHeight w:val="219"/>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bonds</w:t>
            </w:r>
          </w:p>
        </w:tc>
        <w:tc>
          <w:tcPr>
            <w:tcW w:w="280" w:type="dxa"/>
            <w:vAlign w:val="bottom"/>
          </w:tcPr>
          <w:p>
            <w:pPr>
              <w:spacing w:after="0"/>
              <w:rPr>
                <w:sz w:val="19"/>
                <w:szCs w:val="19"/>
                <w:color w:val="auto"/>
              </w:rPr>
            </w:pPr>
          </w:p>
        </w:tc>
        <w:tc>
          <w:tcPr>
            <w:tcW w:w="14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55,881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55,881</w:t>
            </w:r>
          </w:p>
        </w:tc>
      </w:tr>
      <w:tr>
        <w:trPr>
          <w:trHeight w:val="237"/>
        </w:trPr>
        <w:tc>
          <w:tcPr>
            <w:tcW w:w="52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underlying securities in the money market funds held by the Company are all government backed securities.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three and six months ended September 30, 2026 and 2025, there were no transfers between levels.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cash equivalents and short-term investments</w:t>
      </w:r>
    </w:p>
    <w:p>
      <w:pPr>
        <w:spacing w:after="0" w:line="223"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Money market funds, U.S. Government Agency bonds and U.S. Treasury bonds were valued by the Company using quoted prices in active markets for similar securities, which represent a Level 2 measurement within the fair value hierarchy.</w:t>
      </w:r>
    </w:p>
    <w:p>
      <w:pPr>
        <w:spacing w:after="0" w:line="147" w:lineRule="exact"/>
        <w:rPr>
          <w:sz w:val="20"/>
          <w:szCs w:val="20"/>
          <w:color w:val="auto"/>
        </w:rPr>
      </w:pPr>
    </w:p>
    <w:p>
      <w:pPr>
        <w:ind w:left="180" w:hanging="177"/>
        <w:spacing w:after="0"/>
        <w:tabs>
          <w:tab w:leader="none" w:pos="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Short-term investments</w:t>
      </w:r>
    </w:p>
    <w:p>
      <w:pPr>
        <w:spacing w:after="0" w:line="221"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As of September 30, 2026, the Company did not hold any short-term investments. Financial assets as reported on the Company's condensed consolidated balance sheet, included cash, as well as cash equivalents which consisted solely of money market funds at the end of the quarter. As of March 31, 2026, the Company's available-for-sale investments by type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2"/>
        </w:trPr>
        <w:tc>
          <w:tcPr>
            <w:tcW w:w="1220" w:type="dxa"/>
            <w:vAlign w:val="bottom"/>
            <w:tcBorders>
              <w:top w:val="single" w:sz="8" w:color="0000FF"/>
            </w:tcBorders>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54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Gross unrealized</w:t>
            </w:r>
          </w:p>
        </w:tc>
        <w:tc>
          <w:tcPr>
            <w:tcW w:w="152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7"/>
                <w:szCs w:val="17"/>
                <w:b w:val="1"/>
                <w:bCs w:val="1"/>
                <w:color w:val="auto"/>
              </w:rPr>
              <w:t>Gross unrealized</w:t>
            </w: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220" w:type="dxa"/>
            <w:vAlign w:val="bottom"/>
          </w:tcPr>
          <w:p>
            <w:pPr>
              <w:spacing w:after="0"/>
              <w:rPr>
                <w:sz w:val="13"/>
                <w:szCs w:val="13"/>
                <w:color w:val="auto"/>
              </w:rPr>
            </w:pPr>
          </w:p>
        </w:tc>
        <w:tc>
          <w:tcPr>
            <w:tcW w:w="120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1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US Government agency bonds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3,984</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55,881</w:t>
            </w:r>
          </w:p>
        </w:tc>
        <w:tc>
          <w:tcPr>
            <w:tcW w:w="0" w:type="dxa"/>
            <w:vAlign w:val="bottom"/>
          </w:tcPr>
          <w:p>
            <w:pPr>
              <w:spacing w:after="0"/>
              <w:rPr>
                <w:sz w:val="1"/>
                <w:szCs w:val="1"/>
                <w:color w:val="auto"/>
              </w:rPr>
            </w:pPr>
          </w:p>
        </w:tc>
      </w:tr>
      <w:tr>
        <w:trPr>
          <w:trHeight w:val="212"/>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59,857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59,865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31, 2026, available-for-sale securities consisted of investments that mature within one year.</w:t>
      </w:r>
    </w:p>
    <w:p>
      <w:pPr>
        <w:spacing w:after="0" w:line="213" w:lineRule="exact"/>
        <w:rPr>
          <w:sz w:val="20"/>
          <w:szCs w:val="20"/>
          <w:color w:val="auto"/>
        </w:rPr>
      </w:pPr>
    </w:p>
    <w:p>
      <w:pPr>
        <w:ind w:left="140" w:hanging="137"/>
        <w:spacing w:after="0"/>
        <w:tabs>
          <w:tab w:leader="none" w:pos="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Inventory</w:t>
      </w:r>
    </w:p>
    <w:p>
      <w:pPr>
        <w:spacing w:after="0" w:line="221"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On August 6, 2026, the Company received FDA accelerated approval for TUDRIQEV indicated in combination with nivolumab for the treatment of adult patients with unresectable advanced cutaneous melanoma who experienced disease progression with an anti-PD-1 antibody-based regimen, and commenced capitalization of inventory from this date.</w:t>
      </w:r>
    </w:p>
    <w:p>
      <w:pPr>
        <w:spacing w:after="0" w:line="165"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Prior to August 6, 2026, regulatory approval and subsequent commercialization of TUDRIQEV, including the possibility of future economic benefits from the sales of TUDRIQEV, were not considered probable and inventory-related costs were expensed as incurred to research and development expenses. The inventory recognized on the balance sheet as of September 30, 2026 does not include any pre-launch inventory. There were no capitalized inventory costs recorded as of March 31,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Inventory, net consisted of the following:</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0" w:type="dxa"/>
            <w:vAlign w:val="bottom"/>
          </w:tcPr>
          <w:p>
            <w:pPr>
              <w:spacing w:after="0"/>
              <w:rPr>
                <w:sz w:val="1"/>
                <w:szCs w:val="1"/>
                <w:color w:val="auto"/>
              </w:rPr>
            </w:pPr>
          </w:p>
        </w:tc>
      </w:tr>
      <w:tr>
        <w:trPr>
          <w:trHeight w:val="232"/>
        </w:trPr>
        <w:tc>
          <w:tcPr>
            <w:tcW w:w="8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progress</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inventory, net</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17"/>
                <w:szCs w:val="17"/>
                <w:b w:val="1"/>
                <w:bCs w:val="1"/>
                <w:color w:val="auto"/>
              </w:rPr>
              <w:t>Property, plant and equipment, net</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8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2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plant and equipment, net consisted of the following:</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0" w:type="dxa"/>
            <w:vAlign w:val="bottom"/>
          </w:tcPr>
          <w:p>
            <w:pPr>
              <w:spacing w:after="0"/>
              <w:rPr>
                <w:sz w:val="1"/>
                <w:szCs w:val="1"/>
                <w:color w:val="auto"/>
              </w:rPr>
            </w:pPr>
          </w:p>
        </w:tc>
      </w:tr>
      <w:tr>
        <w:trPr>
          <w:trHeight w:val="232"/>
        </w:trPr>
        <w:tc>
          <w:tcPr>
            <w:tcW w:w="8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w:t>
            </w:r>
          </w:p>
        </w:tc>
        <w:tc>
          <w:tcPr>
            <w:tcW w:w="0" w:type="dxa"/>
            <w:vAlign w:val="bottom"/>
          </w:tcPr>
          <w:p>
            <w:pPr>
              <w:spacing w:after="0"/>
              <w:rPr>
                <w:sz w:val="1"/>
                <w:szCs w:val="1"/>
                <w:color w:val="auto"/>
              </w:rPr>
            </w:pP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manufacturing and laboratory equipment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12,325</w:t>
            </w:r>
          </w:p>
        </w:tc>
        <w:tc>
          <w:tcPr>
            <w:tcW w:w="0" w:type="dxa"/>
            <w:vAlign w:val="bottom"/>
          </w:tcPr>
          <w:p>
            <w:pPr>
              <w:spacing w:after="0"/>
              <w:rPr>
                <w:sz w:val="1"/>
                <w:szCs w:val="1"/>
                <w:color w:val="auto"/>
              </w:rPr>
            </w:pP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software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9,736</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29,705</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(16,731)</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Depreciation and amortization expense, including amortization on capitalized software, was $0.8 million and $1.7 million for the three and six months ended September 30, 2026 and $0.8 million and $1.7 million for the three and six months ended September 30, 2025. Amortization on capitalized software for the three and six months ended September 30, 2026 was $0.3 million and $0.6 million, respectively, and $0.3 million and $0.6 million for the three and six months ended September 30, 2025. Depreciation and amortization expense is recorded within research and development and selling, general and administrative expenses in the consolidated statement of operations.</w:t>
      </w:r>
    </w:p>
    <w:p>
      <w:pPr>
        <w:spacing w:after="0" w:line="171" w:lineRule="exact"/>
        <w:rPr>
          <w:sz w:val="20"/>
          <w:szCs w:val="20"/>
          <w:color w:val="auto"/>
        </w:rPr>
      </w:pPr>
    </w:p>
    <w:p>
      <w:pPr>
        <w:ind w:left="180" w:hanging="177"/>
        <w:spacing w:after="0"/>
        <w:tabs>
          <w:tab w:leader="none" w:pos="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Accrued expenses and other current liabilities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8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83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0" w:type="dxa"/>
            <w:vAlign w:val="bottom"/>
          </w:tcPr>
          <w:p>
            <w:pPr>
              <w:spacing w:after="0"/>
              <w:rPr>
                <w:sz w:val="1"/>
                <w:szCs w:val="1"/>
                <w:color w:val="auto"/>
              </w:rPr>
            </w:pPr>
          </w:p>
        </w:tc>
      </w:tr>
      <w:tr>
        <w:trPr>
          <w:trHeight w:val="232"/>
        </w:trPr>
        <w:tc>
          <w:tcPr>
            <w:tcW w:w="1220" w:type="dxa"/>
            <w:vAlign w:val="bottom"/>
            <w:tcBorders>
              <w:bottom w:val="single" w:sz="8" w:color="CCEEFF"/>
            </w:tcBorders>
          </w:tcPr>
          <w:p>
            <w:pPr>
              <w:spacing w:after="0"/>
              <w:rPr>
                <w:sz w:val="20"/>
                <w:szCs w:val="20"/>
                <w:color w:val="auto"/>
              </w:rPr>
            </w:pPr>
          </w:p>
        </w:tc>
        <w:tc>
          <w:tcPr>
            <w:tcW w:w="7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research and development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26,740</w:t>
            </w:r>
          </w:p>
        </w:tc>
        <w:tc>
          <w:tcPr>
            <w:tcW w:w="0" w:type="dxa"/>
            <w:vAlign w:val="bottom"/>
          </w:tcPr>
          <w:p>
            <w:pPr>
              <w:spacing w:after="0"/>
              <w:rPr>
                <w:sz w:val="1"/>
                <w:szCs w:val="1"/>
                <w:color w:val="auto"/>
              </w:rPr>
            </w:pPr>
          </w:p>
        </w:tc>
      </w:tr>
      <w:tr>
        <w:trPr>
          <w:trHeight w:val="21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 costs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17,483</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2,756</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47,516</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140" w:hanging="137"/>
        <w:spacing w:after="0"/>
        <w:tabs>
          <w:tab w:leader="none" w:pos="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Debt</w:t>
      </w:r>
    </w:p>
    <w:p>
      <w:pPr>
        <w:spacing w:after="0" w:line="20"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On October 6, 2022, the Company and certain of its subsidiaries entered into a Loan and Security Agreement (the “Loan Agreement”), with Hercules Capital, Inc., as administrative agent, collateral agent and as a lender (“Hercules”). Pursuant to the Loan Agreement, the Company can borrow term loans in an aggregate maximum principal amount of up to $200.0 million under multiple tranches (the “Term Loan Facility”). Under the Loan Agreement, the Company borrowed an initial amount of $30.0 million on the closing date, and at the Company's sole option, could have drawn, but did not draw down, an additional $30.0 million on or prior to September 30, 2023. The Company could also draw as additional term loan advances in an aggregate principal amount of up to $115.0 million during the term of the Term Loan Facility subject to achievement of specified performance milestones, and two additional term loan advances up to an aggregate principal amount of $25.0 million subject to certain terms and conditions, on or prior to the end of the interest-only period. The Company intends to use the proceeds of the Term Loan Facility for working capital and general corporate purposes.</w:t>
      </w:r>
    </w:p>
    <w:p>
      <w:pPr>
        <w:spacing w:after="0" w:line="204" w:lineRule="exact"/>
        <w:rPr>
          <w:sz w:val="20"/>
          <w:szCs w:val="20"/>
          <w:color w:val="auto"/>
        </w:rPr>
      </w:pPr>
    </w:p>
    <w:p>
      <w:pPr>
        <w:ind w:right="100" w:firstLine="619"/>
        <w:spacing w:after="0" w:line="241" w:lineRule="auto"/>
        <w:rPr>
          <w:sz w:val="20"/>
          <w:szCs w:val="20"/>
          <w:color w:val="auto"/>
        </w:rPr>
      </w:pPr>
      <w:r>
        <w:rPr>
          <w:rFonts w:ascii="Times New Roman" w:cs="Times New Roman" w:eastAsia="Times New Roman" w:hAnsi="Times New Roman"/>
          <w:sz w:val="17"/>
          <w:szCs w:val="17"/>
          <w:color w:val="auto"/>
        </w:rPr>
        <w:t>The Loan Agreement was subsequently amended (the "Amendment") on June 28, 2023 pursuant to which the Company agreed to draw an initial term loan advance in an aggregate principal amount not less than $30.0 million, provided that the aggregate amount of the term loan advances made under tranche 1 do not exceed $30.0 million, which reflects a decrease of $30.0 million from the $60.0 million in the original Loan Agreement for tranche 1. The total amount of the Loan Agreement, as well as the outstanding balance of the loan, was unchanged, but the option to borrow additional funds were redistributed from tranche 1 to tranche 2.</w:t>
      </w:r>
    </w:p>
    <w:p>
      <w:pPr>
        <w:spacing w:after="0" w:line="205"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17"/>
          <w:szCs w:val="17"/>
          <w:color w:val="auto"/>
        </w:rPr>
        <w:t>A second amendment was made to the Loan Agreement (the "Second Amendment") on December 22, 2023 pursuant to which the Company agreed to draw a term loan advance in an aggregate principal amount not less than $15.0 million, provided that the aggregate amount of the term loan advances made under tranche 2 do not exceed $15.0 million on or prior to December 31, 2023. The Second Amendment re-allocated the total future consideration of the Loan Agreement to the future tranches extending through September 2026, subject to the terms and conditions of the Loan Agreement. The Second Amendment did not change the total aggregate maximum principal amount to be drawn under the Loan Agreement, which remained up to $200.0 million. Upon closing of the Second Amendment on December 22, 2023, the Company drew down the tranche 2 amount of $15.0 million.</w:t>
      </w:r>
    </w:p>
    <w:p>
      <w:pPr>
        <w:spacing w:after="0" w:line="200" w:lineRule="exact"/>
        <w:rPr>
          <w:sz w:val="20"/>
          <w:szCs w:val="20"/>
          <w:color w:val="auto"/>
        </w:rPr>
      </w:pPr>
    </w:p>
    <w:p>
      <w:pPr>
        <w:ind w:right="80" w:firstLine="619"/>
        <w:spacing w:after="0" w:line="241" w:lineRule="auto"/>
        <w:rPr>
          <w:sz w:val="20"/>
          <w:szCs w:val="20"/>
          <w:color w:val="auto"/>
        </w:rPr>
      </w:pPr>
      <w:r>
        <w:rPr>
          <w:rFonts w:ascii="Times New Roman" w:cs="Times New Roman" w:eastAsia="Times New Roman" w:hAnsi="Times New Roman"/>
          <w:sz w:val="17"/>
          <w:szCs w:val="17"/>
          <w:color w:val="auto"/>
        </w:rPr>
        <w:t>A third amendment was made to the Loan Agreement (the "Third Amendment") on January 29, 2026 (the "Third Amendment Closing Date") pursuant to which the Company drew down the tranche 3 loan advance amount of $35.0 million. The Third Amendment maintains a $200.0 million maximum principal amount and re-allocates the future tranches extending through December 2027, subject to the terms and conditions of the Loan Agreement. In addition, the Third Amendment extended the amortization date, with a balloon payment, inclusive of accrued interest and principal due on the maturity date of October 1, 2027 with the caveat that if the Company receives FDA approval prior to October 1, 2027, the amortization and maturity date shall be extended to October 1, 2029. As a result of the Company's receipt of accelerated approval from the FDA on August 6, 2026, the maturity date has been extended to October 1, 2029.</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September 29, 2026 ("Fourth Amendment Closing Date") the Company entered into a fourth amendment to the Loan Agreement (the "Fourth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with Hercules Capital, Inc., pursuant to which the Company agreed to draw a term loan advance in an aggregate principal amount not less than</w:t>
      </w:r>
    </w:p>
    <w:p>
      <w:pPr>
        <w:spacing w:after="0" w:line="237" w:lineRule="auto"/>
        <w:rPr>
          <w:sz w:val="20"/>
          <w:szCs w:val="20"/>
          <w:color w:val="auto"/>
        </w:rPr>
      </w:pPr>
      <w:r>
        <w:rPr>
          <w:rFonts w:ascii="Times New Roman" w:cs="Times New Roman" w:eastAsia="Times New Roman" w:hAnsi="Times New Roman"/>
          <w:sz w:val="17"/>
          <w:szCs w:val="17"/>
          <w:color w:val="auto"/>
        </w:rPr>
        <w:t>$15.0 million on the Fourth Amendment Closing Date, and one additional Term Loan Advance in an original principal amount of up to $15.0 million on or prior to</w:t>
      </w:r>
    </w:p>
    <w:p>
      <w:pPr>
        <w:spacing w:after="0" w:line="237" w:lineRule="auto"/>
        <w:rPr>
          <w:sz w:val="20"/>
          <w:szCs w:val="20"/>
          <w:color w:val="auto"/>
        </w:rPr>
      </w:pPr>
      <w:r>
        <w:rPr>
          <w:rFonts w:ascii="Times New Roman" w:cs="Times New Roman" w:eastAsia="Times New Roman" w:hAnsi="Times New Roman"/>
          <w:sz w:val="17"/>
          <w:szCs w:val="17"/>
          <w:color w:val="auto"/>
        </w:rPr>
        <w:t>March 31, 2027. The Fourth Amendment did not change the total aggregate maximum principal amount to be drawn under the Loan Agreement, which remains as</w:t>
      </w:r>
    </w:p>
    <w:p>
      <w:pPr>
        <w:spacing w:after="0" w:line="238" w:lineRule="auto"/>
        <w:rPr>
          <w:sz w:val="20"/>
          <w:szCs w:val="20"/>
          <w:color w:val="auto"/>
        </w:rPr>
      </w:pPr>
      <w:r>
        <w:rPr>
          <w:rFonts w:ascii="Times New Roman" w:cs="Times New Roman" w:eastAsia="Times New Roman" w:hAnsi="Times New Roman"/>
          <w:sz w:val="17"/>
          <w:szCs w:val="17"/>
          <w:color w:val="auto"/>
        </w:rPr>
        <w:t>up to $200.0 million, but rather it shifted a portion of the total consideration of tranche 4 to a future date. Upon closing of the Fourth Amendment on September</w:t>
      </w:r>
    </w:p>
    <w:p>
      <w:pPr>
        <w:spacing w:after="0" w:line="237" w:lineRule="auto"/>
        <w:rPr>
          <w:sz w:val="20"/>
          <w:szCs w:val="20"/>
          <w:color w:val="auto"/>
        </w:rPr>
      </w:pPr>
      <w:r>
        <w:rPr>
          <w:rFonts w:ascii="Times New Roman" w:cs="Times New Roman" w:eastAsia="Times New Roman" w:hAnsi="Times New Roman"/>
          <w:sz w:val="17"/>
          <w:szCs w:val="17"/>
          <w:color w:val="auto"/>
        </w:rPr>
        <w:t>29, 2026, the Company drew down the initial tranche 4 amount of $15.0 million. Borrowings under the Loan Agreement are repayable in monthly interest-only</w:t>
      </w:r>
    </w:p>
    <w:p>
      <w:pPr>
        <w:spacing w:after="0" w:line="238" w:lineRule="auto"/>
        <w:rPr>
          <w:sz w:val="20"/>
          <w:szCs w:val="20"/>
          <w:color w:val="auto"/>
        </w:rPr>
      </w:pPr>
      <w:r>
        <w:rPr>
          <w:rFonts w:ascii="Times New Roman" w:cs="Times New Roman" w:eastAsia="Times New Roman" w:hAnsi="Times New Roman"/>
          <w:sz w:val="17"/>
          <w:szCs w:val="17"/>
          <w:color w:val="auto"/>
        </w:rPr>
        <w:t>payments through September 2029, with the outstanding principal balance of the Term Loan Facility bearing interest payable in cash at a floating rate per annum</w:t>
      </w:r>
    </w:p>
    <w:p>
      <w:pPr>
        <w:spacing w:after="0"/>
        <w:rPr>
          <w:sz w:val="20"/>
          <w:szCs w:val="20"/>
          <w:color w:val="auto"/>
        </w:rPr>
      </w:pPr>
      <w:r>
        <w:rPr>
          <w:rFonts w:ascii="Times New Roman" w:cs="Times New Roman" w:eastAsia="Times New Roman" w:hAnsi="Times New Roman"/>
          <w:sz w:val="17"/>
          <w:szCs w:val="17"/>
          <w:color w:val="auto"/>
        </w:rPr>
        <w:t>equal to the greater of (i) 8.50% and (ii) the Prime Rate plus 1.75%.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340" w:firstLine="619"/>
        <w:spacing w:after="0" w:line="271" w:lineRule="auto"/>
        <w:rPr>
          <w:sz w:val="20"/>
          <w:szCs w:val="20"/>
          <w:color w:val="auto"/>
        </w:rPr>
      </w:pPr>
      <w:r>
        <w:rPr>
          <w:rFonts w:ascii="Times New Roman" w:cs="Times New Roman" w:eastAsia="Times New Roman" w:hAnsi="Times New Roman"/>
          <w:sz w:val="17"/>
          <w:szCs w:val="17"/>
          <w:color w:val="auto"/>
        </w:rPr>
        <w:t>The principal balance of the Term Loan Facility will bear “payment-in-kind” interest at the rate of 1.50% (“PIK Interest”), which PIK Interest will be added to the outstanding principal balance of the Term Loan Facility on each interest payment date.</w:t>
      </w:r>
    </w:p>
    <w:p>
      <w:pPr>
        <w:spacing w:after="0" w:line="177"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At the Company's option, the Company may prepay all or a portion of the outstanding borrowings, subject to a prepayment fee of 3.0% of the principal amount if prepayment occurs during the 12 months following the Third Amendment Closing Date, 2.0% after 12 months following the Third Amendment Closing Date but prior to 36 months following the Closing Date, and 1.0% thereafter.</w:t>
      </w:r>
    </w:p>
    <w:p>
      <w:pPr>
        <w:spacing w:after="0" w:line="192"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17"/>
          <w:szCs w:val="17"/>
          <w:color w:val="auto"/>
        </w:rPr>
        <w:t>The Loan Agreement contains customary facility fees, events of default and representations, warranties and affirmative and negative covenants, including a financial covenant requiring the Company to maintain unrestricted cash in an amount not less than 35% of the aggregate outstanding secured obligations under the Loan Agreement in accounts subject to a control agreement in favor of the Agent (the “Unrestricted Cash”) at all times which commenced on January 1, 2024. In addition, the Loan Agreement, as amended, also contains a financial covenant that beginning on the later of (i) July 1, 2026 and (ii) the date on which the aggregate outstanding principal amount of the Term Loan Facility is equal to or greater than $100.0 million, the Company is required to satisfy one of the following requirements: (1) achieve a minimum amount of trailing three-month net product revenue tested on a monthly basis, (2) maintain a market capitalization in excess of $1.2 billion and Unrestricted Cash in an amount no less than 50% of the outstanding amount under the Term Loan Facility, or (3) maintain Unrestricted Cash in an amount no less than 85% of the outstanding amount under the Term Loan Facility.</w:t>
      </w:r>
    </w:p>
    <w:p>
      <w:pPr>
        <w:spacing w:after="0" w:line="202" w:lineRule="exact"/>
        <w:rPr>
          <w:sz w:val="20"/>
          <w:szCs w:val="20"/>
          <w:color w:val="auto"/>
        </w:rPr>
      </w:pPr>
    </w:p>
    <w:p>
      <w:pPr>
        <w:ind w:right="140" w:firstLine="619"/>
        <w:spacing w:after="0" w:line="248" w:lineRule="auto"/>
        <w:rPr>
          <w:sz w:val="20"/>
          <w:szCs w:val="20"/>
          <w:color w:val="auto"/>
        </w:rPr>
      </w:pPr>
      <w:r>
        <w:rPr>
          <w:rFonts w:ascii="Times New Roman" w:cs="Times New Roman" w:eastAsia="Times New Roman" w:hAnsi="Times New Roman"/>
          <w:sz w:val="17"/>
          <w:szCs w:val="17"/>
          <w:color w:val="auto"/>
        </w:rPr>
        <w:t>The Company paid a $0.5 million facility charge and incurred debt issuance costs of $1.5 million upon closing of the Loan Agreement. The Loan Agreement also provides for a final payment, payable upon maturity or the repayment of the obligations in full or in part (on a pro rata basis), equal to 4.95% of the aggregate principal amount of Term Loans advanced to the Borrower and repaid on such date, which is being accrued on the Company's consolidated balance sheet. The amount accrued for the final payment is $2.3 million as of September 30, 2026 and $1.7 million as of March 31, 2026.</w:t>
      </w:r>
    </w:p>
    <w:p>
      <w:pPr>
        <w:spacing w:after="0" w:line="198" w:lineRule="exact"/>
        <w:rPr>
          <w:sz w:val="20"/>
          <w:szCs w:val="20"/>
          <w:color w:val="auto"/>
        </w:rPr>
      </w:pPr>
    </w:p>
    <w:p>
      <w:pPr>
        <w:ind w:right="200" w:firstLine="619"/>
        <w:spacing w:after="0" w:line="243" w:lineRule="auto"/>
        <w:rPr>
          <w:sz w:val="20"/>
          <w:szCs w:val="20"/>
          <w:color w:val="auto"/>
        </w:rPr>
      </w:pPr>
      <w:r>
        <w:rPr>
          <w:rFonts w:ascii="Times New Roman" w:cs="Times New Roman" w:eastAsia="Times New Roman" w:hAnsi="Times New Roman"/>
          <w:sz w:val="17"/>
          <w:szCs w:val="17"/>
          <w:color w:val="auto"/>
        </w:rPr>
        <w:t>Unamortized debt issuance costs are recorded as a reduction of the carrying amount on the term loan and amortized as interest expense using the effective-interest method. In addition, unamortized deferred financing costs of $0.4 million and $0.5 million were recorded in other assets as of September 30, 2026 and March 31, 2026, respectively. Interest expense for the three and six months ended September 30, 2026 was $2.5 million and $5.0 million, respectively, and $1.5 million and $3.0 million, respectively, for the three and six months ended September 30, 2025.</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summary of obligations under the term loan as of September 30, 2026 and March 31, 2026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300" w:type="dxa"/>
            <w:vAlign w:val="bottom"/>
          </w:tcPr>
          <w:p>
            <w:pPr>
              <w:spacing w:after="0"/>
              <w:rPr>
                <w:sz w:val="19"/>
                <w:szCs w:val="19"/>
                <w:color w:val="auto"/>
              </w:rPr>
            </w:pPr>
          </w:p>
        </w:tc>
        <w:tc>
          <w:tcPr>
            <w:tcW w:w="18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March 31, 2026</w:t>
            </w:r>
          </w:p>
        </w:tc>
      </w:tr>
      <w:tr>
        <w:trPr>
          <w:trHeight w:val="212"/>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loan balance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97,882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82,252</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Facility charge and diligence fee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r>
      <w:tr>
        <w:trPr>
          <w:trHeight w:val="21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end of term fee</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w:t>
            </w:r>
          </w:p>
        </w:tc>
      </w:tr>
      <w:tr>
        <w:trPr>
          <w:trHeight w:val="237"/>
        </w:trPr>
        <w:tc>
          <w:tcPr>
            <w:tcW w:w="6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Long term debt, net of discount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83,308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annual principal payments due under the Loan Agreement as of fiscal September 30, 2026 and March 31, 2026 were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300" w:type="dxa"/>
            <w:vAlign w:val="bottom"/>
          </w:tcPr>
          <w:p>
            <w:pPr>
              <w:spacing w:after="0"/>
              <w:rPr>
                <w:sz w:val="19"/>
                <w:szCs w:val="19"/>
                <w:color w:val="auto"/>
              </w:rPr>
            </w:pPr>
          </w:p>
        </w:tc>
        <w:tc>
          <w:tcPr>
            <w:tcW w:w="18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March 31, 2026</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84,150</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102,453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84,150</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of future payments of long-term debt excludes the end of term charge of $4.7 million, which is due upon the maturity of the loan.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17"/>
          <w:szCs w:val="17"/>
          <w:b w:val="1"/>
          <w:bCs w:val="1"/>
          <w:color w:val="auto"/>
        </w:rPr>
        <w:t>Stockholders’ equity</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23"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2026 and March 31, 2026, the Company’s certificate of incorporation, as amended and restated, authorized the Company to issue up to 300,000,000 and 150,000,000, respectively, shares of common stock, par value $0.001 per share.</w:t>
      </w:r>
    </w:p>
    <w:p>
      <w:pPr>
        <w:spacing w:after="0" w:line="151"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Company had reserved for common stock for the exercise of outstanding stock options and the vesting of restricted stock units, the number of shares remaining available for grant under the Company’s 2018 Omnibus Incentive Compensation Plan and the Company’s Employee Stock Purchase Plan (see Note 11) and the exercise of the outstanding warrants to purchase shares of common stock as follows:</w:t>
      </w:r>
    </w:p>
    <w:p>
      <w:pPr>
        <w:spacing w:after="0" w:line="200"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6420" w:type="dxa"/>
            <w:vAlign w:val="bottom"/>
          </w:tcPr>
          <w:p>
            <w:pPr>
              <w:spacing w:after="0"/>
              <w:rPr>
                <w:sz w:val="19"/>
                <w:szCs w:val="19"/>
                <w:color w:val="auto"/>
              </w:rPr>
            </w:pPr>
          </w:p>
        </w:tc>
        <w:tc>
          <w:tcPr>
            <w:tcW w:w="246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2026</w:t>
            </w:r>
          </w:p>
        </w:tc>
      </w:tr>
      <w:tr>
        <w:trPr>
          <w:trHeight w:val="212"/>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issued and outstanding</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11,273,533</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9"/>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and performance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4,946,984</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and restricted stock units, future issuance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3,819,646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 available for future grants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4,799,623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Pre-funded warrants</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16,794,493</w:t>
            </w: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2"/>
        </w:trPr>
        <w:tc>
          <w:tcPr>
            <w:tcW w:w="6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shares of common stock reserved for future issuance</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41,634,279</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37,0</w:t>
            </w:r>
          </w:p>
        </w:tc>
      </w:tr>
      <w:tr>
        <w:trPr>
          <w:trHeight w:val="20"/>
        </w:trPr>
        <w:tc>
          <w:tcPr>
            <w:tcW w:w="64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Undesignated preferred stock</w:t>
      </w:r>
    </w:p>
    <w:p>
      <w:pPr>
        <w:spacing w:after="0" w:line="223"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2026, the Company’s certificate of incorporation, as amended and restated, authorized the Company to issue up to 10,000,000 shares of undesignated preferred stock, par value $0.001 per share. There were no undesignated preferred shares issued or outstanding as of September 30, 2026.</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ATM program</w:t>
      </w:r>
    </w:p>
    <w:p>
      <w:pPr>
        <w:spacing w:after="0" w:line="210" w:lineRule="exact"/>
        <w:rPr>
          <w:sz w:val="20"/>
          <w:szCs w:val="20"/>
          <w:color w:val="auto"/>
        </w:rPr>
      </w:pPr>
    </w:p>
    <w:p>
      <w:pPr>
        <w:jc w:val="both"/>
        <w:ind w:right="100" w:firstLine="619"/>
        <w:spacing w:after="0" w:line="243" w:lineRule="auto"/>
        <w:rPr>
          <w:sz w:val="20"/>
          <w:szCs w:val="20"/>
          <w:color w:val="auto"/>
        </w:rPr>
      </w:pPr>
      <w:r>
        <w:rPr>
          <w:rFonts w:ascii="Times New Roman" w:cs="Times New Roman" w:eastAsia="Times New Roman" w:hAnsi="Times New Roman"/>
          <w:sz w:val="17"/>
          <w:szCs w:val="17"/>
          <w:color w:val="auto"/>
        </w:rPr>
        <w:t>On August 3, 2023, the Company and Leerink Partners LLC (the "Agent") entered into a sales agreement, which was subsequently amended on May 16, 2024, November 25, 2024 and May 22, 2025 (as so amended, the "2023 Sales Agreement"). Under the 2023 Sales Agreement, the Company may sell, from time to time, at its option, up to an aggregate of $100.0 million of shares of the Company's common stock, $0.001 par value shares (the "Shares"), through the Agent, as the Company's sales agent.</w:t>
      </w:r>
    </w:p>
    <w:p>
      <w:pPr>
        <w:spacing w:after="0" w:line="175" w:lineRule="exact"/>
        <w:rPr>
          <w:sz w:val="20"/>
          <w:szCs w:val="20"/>
          <w:color w:val="auto"/>
        </w:rPr>
      </w:pPr>
    </w:p>
    <w:p>
      <w:pPr>
        <w:jc w:val="both"/>
        <w:ind w:right="100" w:firstLine="619"/>
        <w:spacing w:after="0" w:line="245" w:lineRule="auto"/>
        <w:rPr>
          <w:sz w:val="20"/>
          <w:szCs w:val="20"/>
          <w:color w:val="auto"/>
        </w:rPr>
      </w:pPr>
      <w:r>
        <w:rPr>
          <w:rFonts w:ascii="Times New Roman" w:cs="Times New Roman" w:eastAsia="Times New Roman" w:hAnsi="Times New Roman"/>
          <w:sz w:val="17"/>
          <w:szCs w:val="17"/>
          <w:color w:val="auto"/>
        </w:rPr>
        <w:t>Any Shares to be offered and sold under the 2023 Sales Agreement will be issued and sold (i) by methods deemed to be an “at the market offering” (“ATM”) as defined in Rule 415(a)(4) promulgated under the Securities Act of 1933, as amended (the "Securities Act"), or if authorized by the Company, in negotiated transactions or block trades, and (ii) pursuant to a registration statement on Form S-3 filed by the Company with the SEC on November 6, 2025, which became effective in accordance with the provisions of Section 8(a) of the Securities Act, for an offering of various securities, including shares of the Company’s common stock, preferred stock, debt securities, warrants and/or units for sale to the public in one or more public offerings.</w:t>
      </w:r>
    </w:p>
    <w:p>
      <w:pPr>
        <w:spacing w:after="0" w:line="188"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Subject to the terms of the 2023 Sales Agreement, the Agent will use reasonable efforts to sell the Shares from time to time, based upon the Company’s instructions (including any price, time or size limits or other customary parameters or conditions the Company may impose). The Company will pay the Agent a commission of up to 3.0% of the gross proceeds from the sale of the Shares. The Company has also agreed to provide the Agent with customary indemnification rights.</w:t>
      </w:r>
    </w:p>
    <w:p>
      <w:pPr>
        <w:spacing w:after="0" w:line="171"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During the year ended March 31, 2026, pursuant to the 2023 Sales Agreement, the Company issued and sold an aggregate of 4,019,975 shares of its common stock, resulting in net proceeds of $31.1 million, with $67.9 million left to sell under the Agreement.</w:t>
      </w:r>
    </w:p>
    <w:p>
      <w:pPr>
        <w:spacing w:after="0" w:line="151"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During the six months ended September 30, 2026 and 2025, the Company did not issue or sell any shares under the 2023 Sales Agreement. The Company cannot provide any assurances that it will issue any Shares pursuant to the 2023 Sales Agreement.</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Equity offerings</w:t>
      </w: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On June 14, 2024, the Company completed a private placement transaction (the "Private Placement") pursuant to which the Company sold (a) 5,668,937 shares of the Company's common stock, at an offering price of $8.82, and (b) in lieu of common stock to certain investors, pre-funded warrants to purchase 5,669,578 shares of the Company's common stock at an offering price of $8.819 per pre-funded warrant (the "June 2024 Pre-funded Warrants"). The Company received aggregate net proceeds in the Private Placement of approximately $96.7 million after deducting placement agent fees and other offering expenses payable by the Company of approximately $3.3 million.</w:t>
      </w:r>
    </w:p>
    <w:p>
      <w:pPr>
        <w:spacing w:after="0" w:line="175"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On November 25, 2024, the Company completed a public offering of (a) 8,538,377 shares of the Company’s common stock, inclusive of the underwriters fully exercised 30-day option to purchase up to 1,615,377 additional shares of the Company's common stock at a public offering price of $13.00 per share, and (b) pre-funded warrants to purchase 3,846,184 shares of the Company’s common stock at a public offering price of $12.9999 per pre-funded warrant (the "December 2024 Pre-Funded Warrants"). The company received aggregate net proceeds of approximately $156.0 million after deducting fees and expenses of approximately $5.0 million.</w:t>
      </w:r>
    </w:p>
    <w:p>
      <w:pPr>
        <w:spacing w:after="0" w:line="179"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On August 10, 2026, the Company completed an offering of (a) 9,701,490 shares of the Company’s common stock at an offering price of $12.06 per share and, (b) in lieu of common stock to certain investors, pre-funded warrants to purchase 2,736,340 shares of its common stock at an offering price of $12.0599 per pre-funded warrant (the "August 2026 Pre-Funded Warrants"). The Company received aggregate net proceeds of approximately $141.0 million after deducting fees and expenses of approximately $9.0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10 </w:t>
      </w:r>
      <w:r>
        <w:rPr>
          <w:rFonts w:ascii="Times New Roman" w:cs="Times New Roman" w:eastAsia="Times New Roman" w:hAnsi="Times New Roman"/>
          <w:sz w:val="17"/>
          <w:szCs w:val="17"/>
          <w:b w:val="1"/>
          <w:bCs w:val="1"/>
          <w:color w:val="auto"/>
        </w:rPr>
        <w:t>Pre-funded Warrants</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Company's pre-funded warrants are exercisable at any time after the date of their issuance. As of September 30, 2026, unless otherwise modified by a holder of a pre-funded warrant, no holder may exercise a pre-funded warrant (i) if such holder, together with its affiliates, would beneficially own more than 9.99% (or, in the case of the December 2024 Pre-Funded Warrants and August 2026 Pre-Funded Warrants, 4.99%) of the number of shares of the Company’s common stock outstanding immediately after giving effect to such exercise, or (ii) if the combined voting power of our securities beneficially owned by such holder, together with its affiliates, would exceed 9.99% (or, in the case of the December 2024 Pre-Funded Warrants and August 2026 Pre-Funded Warrants, 4.99%) of the combined voting power of all of our securities then outstanding immediately after giving effect to the exercise of such pre-funded warrants, as such percentage ownership is determined in accordance with the terms of the pre-funded warrants. A holder of the June 2024 Pre-funded Warrants may increase or decrease this percentage to any other percentage not in excess of 9.99%, whereas a holder of the Company's other pre-funded warrants, may increase or decrease this percentage up to 19.99%, in all cases, by providing at least 61 days’ prior notice to the Company.</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16,794,493 shares of the Company's common stock underlying the pre-funded warrants issued by the Company are not included in the number of issued and outstanding shares of the Company’s common stock as reported on the consolidated balance sheet, though they are included in the Company's annual pool increase calculation as described in Note 11, as well as the weighted average outstanding common stock in the calculation of basic and diluted net loss per share, as described below in Note 12.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Stock-based compensation</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Stock-based compensation expense was classified in the consolidated statements of operations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2820" w:type="dxa"/>
            <w:vAlign w:val="bottom"/>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0"/>
        </w:trPr>
        <w:tc>
          <w:tcPr>
            <w:tcW w:w="48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15"/>
        </w:trPr>
        <w:tc>
          <w:tcPr>
            <w:tcW w:w="48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9,068</w:t>
            </w:r>
          </w:p>
        </w:tc>
      </w:tr>
      <w:tr>
        <w:trPr>
          <w:trHeight w:val="21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8,032</w:t>
            </w:r>
          </w:p>
        </w:tc>
      </w:tr>
      <w:tr>
        <w:trPr>
          <w:trHeight w:val="237"/>
        </w:trPr>
        <w:tc>
          <w:tcPr>
            <w:tcW w:w="48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by award type for the three and six months ended September 30, 2026 and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20" w:type="dxa"/>
            <w:vAlign w:val="bottom"/>
            <w:tcBorders>
              <w:top w:val="single" w:sz="8" w:color="0000FF"/>
            </w:tcBorders>
          </w:tcPr>
          <w:p>
            <w:pPr>
              <w:spacing w:after="0"/>
              <w:rPr>
                <w:sz w:val="24"/>
                <w:szCs w:val="24"/>
                <w:color w:val="auto"/>
              </w:rPr>
            </w:pPr>
          </w:p>
        </w:tc>
        <w:tc>
          <w:tcPr>
            <w:tcW w:w="4000" w:type="dxa"/>
            <w:vAlign w:val="bottom"/>
          </w:tcPr>
          <w:p>
            <w:pPr>
              <w:spacing w:after="0"/>
              <w:rPr>
                <w:sz w:val="24"/>
                <w:szCs w:val="24"/>
                <w:color w:val="auto"/>
              </w:rPr>
            </w:pPr>
          </w:p>
        </w:tc>
        <w:tc>
          <w:tcPr>
            <w:tcW w:w="2460" w:type="dxa"/>
            <w:vAlign w:val="bottom"/>
            <w:gridSpan w:val="4"/>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8,298</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Restricted and performance stock units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8,802</w:t>
            </w:r>
          </w:p>
        </w:tc>
        <w:tc>
          <w:tcPr>
            <w:tcW w:w="0" w:type="dxa"/>
            <w:vAlign w:val="bottom"/>
          </w:tcPr>
          <w:p>
            <w:pPr>
              <w:spacing w:after="0"/>
              <w:rPr>
                <w:sz w:val="1"/>
                <w:szCs w:val="1"/>
                <w:color w:val="auto"/>
              </w:rPr>
            </w:pPr>
          </w:p>
        </w:tc>
      </w:tr>
      <w:tr>
        <w:trPr>
          <w:trHeight w:val="237"/>
        </w:trPr>
        <w:tc>
          <w:tcPr>
            <w:tcW w:w="12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10,545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17,100</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2018 Omnibus Incentive Compensation Plan</w:t>
      </w:r>
    </w:p>
    <w:p>
      <w:pPr>
        <w:spacing w:after="0" w:line="22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July 9, 2018, the Company’s board of directors adopted, and the Company’s stockholders approved the 2018 Omnibus Incentive Compensation Plan (the “2018 Plan”), which became effective immediately prior to the effectiveness of the registration statement filed in connection with the Company’s initial public offering. The 2018 Plan provides for the issuance of incentive stock options, non-qualified stock options, stock awards, stock units, stock appreciation rights and other stock-based awards. The number of shares of common stock initially reserved for issuance under the 2018 Plan is 3,617,968 shares. If any options or stock appreciation rights, including outstanding options and stock appreciation rights granted under the 2017 Plan (up to 2,520,247 shares), terminate, expire, or are canceled, forfeited, exchanged, or surrendered without having been exercised, or if any stock awards, stock units or other stock-based awards, including outstanding awards granted under the 2017 Plan, are forfeited, terminated, or otherwise not paid in full in shares of common stock, the shares of the Company’s common stock subject to such grants will be available for purposes of the 2018 Plan. The number of shares reserved for issuance under the 2018 Plan will increase automatically on the first day of each April equal to 4.0% of the total number of shares of common stock outstanding on the last trading day in the immediately preceding fiscal year, which includes for these purposes, the 14,058,153 shares issuable upon exercise of those pre-funded warrants as of March 31, 2026, as described in Note 10 to these condensed consolidated financial statements, or such lesser amount as determined by the board of directors. On April 1, 2026, the number of shares reserved for issuance under the 2018 Plan automatically increased by 3,871,003 shares pursuant to the terms of the 2018 Plan and based on total number of shares of common stock outstanding on March 31, 2026. As of September 30, 2026, 3,819,646 shares remained available for future grants under the 2018 Plan.</w:t>
      </w:r>
    </w:p>
    <w:p>
      <w:pPr>
        <w:spacing w:after="0" w:line="39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2018 Plan is administered by the board of directors or, at the discretion of the board of directors, by a committee of the board of directors. However, the board of directors shall administer and approve all grants made to non-employee directors. The exercise prices, vesting and other restrictions are determined at the discretion of the board of directors, except that the exercise price per share of incentive stock options may not be less than 100% of the fair market value of the common stock on the date of grant (or 110% of fair value in the case of an award granted to employees who hold more than 10% of the total combined voting power of all classes of stock at the time of grant) and the term of stock options may not be greater than five years for an incentive stock option granted to a 10% stockholder and greater than ten years for all other options granted. Stock options awarded under both plans expire ten years after the grant date, unless the board of directors sets a shorter term. Vesting periods for the plan is determined at the discretion of the board of directors. Incentive stock options granted to employees and non-statutory options granted to employees, officers, members of the board of directors, advisors, and consultants of the Company typically vest over four years. In 2021, the board of directors initiated the award of restricted stock units ("RSUs"), under the 2018 Plan in addition to stock option awards available as part of the Company's equity incentive for employees, officers, advisors and consultants of the Company. The RSUs typically vest over four approximately equal annual installments with the first such installment occurring on a designated vesting date that is approximately on the one-year anniversary of the date of grant and the subsequent installments occurring on the subsequent three annual anniversaries of the designated vesting date.</w:t>
      </w:r>
    </w:p>
    <w:p>
      <w:pPr>
        <w:spacing w:after="0" w:line="192"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In 2024, the Company's board of directors approved the award of performance stock units ("PSUs"), under the 2018 Plan in addition to the aforementioned stock option awards and RSUs available as part of the Company’s equity incentive for employees, officers, advisors and consultants of the Company, subject to non-market performance and service conditions. The grant date fair value for the PSUs is determined based on the market price of the Company's common stock on the grant date and expense is recognized over the requisite service period if and when the achievement of such performance condition is determined to be probable by the Company. On June 30, 2026, the compensation committee of the board of directors agreed to extend the performance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 with respect to the “Target” performance level set forth in the PSU Award Agreement to end on December 24, 2026. Accordingly, the PSUs would vest at</w:t>
      </w:r>
    </w:p>
    <w:p>
      <w:pPr>
        <w:spacing w:after="0" w:line="3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100% given the approval of the Company's first Biologics License Application ("BLA") for TUDRIQEV by the Food and Drug Administration ("FDA"). Upon receipt and announcement of approval from the FDA on August 6, 2026, the performance conditions were considered probable and were achieved. As a result, the PSUs vested and their expense was taken in the amount of approximately $3.2 million on August 7, 2026. The Company did not grant any PSUs under the 2018 Plan during the three and six months ended September 30, 2026 or 2025.</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July 9, 2018, the Company’s board of directors adopted and the Company’s stockholders approved the Employee Stock Purchase Plan (the “ESPP”), which became effective immediately prior to the effectiveness of the registration statement that was filed in connection with the Company’s IPO. The total shares of common stock initially reserved for issuance under the ESPP is 348,612 shares. In addition, as of the first trading day of each fiscal year during the term of the ESPP (excluding any extensions), an additional number of shares of the Company’s common stock equal to 1% of the total number of shares outstanding on the last trading day in the immediately preceding fiscal year, which includes for these purposes, the 14,058,153 shares issuable upon exercise of those pre-funded warrants described in Note 10 to these condensed consolidated financial statements, or 697,224 shares, whichever is less (or such lesser amount as determined by the Company’s board of directors) will be added to the number of shares authorized under the ESPP. In accordance with the terms of the ESPP, on April 1, 2026, the number of shares reserved for issuance under the ESPP automatically increased by 697,224, for a total of 4,799,623 shares reserved for the ESPP. If the total number of shares of common stock to be purchased pursuant to outstanding purchase rights on any particular date exceed the number of shares then available for issuance under the ESPP, then the plan administrator will allocate the available shares pro-rata and refund any excess payroll deductions or other contributions to participants. The Company’s ESPP is not currently active.</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Out-of-Plan Inducement Grants</w:t>
      </w:r>
    </w:p>
    <w:p>
      <w:pPr>
        <w:spacing w:after="0" w:line="223" w:lineRule="exact"/>
        <w:rPr>
          <w:sz w:val="20"/>
          <w:szCs w:val="20"/>
          <w:color w:val="auto"/>
        </w:rPr>
      </w:pPr>
    </w:p>
    <w:p>
      <w:pPr>
        <w:ind w:right="140" w:firstLine="619"/>
        <w:spacing w:after="0" w:line="257" w:lineRule="auto"/>
        <w:rPr>
          <w:sz w:val="20"/>
          <w:szCs w:val="20"/>
          <w:color w:val="auto"/>
        </w:rPr>
      </w:pPr>
      <w:r>
        <w:rPr>
          <w:rFonts w:ascii="Times New Roman" w:cs="Times New Roman" w:eastAsia="Times New Roman" w:hAnsi="Times New Roman"/>
          <w:sz w:val="17"/>
          <w:szCs w:val="17"/>
          <w:color w:val="auto"/>
        </w:rPr>
        <w:t>From time to time, the Company grants equity awards to newly hired employees and executives as a material inducement to enter into employment with the Company. The grants constitute "employment inducement grants" in accordance with Rule 5635(c)(4) of the Nasdaq Listing Rules and have been issued outside of the 2018 Plan and each of the other stock incentive plans described above. The inducement grants typically include nonqualified stock options to purchase shares of the Company's common stock, as well as restricted stock unit grants representing shares of the Company's common stock. These stock option and restricted stock unit inducement grants have terms and conditions consistent with those set forth under the 2018 Plan and vest under the same respective vesting schedules as stock option and restricted stock unit awards granted under the 2018 Plan. The inducement grants are included in the stock option and RSU award tables below. During the six months ended September 30, 2026, the Company granted 150,000 nonqualified stock options to purchase shares of the Company's common stock, and 100,000 restricted stock units under an employment inducement grant. During the six months ended September 30, 2025, the Company granted 202,945 nonqualified stock options to purchase shares of the Company's common stock, and 333,130 restricted stock units under employment inducement grants.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 valuation</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fair value of stock option grants is estimated using the Black-Scholes option-pricing model, which requires inputs based on certain subjective assumptions including the expected stock price volatility, the expected term of the option, the risk-free interest rate determined by reference to the U.S Treasury yield curve in effect at the time of grant of the award for a period that approximates the expected term of the option, and our expected dividend yield. The expected term of stock options granted to non-employees is equal to the contractual term of the option award. Expected dividend yield is based on the fact that the Company has never paid cash dividends and does not expect to pay any cash dividends in the foreseeable future. For options with service-based vesting conditions, the expected term of the Company’s stock options has been determined utilizing the “simplified” method for awards that qualify as “plain-vanilla” options.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Forfeitures are accounted for as they occur.</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on a weighted-average basis, the assumptions that the Company used to determine the grant-date fair value of stock options granted to employees and directors: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250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0" w:type="dxa"/>
            <w:vAlign w:val="bottom"/>
          </w:tcPr>
          <w:p>
            <w:pPr>
              <w:spacing w:after="0"/>
              <w:rPr>
                <w:sz w:val="16"/>
                <w:szCs w:val="16"/>
                <w:color w:val="auto"/>
              </w:rPr>
            </w:pPr>
          </w:p>
        </w:tc>
        <w:tc>
          <w:tcPr>
            <w:tcW w:w="2760" w:type="dxa"/>
            <w:vAlign w:val="bottom"/>
            <w:gridSpan w:val="4"/>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9"/>
              </w:rPr>
              <w:t>Six Months Ended</w:t>
            </w:r>
          </w:p>
        </w:tc>
      </w:tr>
      <w:tr>
        <w:trPr>
          <w:trHeight w:val="230"/>
        </w:trPr>
        <w:tc>
          <w:tcPr>
            <w:tcW w:w="5180" w:type="dxa"/>
            <w:vAlign w:val="bottom"/>
          </w:tcPr>
          <w:p>
            <w:pPr>
              <w:spacing w:after="0"/>
              <w:rPr>
                <w:sz w:val="19"/>
                <w:szCs w:val="19"/>
                <w:color w:val="auto"/>
              </w:rPr>
            </w:pPr>
          </w:p>
        </w:tc>
        <w:tc>
          <w:tcPr>
            <w:tcW w:w="2080" w:type="dxa"/>
            <w:vAlign w:val="bottom"/>
            <w:tcBorders>
              <w:bottom w:val="single" w:sz="8" w:color="auto"/>
            </w:tcBorders>
            <w:gridSpan w:val="3"/>
          </w:tcPr>
          <w:p>
            <w:pPr>
              <w:jc w:val="center"/>
              <w:ind w:left="8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15"/>
        </w:trPr>
        <w:tc>
          <w:tcPr>
            <w:tcW w:w="51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4.00 %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3.97 %</w:t>
            </w:r>
          </w:p>
        </w:tc>
      </w:tr>
      <w:tr>
        <w:trPr>
          <w:trHeight w:val="219"/>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6.1</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83.9 %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76.5 %</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0 %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bl>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Company’s stock option activity: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20" w:type="dxa"/>
            <w:vAlign w:val="bottom"/>
            <w:tcBorders>
              <w:top w:val="single" w:sz="8" w:color="0000FF"/>
            </w:tcBorders>
          </w:tcPr>
          <w:p>
            <w:pPr>
              <w:spacing w:after="0"/>
              <w:rPr>
                <w:sz w:val="24"/>
                <w:szCs w:val="24"/>
                <w:color w:val="auto"/>
              </w:rPr>
            </w:pPr>
          </w:p>
        </w:tc>
        <w:tc>
          <w:tcPr>
            <w:tcW w:w="4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220" w:type="dxa"/>
            <w:vAlign w:val="bottom"/>
          </w:tcPr>
          <w:p>
            <w:pPr>
              <w:spacing w:after="0"/>
              <w:rPr>
                <w:sz w:val="24"/>
                <w:szCs w:val="24"/>
                <w:color w:val="auto"/>
              </w:rPr>
            </w:pPr>
          </w:p>
        </w:tc>
        <w:tc>
          <w:tcPr>
            <w:tcW w:w="120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7"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15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7" w:lineRule="exact"/>
              <w:rPr>
                <w:sz w:val="20"/>
                <w:szCs w:val="20"/>
                <w:color w:val="auto"/>
              </w:rPr>
            </w:pPr>
            <w:r>
              <w:rPr>
                <w:rFonts w:ascii="Times New Roman" w:cs="Times New Roman" w:eastAsia="Times New Roman" w:hAnsi="Times New Roman"/>
                <w:sz w:val="17"/>
                <w:szCs w:val="17"/>
                <w:b w:val="1"/>
                <w:bCs w:val="1"/>
                <w:color w:val="auto"/>
                <w:w w:val="97"/>
              </w:rPr>
              <w:t>Exercise</w:t>
            </w:r>
          </w:p>
        </w:tc>
        <w:tc>
          <w:tcPr>
            <w:tcW w:w="15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b w:val="1"/>
                <w:bCs w:val="1"/>
                <w:color w:val="auto"/>
              </w:rPr>
              <w:t>Contractual</w:t>
            </w:r>
          </w:p>
        </w:tc>
        <w:tc>
          <w:tcPr>
            <w:tcW w:w="220" w:type="dxa"/>
            <w:vAlign w:val="bottom"/>
          </w:tcPr>
          <w:p>
            <w:pPr>
              <w:spacing w:after="0"/>
              <w:rPr>
                <w:sz w:val="14"/>
                <w:szCs w:val="14"/>
                <w:color w:val="auto"/>
              </w:rPr>
            </w:pPr>
          </w:p>
        </w:tc>
        <w:tc>
          <w:tcPr>
            <w:tcW w:w="120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w w:val="99"/>
              </w:rPr>
              <w:t>Intrinsic</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Term (Years)</w:t>
            </w:r>
          </w:p>
        </w:tc>
        <w:tc>
          <w:tcPr>
            <w:tcW w:w="220" w:type="dxa"/>
            <w:vAlign w:val="bottom"/>
          </w:tcPr>
          <w:p>
            <w:pPr>
              <w:spacing w:after="0"/>
              <w:rPr>
                <w:sz w:val="20"/>
                <w:szCs w:val="20"/>
                <w:color w:val="auto"/>
              </w:rPr>
            </w:pPr>
          </w:p>
        </w:tc>
        <w:tc>
          <w:tcPr>
            <w:tcW w:w="120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2"/>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2026</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11,785,458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0" w:type="dxa"/>
            <w:vAlign w:val="bottom"/>
          </w:tcPr>
          <w:p>
            <w:pPr>
              <w:spacing w:after="0"/>
              <w:rPr>
                <w:sz w:val="1"/>
                <w:szCs w:val="1"/>
                <w:color w:val="auto"/>
              </w:rPr>
            </w:pPr>
          </w:p>
        </w:tc>
      </w:tr>
      <w:tr>
        <w:trPr>
          <w:trHeight w:val="219"/>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2,444,528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Cancelled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(2,185,558)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16.58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11,273,533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2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Options exercisable as of September 30, 2026</w:t>
            </w:r>
          </w:p>
        </w:tc>
        <w:tc>
          <w:tcPr>
            <w:tcW w:w="1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7,523,534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14.82</w:t>
            </w:r>
          </w:p>
        </w:tc>
        <w:tc>
          <w:tcPr>
            <w:tcW w:w="10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19,464</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vested and expected to vest as of September 30,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11,273,533</w:t>
            </w:r>
          </w:p>
        </w:tc>
        <w:tc>
          <w:tcPr>
            <w:tcW w:w="3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36,823</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2026, there was $23.0 million of unrecognized compensation cost related to unvested common stock options, which is expected to be recognized over a weighted average period of 2.6 years.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weighted average grant-date fair value of stock options granted during the six months ended September 30, 2026 and 2025 was $7.07 and $5.81, respectively. The aggregate intrinsic value of stock options exercised during the six months ended September 30, 2026 was $4.6 million and the aggregate intrinsic value of stock options exercised during the six months ended September 30, 2025 was immaterial.</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and performance stock units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changes in the Company’s RSUs and PSUs during the six months ended September 30, 2026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4"/>
              <w:spacing w:after="0" w:line="175"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0" w:type="dxa"/>
            <w:vAlign w:val="bottom"/>
          </w:tcPr>
          <w:p>
            <w:pPr>
              <w:spacing w:after="0"/>
              <w:rPr>
                <w:sz w:val="1"/>
                <w:szCs w:val="1"/>
                <w:color w:val="auto"/>
              </w:rPr>
            </w:pPr>
          </w:p>
        </w:tc>
      </w:tr>
      <w:tr>
        <w:trPr>
          <w:trHeight w:val="168"/>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Grant Date Fair</w:t>
            </w: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Restricted Shares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2026</w:t>
            </w:r>
          </w:p>
        </w:tc>
        <w:tc>
          <w:tcPr>
            <w:tcW w:w="158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w w:val="99"/>
              </w:rPr>
              <w:t>5,508,882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w w:val="99"/>
              </w:rPr>
              <w:t>3,284,980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58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7"/>
                <w:szCs w:val="17"/>
                <w:color w:val="auto"/>
              </w:rPr>
              <w:t>(1,615,846)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0" w:type="dxa"/>
            <w:vAlign w:val="bottom"/>
          </w:tcPr>
          <w:p>
            <w:pPr>
              <w:spacing w:after="0"/>
              <w:rPr>
                <w:sz w:val="1"/>
                <w:szCs w:val="1"/>
                <w:color w:val="auto"/>
              </w:rPr>
            </w:pP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Cancelled</w:t>
            </w:r>
          </w:p>
        </w:tc>
        <w:tc>
          <w:tcPr>
            <w:tcW w:w="158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7"/>
                <w:szCs w:val="17"/>
                <w:color w:val="auto"/>
              </w:rPr>
              <w:t>(2,231,032)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2026</w:t>
            </w:r>
          </w:p>
        </w:tc>
        <w:tc>
          <w:tcPr>
            <w:tcW w:w="1580" w:type="dxa"/>
            <w:vAlign w:val="bottom"/>
            <w:tcBorders>
              <w:bottom w:val="single" w:sz="8" w:color="auto"/>
            </w:tcBorders>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w w:val="99"/>
              </w:rPr>
              <w:t>4,946,984</w:t>
            </w:r>
          </w:p>
        </w:tc>
        <w:tc>
          <w:tcPr>
            <w:tcW w:w="8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During the six months ended September 30, 2026 and 2025, the weighted average grant date fair value of awards granted is $29.7 million and $20.9 million, respectively. In addition, the total fair value of shares vested during the six months ended September 30, 2026 and 2025 is $16.0 million and $13.1 million, respectively. As of September 30, 2026, there was $39.1 million of unrecognized compensation cost related to unvested restricted stock units, which is expected to be recognized over a weighted average period of 2.7 years. In addition, there is no remaining unrecognized compensation cost related to performance based awards tied to the achievement of a company milestone.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Net loss per share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 was calculated as follows: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82"/>
        </w:trPr>
        <w:tc>
          <w:tcPr>
            <w:tcW w:w="1220" w:type="dxa"/>
            <w:vAlign w:val="bottom"/>
            <w:tcBorders>
              <w:top w:val="single" w:sz="8" w:color="0000FF"/>
            </w:tcBorders>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24"/>
                <w:szCs w:val="24"/>
                <w:color w:val="auto"/>
              </w:rPr>
            </w:pPr>
          </w:p>
        </w:tc>
        <w:tc>
          <w:tcPr>
            <w:tcW w:w="2780" w:type="dxa"/>
            <w:vAlign w:val="bottom"/>
            <w:gridSpan w:val="4"/>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r>
      <w:tr>
        <w:trPr>
          <w:trHeight w:val="212"/>
        </w:trPr>
        <w:tc>
          <w:tcPr>
            <w:tcW w:w="122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9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(169,793)</w:t>
            </w:r>
          </w:p>
        </w:tc>
      </w:tr>
      <w:tr>
        <w:trPr>
          <w:trHeight w:val="19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Weighted average common shares outstanding, 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105,176,101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91,915,769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101,042,985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91,717,076</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16,794,493 shares of the Company's common stock issuable upon exercise of pre-funded warrants described in Note 10 to these condensed consolidated financial statements are included as outstanding common stock in the calculation of basic and diluted net loss per share.</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Company’s potentially dilutive securities, which include stock options, unvested restricted and performance stock units and warrants to purchase shares of common stock that resulted from the conversion of warrants to purchase shares of series seed preferred stock existing before the Company's IPO, have been excluded from the computation of diluted net loss per share as the effect would be to reduce the net loss per share. Therefore, the weighted 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8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7"/>
          <w:szCs w:val="17"/>
          <w:b w:val="1"/>
          <w:bCs w:val="1"/>
          <w:color w:val="auto"/>
        </w:rPr>
        <w:t>Three and Six Months Ended</w:t>
      </w:r>
    </w:p>
    <w:p>
      <w:pPr>
        <w:jc w:val="center"/>
        <w:ind w:left="820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6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11,273,533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12,232,757</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Unvested restricted and performance stock units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4,946,984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5,107,447</w:t>
            </w:r>
          </w:p>
        </w:tc>
      </w:tr>
      <w:tr>
        <w:trPr>
          <w:trHeight w:val="237"/>
        </w:trPr>
        <w:tc>
          <w:tcPr>
            <w:tcW w:w="8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16,220,517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17,340,204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b w:val="1"/>
          <w:bCs w:val="1"/>
          <w:color w:val="auto"/>
        </w:rPr>
        <w:t>Significant agreements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Agreement with Bristol-Myers Squibb Company</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February 2018, the Company entered into an agreement with Bristol-Myers Squibb Company (“BMS”). Pursuant to the agreement, BMS provided to the Company, at no cost, a compound for use in the Company’s IGNYTE Phase 1/2 trials with RP1. Under the agreement, the Company would sponsor, fund and conduct the clinical trials in accordance with an agreed-upon protocol. In April 2019, the Company entered into a separate agreement with BMS, on terms similar to the terms set forth in the RP1 agreement, pursuant to which BMS will provide to the Company, at no cost, nivolumab for use in the Company’s Phase 1 clinical trial with RP2 in accordance with an agreed-upon protocol.</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is not using BMS supplied nivolumab in the conduct of the IGNYTE-3 clinical trial, however, BMS supplied nivolumab is being used in the conduct of the REVEAL clinical trial.</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(x) in the event of an uncured material breach by the other party, (y) in the event the other party is insolvent or in bankruptcy proceedings or (z) for safety reasons. Upon termination, the licenses granted to the Company to use BMS’s compound in the clinical trial will terminate.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b w:val="1"/>
          <w:bCs w:val="1"/>
          <w:color w:val="auto"/>
        </w:rPr>
        <w:t>Collaboration and other arrangements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Roche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December 2022, the Company entered into a Master Clinical Trial Collaboration and Supply Agreement with Roche in relation to the Company's RP2 and RP3 programs in colorectal cancer, or CRC, and hepatocellular carcinoma, or HCC. Under the agreement, the companies intended to collaborate in 30 patient cohort signal finding studies in third-line, or 3L, CRC and in first- and second-line, or 1L and 2L, respectively, HCC. Following the Company's re-prioritization of its product development portfolio in December 2023, the Company agreed with Roche to terminate the CRC collaboration and pursue the 2L cohort in HCC with RP2 only. Roche has continued to supply its currently approved drugs, atezolizumab and bevacizumab for the 2L cohort in HCC but is not sharing costs following the Company's re-prioritization. Under the terms of the agreement the Company retained the responsibility of operating the clinical trials as well as retaining all the rights to the development and commercialization of its product candidates. The agreement may be terminated by either party upon sixty days prior written notice to the other party.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Amgen</w:t>
      </w:r>
    </w:p>
    <w:p>
      <w:pPr>
        <w:spacing w:after="0" w:line="23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In August 2023 the Company entered into a Settlement Agreement with Amgen and mutually agreed to terminate the Company's challenges to Amgen's patents. In connection with the Settlement Agreement, the Company entered into a License and Covenant Agreement with Amgen in which the Company agreed to pay Amgen low single-digit royalty payments on net sales of its products that, but for the license, could be found to infringe a valid Amgen patent on a country-by-country and product-by-product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b w:val="1"/>
          <w:bCs w:val="1"/>
          <w:color w:val="auto"/>
        </w:rPr>
        <w:t>Commitments and contingencies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the lease-related costs which are included in the consolidated statements of operations for the three and six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2026 and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5"/>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r>
      <w:tr>
        <w:trPr>
          <w:trHeight w:val="212"/>
        </w:trPr>
        <w:tc>
          <w:tcPr>
            <w:tcW w:w="39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9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cost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3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 costs: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right-of-use asset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r>
      <w:tr>
        <w:trPr>
          <w:trHeight w:val="219"/>
        </w:trPr>
        <w:tc>
          <w:tcPr>
            <w:tcW w:w="3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w:t>
            </w:r>
          </w:p>
        </w:tc>
      </w:tr>
      <w:tr>
        <w:trPr>
          <w:trHeight w:val="21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costs</w:t>
            </w: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r>
      <w:tr>
        <w:trPr>
          <w:trHeight w:val="212"/>
        </w:trPr>
        <w:tc>
          <w:tcPr>
            <w:tcW w:w="3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lease cost</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10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100" w:type="dxa"/>
            <w:vAlign w:val="bottom"/>
          </w:tcPr>
          <w:p>
            <w:pPr>
              <w:spacing w:after="0"/>
              <w:rPr>
                <w:sz w:val="18"/>
                <w:szCs w:val="18"/>
                <w:color w:val="auto"/>
              </w:rPr>
            </w:pPr>
          </w:p>
        </w:tc>
        <w:tc>
          <w:tcPr>
            <w:tcW w:w="440" w:type="dxa"/>
            <w:vAlign w:val="bottom"/>
            <w:tcBorders>
              <w:bottom w:val="single" w:sz="8" w:color="auto"/>
            </w:tcBorders>
            <w:gridSpan w:val="2"/>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r>
      <w:tr>
        <w:trPr>
          <w:trHeight w:val="20"/>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r>
      <w:tr>
        <w:trPr>
          <w:trHeight w:val="478"/>
        </w:trPr>
        <w:tc>
          <w:tcPr>
            <w:tcW w:w="11240" w:type="dxa"/>
            <w:vAlign w:val="bottom"/>
            <w:gridSpan w:val="19"/>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classification of lease costs in the consolidated statement of operations for the three and six months ended September</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30, 2026 and 2025 as follows: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51"/>
        </w:trPr>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r>
      <w:tr>
        <w:trPr>
          <w:trHeight w:val="212"/>
        </w:trPr>
        <w:tc>
          <w:tcPr>
            <w:tcW w:w="39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9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 Costs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2"/>
        </w:trPr>
        <w:tc>
          <w:tcPr>
            <w:tcW w:w="3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607</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607</w:t>
            </w:r>
          </w:p>
        </w:tc>
        <w:tc>
          <w:tcPr>
            <w:tcW w:w="40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1,214</w:t>
            </w:r>
          </w:p>
        </w:tc>
        <w:tc>
          <w:tcPr>
            <w:tcW w:w="44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w:t>
            </w:r>
          </w:p>
        </w:tc>
      </w:tr>
      <w:tr>
        <w:trPr>
          <w:trHeight w:val="219"/>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502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 Costs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2"/>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205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r>
      <w:tr>
        <w:trPr>
          <w:trHeight w:val="219"/>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1,415</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2,800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-605155</wp:posOffset>
            </wp:positionV>
            <wp:extent cx="2766695" cy="147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6695" cy="147320"/>
                    </a:xfrm>
                    <a:prstGeom prst="rect">
                      <a:avLst/>
                    </a:prstGeom>
                    <a:noFill/>
                  </pic:spPr>
                </pic:pic>
              </a:graphicData>
            </a:graphic>
          </wp:anchor>
        </w:drawing>
      </w:r>
    </w:p>
    <w:p>
      <w:pPr>
        <w:spacing w:after="0" w:line="26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maturity of the Company's lease liabilities on an undiscounted cash flow basis by fiscal year and a reconciliation to the operating and finance lease liabilities recognized on its balance sheet as of September 30, 2026:</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9"/>
              </w:rPr>
              <w:t>Operating leases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Finance lease</w:t>
            </w:r>
          </w:p>
        </w:tc>
        <w:tc>
          <w:tcPr>
            <w:tcW w:w="32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 (remaining six months)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4,077</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4,080</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3,684</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w:t>
            </w:r>
          </w:p>
        </w:tc>
      </w:tr>
      <w:tr>
        <w:trPr>
          <w:trHeight w:val="21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25,803</w:t>
            </w: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43,129</w:t>
            </w:r>
          </w:p>
        </w:tc>
      </w:tr>
      <w:tr>
        <w:trPr>
          <w:trHeight w:val="21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15,703</w:t>
            </w: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The following table provides lease disclosure for the six months ended September 30, 2026 and 2025: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22"/>
        </w:trPr>
        <w:tc>
          <w:tcPr>
            <w:tcW w:w="6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620" w:type="dxa"/>
            <w:vAlign w:val="bottom"/>
            <w:tcBorders>
              <w:bottom w:val="single" w:sz="8" w:color="auto"/>
            </w:tcBorders>
          </w:tcPr>
          <w:p>
            <w:pPr>
              <w:spacing w:after="0"/>
              <w:rPr>
                <w:sz w:val="24"/>
                <w:szCs w:val="24"/>
                <w:color w:val="auto"/>
              </w:rPr>
            </w:pPr>
          </w:p>
        </w:tc>
      </w:tr>
      <w:tr>
        <w:trPr>
          <w:trHeight w:val="212"/>
        </w:trPr>
        <w:tc>
          <w:tcPr>
            <w:tcW w:w="63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606</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601</w:t>
            </w:r>
          </w:p>
        </w:tc>
        <w:tc>
          <w:tcPr>
            <w:tcW w:w="620" w:type="dxa"/>
            <w:vAlign w:val="bottom"/>
            <w:shd w:val="clear" w:color="auto" w:fill="CCEEFF"/>
          </w:tcPr>
          <w:p>
            <w:pPr>
              <w:spacing w:after="0"/>
              <w:rPr>
                <w:sz w:val="19"/>
                <w:szCs w:val="19"/>
                <w:color w:val="auto"/>
              </w:rPr>
            </w:pP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1,007</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1,039</w:t>
            </w:r>
          </w:p>
        </w:tc>
        <w:tc>
          <w:tcPr>
            <w:tcW w:w="620" w:type="dxa"/>
            <w:vAlign w:val="bottom"/>
          </w:tcPr>
          <w:p>
            <w:pPr>
              <w:spacing w:after="0"/>
              <w:rPr>
                <w:sz w:val="19"/>
                <w:szCs w:val="19"/>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416</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343</w:t>
            </w:r>
          </w:p>
        </w:tc>
        <w:tc>
          <w:tcPr>
            <w:tcW w:w="620" w:type="dxa"/>
            <w:vAlign w:val="bottom"/>
            <w:shd w:val="clear" w:color="auto" w:fill="CCEEFF"/>
          </w:tcPr>
          <w:p>
            <w:pPr>
              <w:spacing w:after="0"/>
              <w:rPr>
                <w:sz w:val="19"/>
                <w:szCs w:val="19"/>
                <w:color w:val="auto"/>
              </w:rPr>
            </w:pP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52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3.4</w:t>
            </w: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color w:val="auto"/>
              </w:rPr>
              <w:t>years</w:t>
            </w: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4.3</w:t>
            </w:r>
          </w:p>
        </w:tc>
        <w:tc>
          <w:tcPr>
            <w:tcW w:w="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years</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12.8</w:t>
            </w:r>
          </w:p>
        </w:tc>
        <w:tc>
          <w:tcPr>
            <w:tcW w:w="1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years</w:t>
            </w: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13.8</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years</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52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10.4 %</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10.4 %</w:t>
            </w:r>
          </w:p>
        </w:tc>
        <w:tc>
          <w:tcPr>
            <w:tcW w:w="620" w:type="dxa"/>
            <w:vAlign w:val="bottom"/>
          </w:tcPr>
          <w:p>
            <w:pPr>
              <w:spacing w:after="0"/>
              <w:rPr>
                <w:sz w:val="19"/>
                <w:szCs w:val="19"/>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8.3 %</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8.3 %</w:t>
            </w:r>
          </w:p>
        </w:tc>
        <w:tc>
          <w:tcPr>
            <w:tcW w:w="620" w:type="dxa"/>
            <w:vAlign w:val="bottom"/>
            <w:shd w:val="clear" w:color="auto" w:fill="CCEEFF"/>
          </w:tcPr>
          <w:p>
            <w:pPr>
              <w:spacing w:after="0"/>
              <w:rPr>
                <w:sz w:val="19"/>
                <w:szCs w:val="19"/>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variable lease costs and short-term lease costs were insignificant for the three and six months ended September 30, 2026 and 2025 respectively.</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Manufacturing commitments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has entered into an agreement with a contract manufacturing organization to provide clinical trial products. As of September 30, 2026 and March 31, 2026, the Company had committed to minimum payments under these arrangements totaling $0.8 million and $0.8 million, respectively.</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agreements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executive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therefore it has not accrued any liabilities related to such obligations in its condensed consolidated financial statements as of September 30, 2026 or March 31, 2026.</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From time to time, the Company may become involved in legal proceedings arising in the ordinary course of business. The Company records a liability for such matters when it is probable that future losses will be incurred and that such losses can be reasonably estimated. Significant judgment is required to determine both probability and the estimated amount.</w:t>
      </w:r>
    </w:p>
    <w:p>
      <w:pPr>
        <w:spacing w:after="0" w:line="19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On July 24, 2025, a class action complaint alleging violations of the federal securities laws was filed against the Company and its directors and certain officers in the United States District Court for the District of Massachusetts, or the District of Massachusetts. The complaint, captioned Jboor v. Replimune Group, Inc. et al., Case No. 1:25-cv-12085-JEK, was filed shortly after the Company announced it received a complete response letter from the FDA for its RP1 BLA for the treatment of advanced melanoma on July 22, 2025 and the subsequent decline in the trading price of the Company's common stock. The Court has appointed a lead plaintiff, or the Lead Plaintiff. On January 13, 2026, Lead Plaintiff filed an amended complaint. Following the second CRL issued by the FDA on April 10, 2026 for the Company's RP1 BLA for the treatment of advanced melanoma, the Lead Plaintiff filed a second amended complaint in the class action that addresses the second CRL. The Company and the other defendants filed a motion to dismiss the second amended complaint on August 17, 2026 which is scheduled to be fully briefed in December 2026. The Company and the other defendants deny any wrongdoing and continue to vigorously defend this action.</w:t>
      </w:r>
    </w:p>
    <w:p>
      <w:pPr>
        <w:spacing w:after="0" w:line="201"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Following the class action complaint, three shareholders filed separate derivative actions on behalf of the Company in the District of Massachusetts captioned Chea v. Patel et al., Case No. 1:25-cv-12316-JEK, Wright v. Patel et al., Case No. 1:25-cv-12401-WGY, and Vochten v. Patel et al., Case No. 1:25-cv-12484-JEK. The plaintiffs allege substantially similar facts as the class action complaint and assert that the Company’s directors and officers breached their fiduciary duties. The parties have consolidated the derivative actions and agreed to a stay pending further developments in the class action.</w:t>
      </w:r>
    </w:p>
    <w:p>
      <w:pPr>
        <w:spacing w:after="0" w:line="19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On September 10, 2025, the Company received a letter from a shareholder demanding that the Company's board of directors take action to address alleged wrongdoing by certain directors and officers. The demand letter alleged substantially similar facts as the class action and derivative action complaints. The board of directors determined to defer action on the demand pending further developments in the class action.</w:t>
      </w:r>
    </w:p>
    <w:p>
      <w:pPr>
        <w:spacing w:after="0" w:line="19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On September 29, 2025, the SEC informed the Company that it was conducting an investigation and requested that the Company produce certain documents and communications connected with the RP1 BLA. The investigation is reviewing essentially the same subject matter raised in the litigation following the CRL. On June 24, 2026, the SEC informed the Company that it has concluded its investigation of the Company and that it is not recommending an enforcement action be taken against the Company.</w:t>
      </w:r>
    </w:p>
    <w:p>
      <w:pPr>
        <w:spacing w:after="0" w:line="184"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On August 6, 2026, a class action complaint alleging violations of the federal securities laws was filed against the Company and its directors and certain officers in the District of Massachusetts. The complaint, captioned Toor v. Replimune Group, Inc. et al., Case No. 1:26-cv-13612, alleges essentially the same facts and circumstances as are alleged in Jboor v. Replimune Group, Inc. et al., Case No. 1:25-cv-12085. On September 18, 2026, Lead Plaintiff in the Jboor action filed a motion to consolidate the related action in Toor v. Replimune Group, Inc. et al., Case No. 1:26-cv-13612 into the Jboor action. On October 5, 2026, two plaintiffs in the Toor action filed motions for appointment as lead plaintiff and approval of selection of counsel. On October 19,2026, the Company and other defendants filed a memorandum in opposition. The Company and the other defendants deny any wrongdoing and continue to vigorously defend this action.</w:t>
      </w:r>
    </w:p>
    <w:p>
      <w:pPr>
        <w:spacing w:after="0" w:line="213"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As the matters noted above are preliminary, the Company is unable to determine whether any loss will ultimately occur and cannot reasonably estimate the range of expected exposure. Therefore, the Company has not recorded any liability in the condensed consolidated financial statements as of and for the three and six months ended September 30,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b w:val="1"/>
          <w:bCs w:val="1"/>
          <w:color w:val="auto"/>
        </w:rPr>
        <w:t>Income taxes</w:t>
      </w:r>
    </w:p>
    <w:p>
      <w:pPr>
        <w:spacing w:after="0" w:line="208"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Company did not record an income tax provision for the six months ended September 30, 2026 or 2025 as a result of forecasted United States and United Kingdom losses for the respective years.</w:t>
      </w:r>
    </w:p>
    <w:p>
      <w:pPr>
        <w:spacing w:after="0" w:line="191"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its deferred tax assets both in the United States and United Kingdom, which primarily consist of net operating loss carryforwards. The Company has considered its history of cumulative net losses, future reversals of existing taxable temporary differences, estimated future taxable income and prudent and feasible tax planning strategies and has concluded that it is more likely than not that the Company will not realize the benefits of its deferred tax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17 </w:t>
      </w:r>
      <w:r>
        <w:rPr>
          <w:rFonts w:ascii="Times New Roman" w:cs="Times New Roman" w:eastAsia="Times New Roman" w:hAnsi="Times New Roman"/>
          <w:sz w:val="17"/>
          <w:szCs w:val="17"/>
          <w:b w:val="1"/>
          <w:bCs w:val="1"/>
          <w:color w:val="auto"/>
        </w:rPr>
        <w:t>Geographic information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operates in two geographic regions: the United States (Massachusetts) and the United Kingdom (Oxfordshire). Information about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long-lived assets held in different geographic regions is presented in the table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7"/>
                <w:szCs w:val="17"/>
                <w:color w:val="auto"/>
              </w:rPr>
            </w:pPr>
          </w:p>
        </w:tc>
        <w:tc>
          <w:tcPr>
            <w:tcW w:w="132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0" w:type="dxa"/>
            <w:vAlign w:val="bottom"/>
          </w:tcPr>
          <w:p>
            <w:pPr>
              <w:spacing w:after="0"/>
              <w:rPr>
                <w:sz w:val="1"/>
                <w:szCs w:val="1"/>
                <w:color w:val="auto"/>
              </w:rPr>
            </w:pPr>
          </w:p>
        </w:tc>
      </w:tr>
      <w:tr>
        <w:trPr>
          <w:trHeight w:val="232"/>
        </w:trPr>
        <w:tc>
          <w:tcPr>
            <w:tcW w:w="8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12,174</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17"/>
          <w:szCs w:val="17"/>
          <w:b w:val="1"/>
          <w:bCs w:val="1"/>
          <w:color w:val="auto"/>
        </w:rPr>
        <w:t>Segment information</w:t>
      </w:r>
    </w:p>
    <w:p>
      <w:pPr>
        <w:spacing w:after="0" w:line="221"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The Company manages its operations as a single operating and reportable segment with a focus on developing and commercializing novel oncolytic immunotherapies in order to treat cancer. The Company defines its segments on the basis of the way in which internally reported financial information is regularly reviewed to analyze financial performance and make operating decisions. The Company’s Chief Operating Decision Maker ("CODM") is the Chief Executive Officer. The CODM reviews consolidated operating results, and uses the Company's loss from operations and consolidated net income (loss), in order to monitor actual results as compared to the budget, and to determine how best to allocate the Company's operating and capital resources, specifically as it relates to the Company's development programs.</w:t>
      </w:r>
    </w:p>
    <w:p>
      <w:pPr>
        <w:spacing w:after="0" w:line="173" w:lineRule="exact"/>
        <w:rPr>
          <w:sz w:val="20"/>
          <w:szCs w:val="20"/>
          <w:color w:val="auto"/>
        </w:rPr>
      </w:pPr>
    </w:p>
    <w:p>
      <w:pPr>
        <w:ind w:right="56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selected financial information with respect to the Company's single operating segment, including significant segment expenses by program, for the three and six months ended September 30, 2026 and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17"/>
                <w:szCs w:val="17"/>
                <w:color w:val="auto"/>
              </w:rPr>
            </w:pPr>
          </w:p>
        </w:tc>
        <w:tc>
          <w:tcPr>
            <w:tcW w:w="228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80" w:type="dxa"/>
            <w:vAlign w:val="bottom"/>
          </w:tcPr>
          <w:p>
            <w:pPr>
              <w:spacing w:after="0"/>
              <w:rPr>
                <w:sz w:val="19"/>
                <w:szCs w:val="19"/>
                <w:color w:val="auto"/>
              </w:rPr>
            </w:pPr>
          </w:p>
        </w:tc>
        <w:tc>
          <w:tcPr>
            <w:tcW w:w="2280" w:type="dxa"/>
            <w:vAlign w:val="bottom"/>
            <w:gridSpan w:val="3"/>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5"/>
        </w:trPr>
        <w:tc>
          <w:tcPr>
            <w:tcW w:w="59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9"/>
        </w:trPr>
        <w:tc>
          <w:tcPr>
            <w:tcW w:w="5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RP1 program costs by study: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IGNYTE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6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1,578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6,014</w:t>
            </w:r>
          </w:p>
        </w:tc>
      </w:tr>
      <w:tr>
        <w:trPr>
          <w:trHeight w:val="219"/>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ARTACUS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1,132</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3,235</w:t>
            </w:r>
          </w:p>
        </w:tc>
      </w:tr>
      <w:tr>
        <w:trPr>
          <w:trHeight w:val="219"/>
        </w:trPr>
        <w:tc>
          <w:tcPr>
            <w:tcW w:w="5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CERPASS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w:t>
            </w:r>
          </w:p>
        </w:tc>
      </w:tr>
      <w:tr>
        <w:trPr>
          <w:trHeight w:val="219"/>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IGNYTE-3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14,768</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11,335</w:t>
            </w:r>
          </w:p>
        </w:tc>
      </w:tr>
      <w:tr>
        <w:trPr>
          <w:trHeight w:val="219"/>
        </w:trPr>
        <w:tc>
          <w:tcPr>
            <w:tcW w:w="5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RP1 study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1,439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9,963</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RP2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18,266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9,128</w:t>
            </w:r>
          </w:p>
        </w:tc>
      </w:tr>
      <w:tr>
        <w:trPr>
          <w:trHeight w:val="219"/>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RP3</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549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Unallocated research and development expenses¹:</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46,006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71,969</w:t>
            </w:r>
          </w:p>
        </w:tc>
      </w:tr>
      <w:tr>
        <w:trPr>
          <w:trHeight w:val="219"/>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21,916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40,885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58,994</w:t>
            </w:r>
          </w:p>
        </w:tc>
      </w:tr>
      <w:tr>
        <w:trPr>
          <w:trHeight w:val="212"/>
        </w:trPr>
        <w:tc>
          <w:tcPr>
            <w:tcW w:w="5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56,281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124,529</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174,715</w:t>
            </w:r>
          </w:p>
        </w:tc>
      </w:tr>
      <w:tr>
        <w:trPr>
          <w:trHeight w:val="212"/>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(56,281)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(124,529)</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(174,715)</w:t>
            </w:r>
          </w:p>
        </w:tc>
      </w:tr>
      <w:tr>
        <w:trPr>
          <w:trHeight w:val="21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(2,358)</w:t>
            </w:r>
          </w:p>
        </w:tc>
        <w:tc>
          <w:tcPr>
            <w:tcW w:w="3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4,922</w:t>
            </w:r>
          </w:p>
        </w:tc>
      </w:tr>
      <w:tr>
        <w:trPr>
          <w:trHeight w:val="212"/>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(57,121)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(83,100)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(126,887)</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(169,793)</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¹Includes personnel-related costs and other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19 </w:t>
      </w:r>
      <w:r>
        <w:rPr>
          <w:rFonts w:ascii="Times New Roman" w:cs="Times New Roman" w:eastAsia="Times New Roman" w:hAnsi="Times New Roman"/>
          <w:sz w:val="17"/>
          <w:szCs w:val="17"/>
          <w:b w:val="1"/>
          <w:bCs w:val="1"/>
          <w:color w:val="auto"/>
        </w:rPr>
        <w:t>Subsequent Events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October 1, 2026 the Company announced the commercial availability of TUDRIQEV in the United States. Healthcare providers began ordering TUDRIQEV for next day delivery on October 2, 2026. TUDRIQEV is indicated in combination with nivolumab for the treatment of adult patients with unresectable advanced cutaneous melanoma who experienced disease progression with a programmed death receptor-1 (PD-1)-blocking antibody-based regimen. This indication is approved under accelerated approval based on objective response rate and duration of response. Continued approval for this indication may be contingent upon verification of clinical benefit in a confirmatory trial(s).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condensed consolidated financial statements and related notes appearing in Part I, Item 1 of this Quarterly Report on Form 10-Q, or this Quarterly Report, and with our audited consolidated financial statements and notes thereto for the year ended March 31, 2026, included in our Annual Report on Form 10-K for the fiscal year ended March 31, 2026.</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In addition to historical information, some of the statements contained in this discussion and analysis or set forth elsewhere in this Quarterly Report, including information with respect to our plans and strategy for our business, constitute forward-looking statements within the meaning of Section 27A of the Securities Act of 1933, as amended, and Section 21E of the Securities Exchange Act of 1934, as amended, or the Exchange Act. We have based these forward-looking statements on our current expectations and projections about future events. The following information and any forward-looking statements should be considered in light of factors discussed elsewhere in this Quarterly Report, particularly including those risks identified in Part II, Item 1A “Risk Factors” and our other filings with the Securities Exchange Commission, or the SEC.</w:t>
      </w:r>
    </w:p>
    <w:p>
      <w:pPr>
        <w:spacing w:after="0" w:line="16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Statements made herein are as of the date of the filing of this Quarterly Report with the SEC and should not be relied upon as of any subsequent date.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a commercial-stage biotechnology company committed to applying our leading expertise in the field of oncolytic immunotherapy to transform the lives of cancer patients through our novel oncolytic immunotherapies. Our proprietary oncolytic immunotherapy product and product candidates are designed and intended to maximally activate the immune system against cancer.</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Oncolytic immunotherapy is an emerging drug class. Oncolytic immunotherapy exploits the ability of certain viruses to selectively replicate in and directly kill tumors, as well as induce a potent, patient-specific, anti-tumor immune response. Our product and product candidates incorporate multiple mechanisms into a practical “off-the-shelf” approach that is intended to maximize the immune response against a patient’s cancer and to offer significant advantages over other approaches to inducing anti-tumor immunity. We believe that the bundling of multiple approaches for the treatment of cancer into single therapies will increase clinical efficacy and simplify the development path of our product and product candidates, while also improving patient outcomes.</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proprietary RPx platform is based on a novel, engineered strain of herpes simplex virus 1, or HSV-1, backbone with payloads added that are intended to maximize immunogenic cell death and the induction of a systemic anti-tumor immune response. The RPx platform is intended to have unique dual local and systemic activity consisting of direct selective virus-mediated killing of the tumor resulting in the release of tumor-derived antigens and altering of the tumor microenvironment to ignite a strong and durable systemic response. Our product and product candidates are expected to be synergistic with most established and experimental cancer treatment modalities, and, with an attractive safety profile, the RPx platform is expected to have the versatility to be developed alone or combined with a variety of other treatment options. In addition to TUDRIQEV, we currently have two further RPx product candidates in our development pipeline, RP2 (sturlimgene erparepvec) and RP3. Although our fiscal year ends March 31st, our programs and program updates are reported on a calendar year basis.</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have been conducting a number of clinical trials of RP1, both as a monotherapy and in combination with anti-PD-1 therapy, with the goal of establishing a major skin cancer treatment franchise.</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leading clinical trial of RP1 was referred to as the IGNYTE trial, which was a multi-cohort clinical trial being conducted in collaboration with Bristol Myers Squibb Company, or BMS, under which BMS has granted us a non-exclusive, royalty-free license to, and is supplying at no cost, its anti-PD-1 therapy, nivolumab, for use in combination with RP1.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17"/>
          <w:szCs w:val="17"/>
          <w:color w:val="auto"/>
        </w:rPr>
        <w:t>The leading tumor specific cohort in the IGNYTE trial was our registration directed Phase 2 expansion cohort in anti-PD-1 failed cutaneous melanoma. The anti-PD-1 failed melanoma cohort from the IGNYTE trial included 140 patients who received RP1 in combination with nivolumab. On August 6, 2026, we announced the FDA granted accelerated approval to TUDRIQEV (vusolimogene oderparepvec-wtpg), previously referred to as RP1, in combination with nivolumab for the treatment of adults with unresectable advanced cutaneous melanoma who experienced disease progression on an anti-PD-1 antibody-based regimen. This indication is approved under accelerated approval based on objective response rate and duration of response. Continued approval for this indication may be contingent on verification of clinical benefit in a confirmatory trial(s). Since approval, we have engaged with more than 70 percent of our 200 predefined priority accounts to establish workflows and enable efficient adoption and handling of TUDRIQEV. Since becoming commercially available in early October 2026, about 20 melanoma institutions have placed TUDRIQEV on formulary and, as of October 23, 2026 over 15 institutions have written one or more prescriptions and have started treating patients with TUDRIQEV. We have also established a patient support program, ReplimuneConnect Plus, providing a comprehensive range of support services for enrolled TUDRIQEV patients.</w:t>
      </w:r>
    </w:p>
    <w:p>
      <w:pPr>
        <w:spacing w:after="0" w:line="17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Since commercial launch in early October 2026, multiple payer policies have published, from both major national and regional payers, that cover TUDRIQEV to label, including retreatment if clinically appropriate. These payer policies represent a majority of commercially covered lives. In addition, Medicare coverage has been established and TUDRIQEV has been listed in the NCCN Clinical Practice Guidelines in Oncology as a category 2A recommendation. We have also submitted for a permanent J-code, which we anticipate having in place in the first half of 2027.</w:t>
      </w:r>
    </w:p>
    <w:p>
      <w:pPr>
        <w:spacing w:after="0" w:line="178"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17"/>
          <w:szCs w:val="17"/>
          <w:color w:val="auto"/>
        </w:rPr>
        <w:t>The IGNYTE trial enrolled 140 patients with 91 patients with at least one non-injected lesion included in the efficacy-evaluable population. In this population, TUDRIQEV plus nivolumab achieved an objective response rate (ORR) of 24.2%, with a median duration of response of 14.1 months. Treatment was well tolerated with mostly mild-to-moderate adverse events. The patient population included patients with Stage 4 disease (80%), prior anti-PD-1 adjuvant treatment (13%), PD-L1 negative status (54%), lung (45%) and liver lesions (24%). TUDRIQEV in combination with nivolumab was generally well tolerated, with adverse events predominantly mild to moderate in severity. The most common (incidence ≥ 10%) adverse reactions in patients treated with TUDRIQEV combined with nivolumab were nausea, diarrhea, vomiting, constipation, decreased appetite, abdominal pain, fatigue, pyrexia, chills, injection site reaction, influenza-like illness, infections, musculoskeletal pain, arthralgia, headache, dizziness, cough, dyspnea, rash, edema, pruritus and hemorrhage. Most treatment-related adverse reactions were grade 1 and 2 and transient. There were no grade 4 or 5 common adverse events. The IGNYTE study data were published in the Journal of Clinical Oncology in July 2025.</w:t>
      </w:r>
    </w:p>
    <w:p>
      <w:pPr>
        <w:spacing w:after="0" w:line="18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In August 2024, we announced the dosing of the first patient in the IGNYTE-3 trial, or the I-3 trial, a 2-arm randomized Phase 3 clinical trial with physician's choice of treatment as a comparator arm in anti-PD-1 failed melanoma patients. Overall survival is the primary endpoint, and the trial is expected to randomize approximately 400 patients. We continue to enroll patients in the I-3 trial. The I-3 trial is an FDA postmarketing requirement and is intended to serve as the required accelerated approval confirmatory study. In addition to the I-3 trial, we must also complete a pediatric study of TUDRIQEV in combination with nivolumab in pediatric patients 12 years of age and older and are required to fulfill certain other postmarketing commitments set out in FDA’s TUDRIQEV approval letter.</w:t>
      </w:r>
    </w:p>
    <w:p>
      <w:pPr>
        <w:spacing w:after="0" w:line="185"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In addition to our development of TUDRIQEV for melanoma, we also are studying the product for other indications. In our non-melanoma skin cancer, or NMSC, cohort of the IGNYTE trial, we provided a data update in December 2023 from the first 30 patients with at least 6 months of follow up including patients with cutaneous squamous cell carcinoma, or CSCC, Merkel cell carcinoma, or MCC, basal cell carcinoma, or BCC, and angiosarcoma in this cohort. The data showed that treatment with RP1 in combination with nivolumab led to an ORR of 30% which is consistent with data from the anti-PD-1 failed melanoma cohort with approximately one-third of patients responding and 60% demonstrating clinical benefit. The combination of RP1 and nivolumab was well tolerated in this patient population with a safety profile consistent with the overall experience seen with this treatment regimen to date. We provided updated data from the NMSC cohort during our June 2025 Investor Day event and in October 2025 at the European Society for Medical Oncology, or ESMO, conference. Responses to RP1 plus nivolumab occurred across the NMSC tumor types enrolled, with confirmed responses seen in patients with both anti–PD-1 naïve and anti-PD-1 failed disease, as well as both in locally advanced and metastatic disease. The ORR by NMSC tumor type for anti-PD-1 naïve patients was 100.0% (n=4) in MCC, 33.3% (n=3) in BCC, 66.7% (n=6) in angiosarcoma, and 56.3% (n=16) in CSCC. The ORR by NMSC tumor type for anti-PD-1 failed patients was 26.3% (n=19) in MCC, 30.0% (n=10) in BCC, 37.5% (n=8) in angiosarcoma, and 15.2% (n=33) in CSCC. We closed enrollment in the NMSC tumor type cohorts in the fourth quarter of 2025.</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had been furthering development of RP1 through enrollment in a Phase 1b/2 clinical trial of single agent RP1 in solid organ transplant recipients with skin cancers, including CSCC, which we referred to as the ARTACUS trial. The ARTACUS trial enrolled 69 patients to assess the safety and efficacy of RP1 in liver, kidney, heart, lung, and hematopoietic cell transplant patients with skin cancers. Most recently, Dr. Michael R. Migden presented updated data from the ARTACUS trial at the Society for Melanoma Research 22nd International Congress in October 2025. This updated data showed anti-tumor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activity in locally advanced CSCC with an ORR of 34.6% (CR rate of 23.1%) and 2-year duration of response of 61.0%. Furthermore, the data showed that RP1 monotherapy continued to be well tolerated and the safety profile continued to be similar to that observed in non-immunocompromised patients with advanced skin cancers, and, importantly, no implant rejections were attributed to the RP1 treatment. We have closed enrollment in the ARTACUS trial and are planning a publication submission in 2026.</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previous clinical trial of RP1 in patients with CSCC, which we referred to as the CERPASS trial, is fully closed and we are planning for a study report to be available in 2026.</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also developing or are continuing to develop product candidates, RP2 and RP3, that have been further engineered to enhance anti-tumor immune responses and are intended to address additional tumor types, including traditionally less immune responsive tumor types. In addition to the expression of GALV-GP R(-) and human GM-CSF as in TUDRIQEV, RP2 has been engineered to express an antibody-like molecule intended to block the activity of CTLA-4, a protein that inhibits the full activation of an immune response, including to tumors. RP3 has been engineered with the intent to further stimulate an anti-tumor immune response through activation of immune co-stimulatory pathways through the additional expression of the ligands for CD40 and 4-1BBL, as well as anti-CTLA-4 and GALV-GP R(-), but without the expression of GM-CSF.</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continue the development of our product candidate RP2 with the goal of moving beyond skin cancers and aiming to treat the more prevalent tumor types commonly found in liver and lung metastasis and including those involving primary liver cancer. Notably, as previously reported, from our Phase 1 clinical trial of RP2 alone and in combination with nivolumab, we have seen durable responses from a monotherapy cohort in a variety of difficult to treat tumors as well as in combination with anti-PD-1 and in particular in patients with metastatic uveal melanoma, or mUM. In November 2023, we presented updated data from a cohort of mUM patients during a Plenary Session at the 20th Annual International Society for Melanoma Research Congress. The updated data showed RP2 led to an ORR of 29.4% (5 of 17 patients; one of the responding patients was treated with RP2 monotherapy and four of the responding patients were treated with RP2 combined with nivolumab), including responses in patients with liver, lung, and bone metastases. The median duration of response (DOR) at the data cutoff was 11.47 months (range of 2.78 to 21.22 with responses ongoing). Nearly all patients (15 of 17, 88.2%) in the study had progressed on or after immunotherapy with 12 of 17 patients (70.6%) having previously received both anti-PD-1 and anti-CTLA-4 therapies, including four of the responding patients. RP2 was generally well tolerated both as monotherapy and in combination with nivolumab with no additive adverse events observed. The most common grade 1 or 2 treatment related adverse events, or TRAEs, overall in both cohorts were pyrexia, chills, fatigue, hypotension and pruritis. Six patients had grade 3 TRAEs, including two cases of hypotension. There were no grade 4 or 5 TRAEs. In June 2024, we presented that the disease control rate for this cohort of mUM patients was 58.8%.</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Leading the development of the RP2 product candidate is our REVEAL study. The REVEAL study is enrolling patients in a registration-directed study of RP2 in mUM patients who are immune checkpoint inhibitor-naïve. The REVEAL study is a randomized, Phase 2/3 open label study expected to enroll approximately 280 patients to investigate the efficacy and safety of RP2 in combination with nivolumab vs. ipilimumab in combination with nivolumab in immune checkpoint inhibitor naïve adult patients with metastatic uveal melanoma. The primary endpoints of the trial are overall survival and progression free survival, and key secondary endpoints are overall response rate and disease control rate. The Phase 2/3 transition is expected to occur in the first quarter of 2027.</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continue our signal seeking trial of RP2 in combination with atezolizumab and bevacizumab in the second-line (2L) setting of patients with hepatocellular carcinoma, or HCC, in collaboration with Roche. We have also opened a cohort in our RP2 study to investigate the potential to address biliary tract cancer, or BTC, through the dosing of RP2 in combination with durvalumab. We are currently evaluating these studies and we expect to share preliminary findings in the first quarter of 2027.</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TUDRIQEV, RP2 and RP3 are administered by direct injection into solid tumors, guided either visually or by ultrasound, computerized tomography or other imaging methods. We believe that direct injection maximizes virus-mediated tumor cell death, provides the most efficient delivery of virus-encoded immune activating proteins into the tumor with the goal of activating systemic immunity, and limits the systemic toxicities that could be associated with intravenous administration. Activation of systemic immunity through local administration is intended to lead to the induction of anti-tumor immune responses leading to clinical response of tumors that have not themselves been injected.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Financial</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Since our inception, we have devoted substantially all of our resources to developing our proprietary RPx platform, building our intellectual property portfolio, conducting research and development of our product candidates, business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raising capital and providing general and administrative support for our operations. To date, we have incurred significant operating losses and we have financed our operations primarily with proceeds from the sale of equity securities and to a lesser extent, proceeds from borrowing under secured loan facilities. Our ability to generate product revenue sufficient to achieve profitability will depend on the successful development and commercialization of TUDRIQEV and our other product candidates. As of September 30, 2026, TUDRIQEV is our only approved product, and we have not yet generated any revenue from product sales.</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Since our initial public offering, or IPO, on July 20, 2018 through September 30, 2026, we have raised an aggregate of approximately $1,273.9 million in net proceeds to fund our operations, of which $101.2 million was from our IPO, $1,003.0 million was from six separate follow-on offerings, or the Public Offerings, that we closed in November 2019, June 2020, October 2020, December 2022, November 2024, and August 2026, respectively, $96.7 million was from our private investment in public equity offering in June 2024, and $73.0 million was from at-the-market offerings.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net losses were $57.1 million and $83.1 million for the three months ended September 30, 2026 and 2025, and $126.9 million and $169.8 million for the six months ended September 30, 2026 and 2025, respectively. The reduced costs for the three and six months ended September 30, 2026 are, in part, a result of the Company restructuring that was announced in April 2026. These costs included, but are not limited to, personnel costs including stock-based compensation, professional fees and recruitment. As of September 30, 2026, we had an accumulated deficit of $1,389.4 million. These losses have resulted primarily from costs incurred in connection with research and development activities and general and administrative costs associated with our operations.</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anticipate that our expenses and capital requirements will fluctuate from period to period depending upon the Company's development programs and priorities. We expect to continue to incur costs and expenses in the future and our expenses may increase if and as we:</w:t>
      </w:r>
    </w:p>
    <w:p>
      <w:pPr>
        <w:spacing w:after="0" w:line="172" w:lineRule="exact"/>
        <w:rPr>
          <w:sz w:val="20"/>
          <w:szCs w:val="20"/>
          <w:color w:val="auto"/>
        </w:rPr>
      </w:pPr>
    </w:p>
    <w:p>
      <w:pPr>
        <w:ind w:left="920" w:hanging="298"/>
        <w:spacing w:after="0"/>
        <w:tabs>
          <w:tab w:leader="none" w:pos="9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seek to successfully commence and achieve commercial sales of TUDRIQEV;</w:t>
      </w:r>
    </w:p>
    <w:p>
      <w:pPr>
        <w:spacing w:after="0" w:line="209" w:lineRule="exact"/>
        <w:rPr>
          <w:rFonts w:ascii="Arial" w:cs="Arial" w:eastAsia="Arial" w:hAnsi="Arial"/>
          <w:sz w:val="21"/>
          <w:szCs w:val="21"/>
          <w:color w:val="auto"/>
        </w:rPr>
      </w:pPr>
    </w:p>
    <w:p>
      <w:pPr>
        <w:ind w:left="920" w:hanging="298"/>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seek to successfully complete one or more confirmatory trials of TUDRIQEV, including our ongoing IGNYTE-3 clinical trial;</w:t>
      </w:r>
    </w:p>
    <w:p>
      <w:pPr>
        <w:spacing w:after="0" w:line="189" w:lineRule="exact"/>
        <w:rPr>
          <w:rFonts w:ascii="Times New Roman" w:cs="Times New Roman" w:eastAsia="Times New Roman" w:hAnsi="Times New Roman"/>
          <w:sz w:val="21"/>
          <w:szCs w:val="21"/>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obtain adequate coverage and reimbursement for TUDRIQEV</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conduct our current and future clinical trials;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preclinical development of our platform;</w:t>
      </w:r>
    </w:p>
    <w:p>
      <w:pPr>
        <w:spacing w:after="0" w:line="217" w:lineRule="exact"/>
        <w:rPr>
          <w:rFonts w:ascii="Times New Roman" w:cs="Times New Roman" w:eastAsia="Times New Roman" w:hAnsi="Times New Roman"/>
          <w:sz w:val="17"/>
          <w:szCs w:val="17"/>
          <w:color w:val="auto"/>
        </w:rPr>
      </w:pPr>
    </w:p>
    <w:p>
      <w:pPr>
        <w:ind w:left="940" w:right="460" w:hanging="318"/>
        <w:spacing w:after="0" w:line="287"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manufacture and maintain sufficient commercial supply of TUDRIQEV, or clinical supply of our product candidates, from our in-house manufacturing facility;</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identify and develop additional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approvals for any of our product and product candidates that successfully complete clinical trials, if any;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and distribution infrastructure to commercialize any products for which we may obtain marketing approval;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protect and defend our intellectual property portfolio;</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train and retain additional clinical, quality control, scientific and general and administration personnel;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other drugs, technologies or intellectual property rights; and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including personnel to support our research and development programs, any future commercialization efforts and operations as a public company.</w:t>
      </w:r>
    </w:p>
    <w:p>
      <w:pPr>
        <w:spacing w:after="0" w:line="15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product development, we are unable to accurately predict the timing or amount of increased expenses or when, or if, we will be able to achieve or maintain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64"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We expect that our cash and cash equivalents of $307.8 million as of September 30, 2026 will be sufficient to fund our operations and capital expenditure requirements for greater than twelve months from the issuance of these condensed consolidated financial statements, including the commercialization of TUDRIQEV in advanced melanoma and for working capital and general corporate purposes.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“—Liquidity and capital resources” and “Risk factors—Risks related to our financial position and need for additional capital.”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1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Prior to the commercialization of TUDRIQEV in early October 2026, we have not generated any revenue from product sales. We can not be certain of the revenue from the sale of TUDRIQEV or other potential products in the future. If our development efforts for any of our other product candidates that we may develop in the future are successful and result in regulatory approval, or if we enter into collaboration or license agreements with third parties, we may generate revenue in the future from a combination of product sales or payments from those collaborations or license agreements.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expenses since inception have consisted solely of research and development costs and general and administrative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activities, including our discovery efforts and the development of our product candidates, and include:</w:t>
      </w:r>
    </w:p>
    <w:p>
      <w:pPr>
        <w:spacing w:after="0" w:line="151" w:lineRule="exact"/>
        <w:rPr>
          <w:sz w:val="20"/>
          <w:szCs w:val="20"/>
          <w:color w:val="auto"/>
        </w:rPr>
      </w:pPr>
    </w:p>
    <w:p>
      <w:pPr>
        <w:jc w:val="both"/>
        <w:ind w:left="940" w:hanging="318"/>
        <w:spacing w:after="0" w:line="270"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third parties, including clinical research organizations, or CROs, that conduct research, preclinical activities and clinical trials on our behalf as well as contract manufacturing organizations, or CMOs, that manufacture raw materials and supplies for our product and product candidates and their manufacturing, packaging and labeling;</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benefits and other related costs, including stock-based compensation expense, for personnel engaged in research and development functions;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outside consultants engaged in research and development functions, including their fees, stock-based compensation and related travel expenses;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laboratory supplies and acquiring, developing and manufacturing preclinical study and clinical trial materials;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 in connection with the development of our product and product candidates; and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facility-related expenses, which include direct depreciation costs and allocated expenses for rent and maintenance of facilities and other operating costs.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costs may be partially offset by cost-sharing arrangements under collaboration agreements that we may enter from time to time.</w:t>
      </w:r>
    </w:p>
    <w:p>
      <w:pPr>
        <w:spacing w:after="0" w:line="21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We expense research and development costs as incurred. We recognize external development costs based on an evaluation of the progress to completion of specific tasks using information provided to us by our service providers.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639445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19"/>
        <w:spacing w:after="0" w:line="232" w:lineRule="auto"/>
        <w:rPr>
          <w:sz w:val="20"/>
          <w:szCs w:val="20"/>
          <w:color w:val="auto"/>
        </w:rPr>
      </w:pPr>
      <w:r>
        <w:rPr>
          <w:rFonts w:ascii="Times New Roman" w:cs="Times New Roman" w:eastAsia="Times New Roman" w:hAnsi="Times New Roman"/>
          <w:sz w:val="17"/>
          <w:szCs w:val="17"/>
          <w:color w:val="auto"/>
        </w:rPr>
        <w:t>Direct research and development costs, consisting of costs, such as fees paid to consultants, contractors, CMOs and CROs in connection with our preclinical and clinical development activities, are tracked by study. Additional costs, consisting primarily of our initial manufacturing costs, including materials, supplies, depreciation and facility costs, are allocated at a program level, based upon manufacturing runs, as the drug product can be utilized across multiple studies for any particular program. Additional costs to label, package and distribute the drug product is then directly allocated to the specific studies when incurred, as that drug product has then been assigned to a particular study. In the event our additional future or ongoing study costs become meaningful to investors, we will present those costs by study.</w:t>
      </w:r>
    </w:p>
    <w:p>
      <w:pPr>
        <w:spacing w:after="0" w:line="19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do not allocate personnel costs, costs associated with our discovery efforts, laboratory supplies or other indirect costs, to specific product development programs because these costs are deployed across multiple product development programs and, as such, are not separately classified.</w:t>
      </w:r>
    </w:p>
    <w:p>
      <w:pPr>
        <w:spacing w:after="0" w:line="164" w:lineRule="exact"/>
        <w:rPr>
          <w:sz w:val="20"/>
          <w:szCs w:val="20"/>
          <w:color w:val="auto"/>
        </w:rPr>
      </w:pPr>
    </w:p>
    <w:p>
      <w:pPr>
        <w:ind w:right="100" w:firstLine="619"/>
        <w:spacing w:after="0"/>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continue enrollment in, and the initiation of, additional clinical trials, as well as the continued discovery and development of additional product candidates. However, if we determine that the commercialization of TUDRIQEV is not viable, our outlook and plans may be uncertain and the impact on our research and development expenses will also be uncertain. At this time the ability to fund and successfully develop, and commercialize, if approved, our product candidates is highly uncertain. This is due to the numerous risks and uncertainties associated with product development and commercialization, including the following:</w:t>
      </w:r>
    </w:p>
    <w:p>
      <w:pPr>
        <w:spacing w:after="0" w:line="204" w:lineRule="exact"/>
        <w:rPr>
          <w:sz w:val="20"/>
          <w:szCs w:val="20"/>
          <w:color w:val="auto"/>
        </w:rPr>
      </w:pPr>
    </w:p>
    <w:p>
      <w:pPr>
        <w:ind w:left="940" w:right="460" w:hanging="318"/>
        <w:spacing w:after="0" w:line="27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are able to reach a mutually agreeable path forward with the FDA with respect to the scope, design, implementation and timing of an approval for our product candidates and other research and development activities that we may conduct;</w:t>
      </w:r>
    </w:p>
    <w:p>
      <w:pPr>
        <w:spacing w:after="0" w:line="164"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scope of preclinical and clinical programs we decide to pursue;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current research and development programs and to establish new ones;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 clinical trial design;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enrollment in clinical trials;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completion of clinical trials with safety, tolerability, and efficacy profiles that are satisfactory to the FDA or any comparable foreign regulatory authority;</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of regulatory approvals from applicable regulatory authorities;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operating our manufacturing facility, or securing manufacturing supply through relationships with third parties;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patents, trade secret protection, and regulatory exclusivity, both in the United States and internationally;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expand, protect and defend our rights in our intellectual property portfolio;</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commercialization of our product candidates, if and when approved and the timing of such approval;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of our product candidates, if approved, by patients, the medical community, and third-party payors;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our product candidates for use in combination with third-party products or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developments in the field of immuno-oncology;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other products; and</w:t>
      </w:r>
    </w:p>
    <w:p>
      <w:pPr>
        <w:spacing w:after="0" w:line="229" w:lineRule="exact"/>
        <w:rPr>
          <w:rFonts w:ascii="Times New Roman" w:cs="Times New Roman" w:eastAsia="Times New Roman" w:hAnsi="Times New Roman"/>
          <w:sz w:val="17"/>
          <w:szCs w:val="17"/>
          <w:color w:val="auto"/>
        </w:rPr>
      </w:pPr>
    </w:p>
    <w:p>
      <w:pPr>
        <w:ind w:left="940" w:right="40" w:hanging="318"/>
        <w:spacing w:after="0" w:line="27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and changing government regulation and regulatory guidance and the views and implementation of such regulation and guidance from the leadership of the applicable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650875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could be required to expend significant additional financial resources and time on the completion of clinical development. We may never succeed in obtaining regulatory approval for any of our product candidates.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salaries and other related costs, including stock-based compensation, for personnel in our executive, finance, corporate, commercial and business development and administrative functions. Selling, general and administrative expenses also include professional fees for legal, patent, accounting, auditing, tax and consulting services, pre-commercial planning, travel expenses, and facility-related expenses, which include direct depreciation costs and allocated expenses for rent and maintenance of facilities and other operating costs.</w:t>
      </w:r>
    </w:p>
    <w:p>
      <w:pPr>
        <w:spacing w:after="0" w:line="184" w:lineRule="exact"/>
        <w:rPr>
          <w:sz w:val="20"/>
          <w:szCs w:val="20"/>
          <w:color w:val="auto"/>
        </w:rPr>
      </w:pPr>
    </w:p>
    <w:p>
      <w:pPr>
        <w:ind w:right="120" w:firstLine="619"/>
        <w:spacing w:after="0" w:line="241" w:lineRule="auto"/>
        <w:rPr>
          <w:sz w:val="20"/>
          <w:szCs w:val="20"/>
          <w:color w:val="auto"/>
        </w:rPr>
      </w:pPr>
      <w:r>
        <w:rPr>
          <w:rFonts w:ascii="Times New Roman" w:cs="Times New Roman" w:eastAsia="Times New Roman" w:hAnsi="Times New Roman"/>
          <w:sz w:val="17"/>
          <w:szCs w:val="17"/>
          <w:color w:val="auto"/>
        </w:rPr>
        <w:t>We expect our selling, general and administrative expenses to continue to increase in the future as we increase our selling, general and administrative headcount to support our continued operations and pre-launch and launch activities for the commercialization of TUDRIQEV. We also expect to continue to incur increased expenses, including accounting, audit, legal, regulatory and tax-related services associated with maintaining compliance with exchange listing and SEC requirements; director and officer insurance costs; and investor and public relations costs. If we are unable to successfully commercialize TUDRIQEV, we expect that our selling, general and administrative expenses will decrease but to what extent we are uncertain.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incentives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Research and development incentives consists of reimbursements of research and development expenditures. We participate, through our subsidiary in the United Kingdom, in the research and development program provided by the United Kingdom tax relief program, such that a percentage of up to 16.2% of our qualifying research and development expenditures are reimbursed by the United Kingdom government, and such incentives are reflected as other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income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Investment income consists of income earned on our cash and cash equivalents and short-term investments.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on debt obligations</w:t>
      </w:r>
    </w:p>
    <w:p>
      <w:pPr>
        <w:spacing w:after="0" w:line="221" w:lineRule="exact"/>
        <w:rPr>
          <w:sz w:val="20"/>
          <w:szCs w:val="20"/>
          <w:color w:val="auto"/>
        </w:rPr>
      </w:pPr>
    </w:p>
    <w:p>
      <w:pPr>
        <w:ind w:left="620"/>
        <w:spacing w:after="0"/>
        <w:tabs>
          <w:tab w:leader="none" w:pos="8840" w:val="left"/>
        </w:tabs>
        <w:rPr>
          <w:sz w:val="20"/>
          <w:szCs w:val="20"/>
          <w:color w:val="auto"/>
        </w:rPr>
      </w:pPr>
      <w:r>
        <w:rPr>
          <w:rFonts w:ascii="Times New Roman" w:cs="Times New Roman" w:eastAsia="Times New Roman" w:hAnsi="Times New Roman"/>
          <w:sz w:val="17"/>
          <w:szCs w:val="17"/>
          <w:color w:val="auto"/>
        </w:rPr>
        <w:t>Interest expense on debt obligations consists of the amortization of debt discount and cash paid for interest under the</w:t>
        <w:tab/>
        <w:t>loan agreement with Hercules.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on finance lease liability</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expense on finance lease liability consists of amortization of finance charges under our financing 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 income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(expense) income consists primarily of realized and unrealized foreign currency transaction gains and losses.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08"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w:t>
      </w:r>
    </w:p>
    <w:p>
      <w:pPr>
        <w:spacing w:after="0" w:line="172"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its deferred tax assets both in the United States and United Kingdom,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516255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September 30, 2026 and 2025</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chart summarizes our results of operations for the three months ended September 30, 2026 and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5"/>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2"/>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1160" w:type="dxa"/>
            <w:vAlign w:val="bottom"/>
          </w:tcPr>
          <w:p>
            <w:pPr>
              <w:spacing w:after="0"/>
              <w:rPr>
                <w:sz w:val="18"/>
                <w:szCs w:val="18"/>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7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57,877</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(23,512)</w:t>
            </w:r>
          </w:p>
        </w:tc>
      </w:tr>
      <w:tr>
        <w:trPr>
          <w:trHeight w:val="219"/>
        </w:trPr>
        <w:tc>
          <w:tcPr>
            <w:tcW w:w="6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w:t>
            </w:r>
          </w:p>
        </w:tc>
      </w:tr>
      <w:tr>
        <w:trPr>
          <w:trHeight w:val="212"/>
        </w:trPr>
        <w:tc>
          <w:tcPr>
            <w:tcW w:w="67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(28,010)</w:t>
            </w: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28,010</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6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r>
      <w:tr>
        <w:trPr>
          <w:trHeight w:val="21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on finance lease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6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 on debt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w:t>
            </w:r>
          </w:p>
        </w:tc>
      </w:tr>
      <w:tr>
        <w:trPr>
          <w:trHeight w:val="21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r>
      <w:tr>
        <w:trPr>
          <w:trHeight w:val="212"/>
        </w:trPr>
        <w:tc>
          <w:tcPr>
            <w:tcW w:w="67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other (expense) income,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(2,031)</w:t>
            </w: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for the three months ended September 30, 2026 were $34.4 million, compared to $57.9 million for the three months ended September 30, 2025. The following table summarizes our research and development expenses for the three months ended September 30, 2026 and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99"/>
        </w:trPr>
        <w:tc>
          <w:tcPr>
            <w:tcW w:w="67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RP1 program costs by study:</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IGNYTE</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2,562</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ARTACUS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0" w:type="dxa"/>
            <w:vAlign w:val="bottom"/>
          </w:tcPr>
          <w:p>
            <w:pPr>
              <w:spacing w:after="0"/>
              <w:rPr>
                <w:sz w:val="1"/>
                <w:szCs w:val="1"/>
                <w:color w:val="auto"/>
              </w:rPr>
            </w:pPr>
          </w:p>
        </w:tc>
      </w:tr>
      <w:tr>
        <w:trPr>
          <w:trHeight w:val="219"/>
        </w:trPr>
        <w:tc>
          <w:tcPr>
            <w:tcW w:w="6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CERPASS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IGNYTE-3</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RP1 study costs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RP1 costs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(9,040)</w:t>
            </w:r>
          </w:p>
        </w:tc>
        <w:tc>
          <w:tcPr>
            <w:tcW w:w="0" w:type="dxa"/>
            <w:vAlign w:val="bottom"/>
          </w:tcPr>
          <w:p>
            <w:pPr>
              <w:spacing w:after="0"/>
              <w:rPr>
                <w:sz w:val="1"/>
                <w:szCs w:val="1"/>
                <w:color w:val="auto"/>
              </w:rPr>
            </w:pPr>
          </w:p>
        </w:tc>
      </w:tr>
      <w:tr>
        <w:trPr>
          <w:trHeight w:val="219"/>
        </w:trPr>
        <w:tc>
          <w:tcPr>
            <w:tcW w:w="6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RP2</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RP3</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r>
        <w:trPr>
          <w:trHeight w:val="219"/>
        </w:trPr>
        <w:tc>
          <w:tcPr>
            <w:tcW w:w="6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Unallocated research and development expenses: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Personnel related (including stock-based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12,688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(13,954)</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(4,427)</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34,365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overall decrease of $23.5 million in total research and development expenses was driven by a decrease in unallocated expenses of approximately $18.4 million, which included a decrease of $14.0 million in personnel related costs and a decrease of $4.4 million in other costs. Personnel related costs, including stock compensation, were down as a result of the Company restructuring which was announced in April 2026. The Company also had lower costs relating to medical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professional fees and recruitment of approximately $4.6 million as compared to the same quarter in the prior year. These decreases are somewhat offset by an increase of approximately $1.4 million in consulting costs. In addition, the Company began capitalizing inventory during the quarter which includes an allocation of manufacturing costs that otherwise would have been included in personnel and other expenses.</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Direct research costs decreased by approximately $5.1 million overall which was a result of a decrease of $9.0 million in total RP1 costs specifically as a result of a decrease in total RP1 costs relating to the IGNYTE, ARTACUS and CERPASS studies, specifically as a result of the completion of the IGNYTE advanced melanoma cohort and completion of enrollment and the wind down of the CERPASS and ARTACUS studies. The decreases in RP1 spending were somewhat offset by RP2 direct spending which increased by approximately $4.2 million versus the same quarter of the prior year related to the REVEAL study, as the Company continued to ramp up enrollment and expanded this trial outside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208"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Selling, general and administrative expenses were $21.9 million for the three months ended September 30, 2026, compared to $26.4 million for the three months ended September 30, 2025. The decrease of $4.5 million is primarily the result of a decrease of $3.6 million in personnel related costs in the sales and marketing and G&amp;A functions as well as a decrease of $1.4 million in external sales and marketing costs. These decreases are the result of the Company restructuring which occurred during the first quarter of fiscal 2027, and included a reduction of workforce by approximately 55%, impacting the entirety of the Company's commercial team, and rehiring did not begin to ramp back up until later in the second quarter after receiving approval from the FDA.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other (expense) income, net</w:t>
      </w:r>
    </w:p>
    <w:p>
      <w:pPr>
        <w:spacing w:after="0" w:line="20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Other expense was $0.8 million for the three months ended September 30, 2026, compared to income of $1.2 million for the three months ended September 30, 2025. The net change of $2.0 million is primarily attributable to a decrease in investment income of $1.8 million as a result of a lower investment balance year over year. In addition, there was an increase in expense on debt of $1.0 million as a result of a higher debt balance as compared to the same quarter in the prior year, as well as a decrease in expense of $0.9 million in the current quarter compared to the prior year due to exchange rate fluctuations related to the changes in foreign exchange rates of the British Pound Sterling to the United States Dollar, specifically on intercompany and other non-functional currency transactions.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six months ended September 30, 2026 and 2025</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chart summarizes our results of operations for the six months ended September 30, 2026 and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5"/>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2"/>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1160" w:type="dxa"/>
            <w:vAlign w:val="bottom"/>
          </w:tcPr>
          <w:p>
            <w:pPr>
              <w:spacing w:after="0"/>
              <w:rPr>
                <w:sz w:val="18"/>
                <w:szCs w:val="18"/>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7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83,644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115,721</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(32,077)</w:t>
            </w:r>
          </w:p>
        </w:tc>
      </w:tr>
      <w:tr>
        <w:trPr>
          <w:trHeight w:val="219"/>
        </w:trPr>
        <w:tc>
          <w:tcPr>
            <w:tcW w:w="6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(18,109)</w:t>
            </w:r>
          </w:p>
        </w:tc>
      </w:tr>
      <w:tr>
        <w:trPr>
          <w:trHeight w:val="212"/>
        </w:trPr>
        <w:tc>
          <w:tcPr>
            <w:tcW w:w="67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124,529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174,715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(50,186)</w:t>
            </w: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50,186</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19"/>
        </w:trPr>
        <w:tc>
          <w:tcPr>
            <w:tcW w:w="6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(4,571)</w:t>
            </w:r>
          </w:p>
        </w:tc>
      </w:tr>
      <w:tr>
        <w:trPr>
          <w:trHeight w:val="21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on finance lease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6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 on debt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w:t>
            </w:r>
          </w:p>
        </w:tc>
      </w:tr>
      <w:tr>
        <w:trPr>
          <w:trHeight w:val="21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12"/>
        </w:trPr>
        <w:tc>
          <w:tcPr>
            <w:tcW w:w="67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other (expense) income,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(7,280)</w:t>
            </w: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42,906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539115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for the six months ended September 30, 2026 were $83.6 million, compared to $115.7 million for the six months ended September 30, 2025. The following table summarizes our research and development expenses for the six months ended September 30, 2026 and 2025: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99"/>
        </w:trPr>
        <w:tc>
          <w:tcPr>
            <w:tcW w:w="67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RP1 program costs by study:</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IGNYTE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ARTACUS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0" w:type="dxa"/>
            <w:vAlign w:val="bottom"/>
          </w:tcPr>
          <w:p>
            <w:pPr>
              <w:spacing w:after="0"/>
              <w:rPr>
                <w:sz w:val="1"/>
                <w:szCs w:val="1"/>
                <w:color w:val="auto"/>
              </w:rPr>
            </w:pPr>
          </w:p>
        </w:tc>
      </w:tr>
      <w:tr>
        <w:trPr>
          <w:trHeight w:val="219"/>
        </w:trPr>
        <w:tc>
          <w:tcPr>
            <w:tcW w:w="6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CERPASS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(2,734)</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IGNYTE-3</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14,768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RP1 study costs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(8,524)</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RP1 costs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18,823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(14,364)</w:t>
            </w:r>
          </w:p>
        </w:tc>
        <w:tc>
          <w:tcPr>
            <w:tcW w:w="0" w:type="dxa"/>
            <w:vAlign w:val="bottom"/>
          </w:tcPr>
          <w:p>
            <w:pPr>
              <w:spacing w:after="0"/>
              <w:rPr>
                <w:sz w:val="1"/>
                <w:szCs w:val="1"/>
                <w:color w:val="auto"/>
              </w:rPr>
            </w:pPr>
          </w:p>
        </w:tc>
      </w:tr>
      <w:tr>
        <w:trPr>
          <w:trHeight w:val="219"/>
        </w:trPr>
        <w:tc>
          <w:tcPr>
            <w:tcW w:w="6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RP2</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18,266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9,138</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RP3</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19"/>
        </w:trPr>
        <w:tc>
          <w:tcPr>
            <w:tcW w:w="6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Unallocated research and development expenses: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Personnel related (including stock-based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36,221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(17,745)</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(8,218)</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83,644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115,721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total decrease of $32.1 million in research and development expenses was primarily attributable to a decrease of $26.0 million in unallocated expenses, which includes a decrease of $17.7 million in personnel-related costs and $8.2 million in other costs. Personnel-related costs, including payroll, fringe benefits and stock-based compensation, were down as a result of the Company restructuring which was announced in April 2026. The decrease in other costs is driven primarily by lower costs relating to medical affairs, professional fees and recruitment of approximately $6.0 million as compared to the prior year. Also, as noted above, the Company began capitalizing inventory during the second quarter of this fiscal year which includes an allocation of manufacturing costs that otherwise would have been included in personnel and other expenses.</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Direct research costs decreased by approximately $6.1 million overall which was a result of a decrease of $14.4 million in total RP1 costs specifically as a result of a decrease in total RP1 costs relating to the IGNYTE, ARTACUS and CERPASS studies, specifically as a result of the completion of the IGNYTE advanced melanoma cohort and completion of enrollment in and the wind down of the CERPASS and ARTACUS studies. Within the RP1 program, the IGNYTE-3 confirmatory study continues to enroll patients and has an increase in study costs of $3.4 million as compared to the prior year. Furthermore, there was a $9.1 million increase in spending on RP2 primarily as a result of increased enrollment in the REVEAL study as compared to the prior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208"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Selling, general and administrative expenses were $40.9 million for the six months ended September 30, 2026, compared to $59.0 million for the six months ended September 30, 2025. The decrease of approximately $18.1 million in sales, general and administrative costs is driven by a decrease of $11.5 million in sales and marketing costs related to promotional materials, market access and insights and analytics. Sales and marketing costs were put on hold after the Company received a complete response letter in April 2026 from the FDA and did not resume until late in the second quarter of this fiscal year. In addition, there was a decrease of approximately $7.0 million in personnel-related costs as a result of the Company restructuring in April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other (expense) income, net</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Other (expense) income, net was $2.4 million for the six months ended September 30, 2026, compared to income of $4.9 million for the six months ended September 30, 2025. The net change of $7.3 million is primarily attributable to a decrease in investment income of $4.6 million as a result of the cash and investment balance being lower throughout the year as compared to the prior year due to normal cash burn. Additionally, there was an increase in expense on debt of $2.1 million as a result of a higher debt balance as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Since our inception and prior to the commercialization of TUDRIQEV in early October 2026, we have not generated any revenue from product sales and have incurred significant operating losses and negative cash flows from our operations. Until we are able to generate sufficient revenue from TUDRIQEV or any of our other product candidates that we develop, which may never occur, we anticipate that we will continue to incur significant operating losses and negative cash flows from our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23"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To date, we have financed our operations primarily with proceeds from the sale of equity securities and, to a lesser extent, proceeds from borrowing under a secured loan facility. Through September 30, 2026, we had received net proceeds of $1,273.9 million through the sale of shares of common stock and pre-funded warrants exercisable for common stock in public offerings, a private placement transaction, and at-the-market offerings, as well as our incurrence of debt under the Hercules Loan Agreement. As of September 30, 2026, we had cash and cash equivalents and short-term investments of $307.8 million.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00"/>
        </w:trPr>
        <w:tc>
          <w:tcPr>
            <w:tcW w:w="82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each of the periods presented:</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5"/>
        </w:trPr>
        <w:tc>
          <w:tcPr>
            <w:tcW w:w="8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r>
      <w:tr>
        <w:trPr>
          <w:trHeight w:val="212"/>
        </w:trPr>
        <w:tc>
          <w:tcPr>
            <w:tcW w:w="8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r>
      <w:tr>
        <w:trPr>
          <w:trHeight w:val="219"/>
        </w:trPr>
        <w:tc>
          <w:tcPr>
            <w:tcW w:w="82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(123,430)</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(158,228)</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149,217</w:t>
            </w:r>
          </w:p>
        </w:tc>
      </w:tr>
      <w:tr>
        <w:trPr>
          <w:trHeight w:val="219"/>
        </w:trPr>
        <w:tc>
          <w:tcPr>
            <w:tcW w:w="82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161,349</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19"/>
        </w:trPr>
        <w:tc>
          <w:tcPr>
            <w:tcW w:w="828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tcBorders>
              <w:bottom w:val="single" w:sz="8" w:color="BFE4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7"/>
        </w:trPr>
        <w:tc>
          <w:tcPr>
            <w:tcW w:w="8280" w:type="dxa"/>
            <w:vAlign w:val="bottom"/>
            <w:tcBorders>
              <w:bottom w:val="single" w:sz="8" w:color="BFE4FF"/>
            </w:tcBorders>
            <w:shd w:val="clear" w:color="auto" w:fill="BFE4FF"/>
          </w:tcPr>
          <w:p>
            <w:pPr>
              <w:ind w:left="3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98,809</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auto"/>
            </w:tcBorders>
            <w:shd w:val="clear" w:color="auto" w:fill="BFE4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(8,819)</w:t>
            </w:r>
          </w:p>
        </w:tc>
      </w:tr>
      <w:tr>
        <w:trPr>
          <w:trHeight w:val="20"/>
        </w:trPr>
        <w:tc>
          <w:tcPr>
            <w:tcW w:w="828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BFE4FF"/>
              <w:bottom w:val="single" w:sz="8" w:color="auto"/>
            </w:tcBorders>
          </w:tcPr>
          <w:p>
            <w:pPr>
              <w:spacing w:after="0" w:line="20" w:lineRule="exact"/>
              <w:rPr>
                <w:sz w:val="1"/>
                <w:szCs w:val="1"/>
                <w:color w:val="auto"/>
              </w:rPr>
            </w:pPr>
          </w:p>
        </w:tc>
        <w:tc>
          <w:tcPr>
            <w:tcW w:w="12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the six months ended September 30, 2026, net cash used in operating activities was $123.4 million, primarily resulting from our net loss of $126.9 million partially offset by non-cash charges of $23.1 million, which primarily consist of stock-based compensation expense of $18.2 million and depreciation and amortization of $3.3 million, and a decrease in cash of $19.7 million related to changes in our operating assets and liabilities. Changes in our operating assets and liabilities for the six months ended September 30, 2026 consisted primarily of a $12.1 million decrease in accrued expenses and other current liabilities, and a $9.9 million increase in inventory related to the commercial launch of TUDRIQEV, partially offset by a $2.3 million decrease in prepaid and other expenses and a $1.1 million decrease in research and development incentives receivable.</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the six months ended September 30, 2025, net cash used in operating activities was $158.2 million, primarily resulting from our net loss of $169.8 million partially offset by non-cash charges of $18.9 million, which primarily consist of stock-based compensation expense of $17.1 million and depreciation and amortization of $3.3 million, somewhat offset by net amortization of premiums and discounts on short-term investments of $2.1 million, and a decrease in cash of $7.3 million related to changes in our operating assets and liabilities. Changes in our operating assets and liabilities for the six months ended September 30, 2025 consisted primarily of a $5.2 million decrease in accounts payable, a $2.8 million decrease in accrued expenses and other current liabilities, and a $1.3 million decrease in research and development incentives receivable from the United Kingdom government due to the timing and amount of our qualifying expenditures.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six months ended September 30, 2026, net cash provided by investing activities was $59.8 million, consisting of $69.6 million in proceeds from sales and maturities of short-term investments, partially offset by $9.9 million in purchases of available for 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six months ended September 30, 2025, net cash provided by investing activities was $149.2 million, consisting of $200.7 million in proceeds from sales and maturities of short-term investments, partially offset by $47.4 million in purchases of available for sale securities and $4.1 million in purchases of property, plant and equipment and capitalized software.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six months ended September 30, 2026, net cash provided by financing activities was $161.3 million, relating primarily to $141.0 million in proceeds as a result of the Company's offering of common stock and pre-funded warrants in August 2026, as well as $15.0 million in proceeds from long-term debt from the initial draw down on tranche 4 in September 2026. Financing activities also included approximately $5.8 million in proceeds from the exercise of stock options, somewhat offset by principal payments of the Company's financing lease obligation.</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six months ended September 30, 2025, net cash provided by financing activities was $0.2 million, relating to proceeds from the exercise of stock options and pre funded warrants, somewhat offset by principal payments of the Company's financing lease obligation.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plan of operation is to continue implementing our business strategy, commence and achieve commercial sales of TUDRIQEV, and continue research and development of our product candidates and continue to expand our research pipeline and our internal research and development capabilities. We expect our expenses to increase substantially in connection with our ongoing activities, particularly as we advance the commercialization of TUDRIQEV and the preclinical activities and clinical trials of our product candidates and if and as we:</w:t>
      </w:r>
    </w:p>
    <w:p>
      <w:pPr>
        <w:spacing w:after="0" w:line="171" w:lineRule="exact"/>
        <w:rPr>
          <w:sz w:val="20"/>
          <w:szCs w:val="20"/>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successfully commence and achieve commercial sales of TUDRIQEV;</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complete one or more confirmatory trials of TUDRIQEV, including our ongoing IGNYTE-3 clinical trial, as well as our other post marketing requirements and commitments;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obtain adequate coverage and reimbursement for TUDRIQEV</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our current and future clinical trials with RP2 and RP3;</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preclinical development of any of our product candidates from our RPx platform;</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qualify and maintain our in-house manufacturing facility and qualify and maintain our product and product candidates made therein for use in our clinical trials;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identify and develop additional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approvals for any of our product candidates that successfully complete clinical trials, if any;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and distribution infrastructure to commercialize any products for which we may obtain marketing approval;</w:t>
      </w:r>
    </w:p>
    <w:p>
      <w:pPr>
        <w:spacing w:after="0" w:line="217" w:lineRule="exact"/>
        <w:rPr>
          <w:rFonts w:ascii="Times New Roman" w:cs="Times New Roman" w:eastAsia="Times New Roman" w:hAnsi="Times New Roman"/>
          <w:sz w:val="17"/>
          <w:szCs w:val="17"/>
          <w:color w:val="auto"/>
        </w:rPr>
      </w:pPr>
    </w:p>
    <w:p>
      <w:pPr>
        <w:ind w:left="940" w:right="46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manufacture and maintain sufficient commercial supply of TUDRIQEV, or clinical supply of our product candidates, from our in-house manufacturing facility;</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protect and defend our intellectual property portfolio;</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train and retain additional clinical, quality control, scientific and general and administration personnel;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other drugs, technologies or third-party intellectual property; and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including personnel to support our research and development programs, any future commercialization efforts and operations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641985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40" w:firstLine="619"/>
        <w:spacing w:after="0" w:line="262" w:lineRule="auto"/>
        <w:rPr>
          <w:sz w:val="20"/>
          <w:szCs w:val="20"/>
          <w:color w:val="auto"/>
        </w:rPr>
      </w:pPr>
      <w:r>
        <w:rPr>
          <w:rFonts w:ascii="Times New Roman" w:cs="Times New Roman" w:eastAsia="Times New Roman" w:hAnsi="Times New Roman"/>
          <w:sz w:val="17"/>
          <w:szCs w:val="17"/>
          <w:color w:val="auto"/>
        </w:rPr>
        <w:t>As of September 30, 2026, we had cash and cash equivalents of $307.8 million. The Company expects that its cash and cash equivalents will be sufficient to fund its operations and capital expenditure requirements for greater than twelve months from the issuance of these condensed consolidated financial statements, including the commercialization of TUDRIQEV in advanced melanoma and for working capital and general corporate purposes.</w:t>
      </w:r>
    </w:p>
    <w:p>
      <w:pPr>
        <w:spacing w:after="0" w:line="15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the commercialization of TUDRIQEV and the development of our other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 those described in this section and above under “— Operating expenses—Research and development expenses.”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Developing novel biopharmaceutical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therapies that we can not be certain will become commercially available. Accordingly, we will need to obtain substantial additional funds to achieve our business objectives.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Adequate additional funds may not be available to us on acceptable terms, or at all. We do not currently have any committed external source of funds. To the extent that we raise additional capital through the sale of our equity or convertible debt securities, our shareholders’ interest may be diluted, and the terms of these securities may include liquidation or other preferences and anti-dilution protections that could adversely affect the rights of our common stockholder. Additional debt or preferred equity financing, if available, may involve agreements that include restrictive covenants that may limit our ability to take specific actions, such as incurring debt adversely impact our ability to conduct our business, and may require the issuance of warrants, which could potentially dilute your ownership interest.</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six months ended September 30, 2026, the Company closed the Fourth Amendment to the Loan Agreement with Hercules. There were no other material changes to our contractual obligations and commitments from those described under the heading “Management’s Discussion and Analysis of Financial Condition and Results of Operations—Contractual Obligations and Commitments” in our Annual Report on Form 10-K for the year ended March 31, 2026, which was filed with the SEC on June 29,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BMS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February 2018, we entered into a Clinical Trial Collaboration and Supply Agreement with BMS. Pursuant to the agreement, BMS provided to us, at no cost, nivolumab, its anti-PD-1 therapy, for use in combination with RP1 in our IGNYTE Phase 1/2 clinical trials. Under the agreement, we will sponsor, fund and conduct the clinical trial in accordance with an agreed-upon protocol. BMS granted us a non-exclusive, non-transferrable, royalty-free license (with a right to sublicense) under its intellectual property to use nivolumab in the clinical trial and has agreed to supply nivolumab, at no cost to us, for use in the IGNYTE Phase 1/2 clinical trials. Both parties will own the study data produced in the clinical trial, other than study data related solely to nivolumab, which will belong solely to BMS, or study data related solely to RP1, which will belong solely to us. In January 2020, this agreement was expanded to cover an additional cohort of 125 patients with anti-PD-1 failed melanoma. The Company is not using BMS supplied nivolumab in the conduct of the IGNYTE-3 clinical trial.</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terminated by either party (x) in the event of an uncured material breach by the other party, (y) in the event the other party is insolvent or in bankruptcy proceedings or (z) for safety reasons. Upon termination, the licenses granted to us to use nivolumab in the clinical trial will terminate. The agreement contains representations, warranties, undertakings and indemnities customary for a transaction of this nature.</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April 2019, we entered into a separate agreement with BMS on terms similar to the terms set forth in the agreement described above, pursuant to which BMS will provide, at no cost to us, nivolumab for use in our Phase 1 clinical trial of RP2 in combination with nivolumab. The Company is using BMS supplied nivolumab in the conduct of the REVEAL clinical trial.</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Roche</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December 2022, we entered into a Master Clinical Trial Collaboration and Supply Agreement with Roche in relation to our RP2 and RP3 programs in colorectal cancer, or CRC, and HCC. Under the agreement, the companies intended to collaborate in 30 patient cohort signal finding studies in third-line, or 3L, CRC and in first- and second-line, or 1L and 2L, respectively, HCC. Following our re-prioritization of our product development portfolio in December 2023, we have agreed with Roche to terminate the CRC collaboration and pursue the 2L cohort in HCC with RP2 only. Roche has continued to supply its currently approved drugs, atezolizumab and bevacizumab for the 2L cohort in HCC but is not sharing costs following our re-prioritization. Under the terms of the initial agreement we retained the responsibility of operating the clinical trials as well as retaining all the rights to the development and commercialization of our product candidates. The agreement may be terminated by either party upon sixty days prior written notice to the other party.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1"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 and results of operations is based on our condensed consolidated financial statements, which have been prepared in accordance with generally accepted accounting principles in the United States.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9"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greater detail in Note 2 to our condensed consolidated financial statements appearing elsewhere in this Quarterly Report, we believe that the following accounting policies are those most critical to the judgments and estimates used in the preparation of our condensed consolidated financial statements.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 expenses</w:t>
      </w:r>
    </w:p>
    <w:p>
      <w:pPr>
        <w:spacing w:after="0" w:line="22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As part of the process of preparing our condensed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condensed consolidated financial statements based on facts and circumstances known to us at that time. Examples of estimated accrued research and development expenses include fees paid to:</w:t>
      </w:r>
    </w:p>
    <w:p>
      <w:pPr>
        <w:spacing w:after="0" w:line="173" w:lineRule="exact"/>
        <w:rPr>
          <w:sz w:val="20"/>
          <w:szCs w:val="20"/>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 in connection with performing research activities and conducting preclinical studies and clinical trials on our behalf;</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CMOs in connection with the production of preclinical and clinical trial materials;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investigative sites or other service providers in connection with clinical trials;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vendors in connection with preclinical and clinical development activities;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vendors related to product manufacturing and development and distribution of preclinical and clinical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base our expenses related to preclinical studies and clinical trials on our estimates of the services received and efforts expended pursuant to quotes and contracts with multiple CMOs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10" w:lineRule="exact"/>
        <w:rPr>
          <w:sz w:val="20"/>
          <w:szCs w:val="20"/>
          <w:color w:val="auto"/>
        </w:rPr>
      </w:pPr>
    </w:p>
    <w:p>
      <w:pPr>
        <w:ind w:right="100" w:firstLine="619"/>
        <w:spacing w:after="0" w:line="239" w:lineRule="auto"/>
        <w:rPr>
          <w:sz w:val="20"/>
          <w:szCs w:val="20"/>
          <w:color w:val="auto"/>
        </w:rPr>
      </w:pPr>
      <w:r>
        <w:rPr>
          <w:rFonts w:ascii="Times New Roman" w:cs="Times New Roman" w:eastAsia="Times New Roman" w:hAnsi="Times New Roman"/>
          <w:sz w:val="17"/>
          <w:szCs w:val="17"/>
          <w:color w:val="auto"/>
        </w:rPr>
        <w:t>We issue stock-based awards to employees, directors, consultants and non-employees in the form of stock options and restricted stock units. We measure such stock-based awards in accordance with ASC 718, Compensation — Stock Compensation, which requires all stock-based awards to be recognized in the consolidated statements of operations and comprehensive loss based on their fair value on the date of the grant and the related compensation expense for those awards is recognized over the requisite service period, which is generally the vesting period of the respective award. To date, we have issued stock-based awards with service-based vesting conditions, as well as perforance-based stock units with milestone vesting conditions. The expense for these awards is recorded using the straight-line method.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See Note 11 to our condensed consolidated financial statements appearing elsewhere in this Quarterly Report for more information. Forfeitures are accounted for as they occur. The fair value of each stock-based award is estimated on the date of grant based on the fair value of our common stock on that same date.</w:t>
      </w:r>
    </w:p>
    <w:p>
      <w:pPr>
        <w:spacing w:after="0" w:line="193"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We classify stock-based compensation expense in our consolidated statements of operations in the same manner in which the award recipient’s payroll costs are classified or in which the award recipient’s service payments are classified.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our financial position and results of operations is disclosed in Note 2 to our condensed consolidated financial statements appearing elsewhere in this Quarterly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 Under the supervision and with the participation of our management, including our Chief Executive Officer, Chief Financial Officer and Chief Accounting Officer, we conducted an evaluation of the effectiveness of our disclosure controls and procedures as of September 30, 2026. Based on this evaluation, our Chief Executive Officer, Chief Financial Officer and Chief Accounting Officer concluded that, as of September 30, 2026, our disclosure controls and procedures were effective at a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509905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for the three months ended September 30, 2026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0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 xml:space="preserve">On July 24, 2025, a class action complaint alleging violations of the federal securities laws was filed against the Company and its directors and certain officers in the United States District Court for the District of Massachusetts, or the District of Massachusetts. The complaint, captioned </w:t>
      </w:r>
      <w:r>
        <w:rPr>
          <w:rFonts w:ascii="Times New Roman" w:cs="Times New Roman" w:eastAsia="Times New Roman" w:hAnsi="Times New Roman"/>
          <w:sz w:val="17"/>
          <w:szCs w:val="17"/>
          <w:i w:val="1"/>
          <w:iCs w:val="1"/>
          <w:color w:val="auto"/>
        </w:rPr>
        <w:t>Jboor v. Replimune Group,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 et al.</w:t>
      </w:r>
      <w:r>
        <w:rPr>
          <w:rFonts w:ascii="Times New Roman" w:cs="Times New Roman" w:eastAsia="Times New Roman" w:hAnsi="Times New Roman"/>
          <w:sz w:val="17"/>
          <w:szCs w:val="17"/>
          <w:color w:val="auto"/>
        </w:rPr>
        <w:t>, Case No. 1:25-cv-12085-JEK, was filed shortly after the Company announced it received a complete response letter, or CRL, from the FDA for its RP1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BLA for the treatment of advanced melanoma on July 22, 2025 and the subsequent decline in the trading price of the Company's common stock. The Court has appointed a lead plaintiff, or the Lead Plaintiff. On January 13, 2026, Lead Plaintiff filed an amended complaint. Following the second CRL issued by the FDA on April 10, 2026 for the Company's RP1 BLA for the treatment of advanced melanoma, the Lead Plaintiff filed a second amended complaint in the class action that addresses the second CRL. The Company and the other defendants filed a motion to dismiss the second amended complaint on August 17, 2026 which is scheduled to be fully briefed in December 2026. The Company and the other defendants deny any wrongdoing and will vigorously defend this action.</w:t>
      </w:r>
    </w:p>
    <w:p>
      <w:pPr>
        <w:spacing w:after="0" w:line="202" w:lineRule="exact"/>
        <w:rPr>
          <w:sz w:val="20"/>
          <w:szCs w:val="20"/>
          <w:color w:val="auto"/>
        </w:rPr>
      </w:pPr>
    </w:p>
    <w:p>
      <w:pPr>
        <w:ind w:right="220" w:firstLine="619"/>
        <w:spacing w:after="0" w:line="248" w:lineRule="auto"/>
        <w:rPr>
          <w:sz w:val="20"/>
          <w:szCs w:val="20"/>
          <w:color w:val="auto"/>
        </w:rPr>
      </w:pPr>
      <w:r>
        <w:rPr>
          <w:rFonts w:ascii="Times New Roman" w:cs="Times New Roman" w:eastAsia="Times New Roman" w:hAnsi="Times New Roman"/>
          <w:sz w:val="17"/>
          <w:szCs w:val="17"/>
          <w:color w:val="auto"/>
        </w:rPr>
        <w:t>Following the class action complaint, three shareholders filed separate derivative actions on behalf of the Company in the District of Massachusetts captioned Chea v. Patel et al., Case No. 1:25-cv-12316-JEK, Wright v. Patel et al., Case No. 1:25-cv-12401-WGY, and Vochten v. Patel et al., Case No. 1:25-cv-12484-JEK. The plaintiffs allege substantially similar facts as the class action complaint and assert that the Company’s directors and officers breached their fiduciary duties. The parties have consolidated the derivative actions and agreed to a stay pending further developments in the class action.</w:t>
      </w:r>
    </w:p>
    <w:p>
      <w:pPr>
        <w:spacing w:after="0" w:line="210"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On September 10, 2025, the Company received a letter from a shareholder demanding that the Company's board of directors take action to address alleged wrongdoing by certain directors and officers. The demand letter alleged substantially similar facts as the class action and derivative action complaints. The board of directors determined to defer action on the demand pending further developments in the class action.</w:t>
      </w:r>
    </w:p>
    <w:p>
      <w:pPr>
        <w:spacing w:after="0" w:line="19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On September 29, 2025, the SEC, informed the Company that it was conducting an investigation and requested that the Company produce certain documents and communications connected with the RP1 BLA. The investigation is reviewing essentially the same subject matter raised in the litigation following the CRL. On June 24, 2026, the SEC informed the Company that it has concluded its investigation of the Company and that it is not recommending an enforcement action be taken against the Company.</w:t>
      </w:r>
    </w:p>
    <w:p>
      <w:pPr>
        <w:spacing w:after="0" w:line="184"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On August 6, 2026, a class action complaint alleging violations of the federal securities laws was filed against the Company and its directors and certain officers in the District of Massachusetts. The complaint, captioned Toor v. Replimune Group, Inc. et al., Case No. 1:26-cv-13612, alleges essentially the same facts and circumstances as are alleged in Jboor v. Replimune Group, Inc. et al., Case No. 1:25-cv-12085. On September 18, 2026, Lead Plaintiff in the Jboor action filed a motion to consolidate the related action in Toor v. Replimune Group, Inc. et al., Case No. 1:26-cv-13612 into the Jboor action. On October 5, 2026, two plaintiffs in the Toor action filed motions for appointment as lead plaintiff and approval of selection of counsel. On October 19,2026, the Company and other defendants filed a memorandum in opposition. The Company and the other defendants deny any wrongdoing and continue to vigorously defend this 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7"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and “Management’s discussion and analysis of results of operations and financial condition.” If any of the following risks are realized, our business, financial condition, operating results and prospects could be materially and adversely affected. In that event, the price of our common stock could decline, and you could lose part or all of your investment. The risks and uncertainties described below are not the only ones we face. Additional risks and uncertainties not presently known to us or that we currently believe to be immaterial may also adversely affect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Material risks that may affect our business, operating results and financial condition include, but are not necessarily limited to, those relating to:</w:t>
      </w:r>
    </w:p>
    <w:p>
      <w:pPr>
        <w:spacing w:after="0" w:line="237"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successfully commence and achieve commercial sales of TUDRIQEV in the U.S. for its approved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519430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right="16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complete one or more confirmatory trials of TUDRIQEV, including our ongoing IGNYTE-3 clinical trial, as well as our other post marketing requirements and commitments;</w:t>
      </w:r>
    </w:p>
    <w:p>
      <w:pPr>
        <w:spacing w:after="0" w:line="151"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progress, and results of our preclinical studies and clinical trials for our product candidates, and the timing, scope or likelihood of regulatory filings and approvals for any of our product candidates;</w:t>
      </w:r>
    </w:p>
    <w:p>
      <w:pPr>
        <w:spacing w:after="0" w:line="151"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advance any future product candidates based on our novel and proprietary RPx platform and successfully complete clinical trials and prepare for and successfully complete inspections, submissions and reviews of licensing applications;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our product candidates for use in combination with other checkpoint blockade therapies, including anti-PD-1;</w:t>
      </w:r>
    </w:p>
    <w:p>
      <w:pPr>
        <w:spacing w:after="0" w:line="21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any product candidate for which we receive regulatory approval and our expectations regarding the size of the patient populations or the market acceptance of our product and product candidates if approved for commercial use;</w:t>
      </w:r>
    </w:p>
    <w:p>
      <w:pPr>
        <w:spacing w:after="0" w:line="48"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other biopharmaceutical companies, biotechnology companies and other third parties and risks associated with such third parties developing or commercializing products more quickly or marketing them more successfully than us;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developments in the field of immuno-oncology including clinical or commercial developments that may be attributed to our product candidates;</w:t>
      </w:r>
    </w:p>
    <w:p>
      <w:pPr>
        <w:spacing w:after="0" w:line="113"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history of losses, the likelihood that we will continue to incur substantial and increasing net losses in the future, and/or the likelihood that we will require additional financing to achieve our goals;</w:t>
      </w:r>
    </w:p>
    <w:p>
      <w:pPr>
        <w:spacing w:after="0" w:line="48" w:lineRule="exact"/>
        <w:rPr>
          <w:rFonts w:ascii="Times New Roman" w:cs="Times New Roman" w:eastAsia="Times New Roman" w:hAnsi="Times New Roman"/>
          <w:sz w:val="17"/>
          <w:szCs w:val="17"/>
          <w:color w:val="auto"/>
        </w:rPr>
      </w:pPr>
    </w:p>
    <w:p>
      <w:pPr>
        <w:ind w:left="620" w:right="680" w:hanging="307"/>
        <w:spacing w:after="0" w:line="270"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 including the scope of protection we are able to establish and maintain for intellectual property rights covering TUDRIQEV and our product candidates, claims others may make regarding rights in our intellectual property, and any potential infringement, misappropriation or other violation or alleged violation of any third-party intellectual property rights;</w:t>
      </w:r>
    </w:p>
    <w:p>
      <w:pPr>
        <w:spacing w:after="0" w:line="49" w:lineRule="exact"/>
        <w:rPr>
          <w:rFonts w:ascii="Times New Roman" w:cs="Times New Roman" w:eastAsia="Times New Roman" w:hAnsi="Times New Roman"/>
          <w:sz w:val="17"/>
          <w:szCs w:val="17"/>
          <w:color w:val="auto"/>
        </w:rPr>
      </w:pPr>
    </w:p>
    <w:p>
      <w:pPr>
        <w:ind w:left="620" w:right="500" w:hanging="307"/>
        <w:spacing w:after="0" w:line="255"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qualify, obtain approval for, and maintain successful operation, approval and qualification of our in-house manufacturing operations;</w:t>
      </w:r>
    </w:p>
    <w:p>
      <w:pPr>
        <w:spacing w:after="0" w:line="61" w:lineRule="exact"/>
        <w:rPr>
          <w:rFonts w:ascii="Times New Roman" w:cs="Times New Roman" w:eastAsia="Times New Roman" w:hAnsi="Times New Roman"/>
          <w:sz w:val="17"/>
          <w:szCs w:val="17"/>
          <w:color w:val="auto"/>
        </w:rPr>
      </w:pPr>
    </w:p>
    <w:p>
      <w:pPr>
        <w:ind w:left="620" w:right="240" w:hanging="307"/>
        <w:spacing w:after="0" w:line="255"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sufficient quantities of raw material supplies to build or maintain our product candidate supplies or otherwise operate our in-house manufacturing facility;</w:t>
      </w:r>
    </w:p>
    <w:p>
      <w:pPr>
        <w:spacing w:after="0" w:line="48" w:lineRule="exact"/>
        <w:rPr>
          <w:rFonts w:ascii="Times New Roman" w:cs="Times New Roman" w:eastAsia="Times New Roman" w:hAnsi="Times New Roman"/>
          <w:sz w:val="17"/>
          <w:szCs w:val="17"/>
          <w:color w:val="auto"/>
        </w:rPr>
      </w:pPr>
    </w:p>
    <w:p>
      <w:pPr>
        <w:ind w:left="620" w:right="40" w:hanging="307"/>
        <w:spacing w:after="0" w:line="255"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sufficient quantities of materials and supplies to conduct our clinical trials, such as comparative, control and/or standard of care therapies including chemotherapeutic agents that are currently in short supply in the industry;</w:t>
      </w:r>
    </w:p>
    <w:p>
      <w:pPr>
        <w:spacing w:after="0" w:line="74"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operating our in-house manufacturing facility and our reliance on third-party collaborators and clinical trial service providers, which may be single or of limited source;</w:t>
      </w:r>
    </w:p>
    <w:p>
      <w:pPr>
        <w:spacing w:after="0" w:line="48"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domestic and foreign laws, rules and regulations and the consequences in the event that we fail to comply with such laws, rules and regulations;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the continued service of our key professionals and to identify, hire, train and retain additional qualified professionals;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 and developments and projections relating to our competitors and our industry;</w:t>
      </w:r>
    </w:p>
    <w:p>
      <w:pPr>
        <w:spacing w:after="0" w:line="113" w:lineRule="exact"/>
        <w:rPr>
          <w:rFonts w:ascii="Times New Roman" w:cs="Times New Roman" w:eastAsia="Times New Roman" w:hAnsi="Times New Roman"/>
          <w:sz w:val="17"/>
          <w:szCs w:val="17"/>
          <w:color w:val="auto"/>
        </w:rPr>
      </w:pPr>
    </w:p>
    <w:p>
      <w:pPr>
        <w:ind w:left="620" w:right="440" w:hanging="307"/>
        <w:spacing w:after="0" w:line="28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increased costs associated with tariffs imposed or threatened by the current U.S. administration on pharmaceuticals and pharmaceutical ingredients where there is no available exception; and</w:t>
      </w:r>
    </w:p>
    <w:p>
      <w:pPr>
        <w:spacing w:after="0" w:line="48" w:lineRule="exact"/>
        <w:rPr>
          <w:rFonts w:ascii="Times New Roman" w:cs="Times New Roman" w:eastAsia="Times New Roman" w:hAnsi="Times New Roman"/>
          <w:sz w:val="17"/>
          <w:szCs w:val="17"/>
          <w:color w:val="auto"/>
        </w:rPr>
      </w:pPr>
    </w:p>
    <w:p>
      <w:pPr>
        <w:ind w:left="620" w:right="60" w:hanging="307"/>
        <w:spacing w:after="0" w:line="25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trade and military conflicts between Russia-Ukraine and Israel-Hamas and U.S.-China, including imposed and threatened tariffs, and other international hostilities and conflicts, and their impact on the global economy and related governmental imposed sanctions and potential material supplies and supply chain disruptions and global or national economic impacts such as inflation.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539115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3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near-term prospects are wholly dependent on TUDRIQEV. We have no experience with the commercialization of TUDRIQEV, and if we are unable to successfully commercialize TUDRIQEV in the U.S. for its approved indication, our ability to generate meaningful revenue or achieve profitability will be materially and adversely affected.</w:t>
      </w:r>
    </w:p>
    <w:p>
      <w:pPr>
        <w:spacing w:after="0" w:line="164"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In August 2026, we received FDA approval to commercialize TUDRIQEV in combination with nivolumab in the U.S. for the treatment of adults with unresectable advanced cutaneous melanoma who experienced disease progression with an anti-PD-1 antibody-based regimen, and we are commercially launching TUDRIQEV in the U.S. in that indication. This indication is approved under accelerated approval based on objective response rate and duration of response. Continued approval for this indication may be contingent on verification of clinical benefit in one or more confirmatory trials, including our ongoing IGNYTE-3 clinical trial. We are conducting our ongoing IGNYTE-3 clinical trial as a confirmatory study. Additionally, we are also required to conduct a pediatric study and fulfill certain other postmarketing commitments set out in FDA’s TUDRIQEV approval letter.</w:t>
      </w:r>
    </w:p>
    <w:p>
      <w:pPr>
        <w:spacing w:after="0" w:line="173"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TUDRIQEV is our only product approved for marketing by the FDA, and our ability to generate revenue from product sales and achieve profitability is wholly dependent on our ability to successfully commercialize TUDRIQEV in the U.S. for its approved indication. We may not be able to successfully commercialize TUDRIQEV for a number of reasons, including:</w:t>
      </w:r>
    </w:p>
    <w:p>
      <w:pPr>
        <w:spacing w:after="0" w:line="165" w:lineRule="exact"/>
        <w:rPr>
          <w:sz w:val="20"/>
          <w:szCs w:val="20"/>
          <w:color w:val="auto"/>
        </w:rPr>
      </w:pPr>
    </w:p>
    <w:p>
      <w:pPr>
        <w:ind w:left="620" w:right="240" w:firstLine="2"/>
        <w:spacing w:after="0" w:line="287" w:lineRule="auto"/>
        <w:tabs>
          <w:tab w:leader="none" w:pos="92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establish or demonstrate in the medical community the safety and efficacy of TUDRIQEV and its potential advantages over and side effects compared to existing treatments;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may be reluctant to prescribe TUDRIQEV until longer-term efficacy and safety data exists;</w:t>
      </w:r>
    </w:p>
    <w:p>
      <w:pPr>
        <w:spacing w:after="0" w:line="217" w:lineRule="exact"/>
        <w:rPr>
          <w:rFonts w:ascii="Times New Roman" w:cs="Times New Roman" w:eastAsia="Times New Roman" w:hAnsi="Times New Roman"/>
          <w:sz w:val="17"/>
          <w:szCs w:val="17"/>
          <w:color w:val="auto"/>
        </w:rPr>
      </w:pPr>
    </w:p>
    <w:p>
      <w:pPr>
        <w:ind w:left="620" w:right="100" w:firstLine="2"/>
        <w:spacing w:after="0" w:line="264" w:lineRule="auto"/>
        <w:tabs>
          <w:tab w:leader="none" w:pos="92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 prior experience in marketing, selling and distributing TUDRIQEV or any other product; following receipt of a second CRL in April 2026, we implemented significant cost-savings measures, including significant reductions in force in our in-house sales, marketing or commercialization teams; although we have begun to rebuild these capabilities in advance of commercializing TUDRIQEV, we may face challenges in rehiring former staff or hiring, training, and deploying new staff to meet our commercialization objectives;</w:t>
      </w:r>
    </w:p>
    <w:p>
      <w:pPr>
        <w:spacing w:after="0" w:line="171" w:lineRule="exact"/>
        <w:rPr>
          <w:rFonts w:ascii="Times New Roman" w:cs="Times New Roman" w:eastAsia="Times New Roman" w:hAnsi="Times New Roman"/>
          <w:sz w:val="17"/>
          <w:szCs w:val="17"/>
          <w:color w:val="auto"/>
        </w:rPr>
      </w:pPr>
    </w:p>
    <w:p>
      <w:pPr>
        <w:ind w:left="620" w:right="120" w:firstLine="2"/>
        <w:spacing w:after="0" w:line="287" w:lineRule="auto"/>
        <w:tabs>
          <w:tab w:leader="none" w:pos="92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the reimbursement and coverage policies of government and private payors such as Medicare, Medicaid, insurance companies, health maintenance organizations and other plan administrators and may not be able to obtain adequate reimbursement and coverage for TUDRIQEV;</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may be affected by the relative price of TUDRIQEV in combination with nivolumab as compared to alternative treatment options;</w:t>
      </w:r>
    </w:p>
    <w:p>
      <w:pPr>
        <w:spacing w:after="0" w:line="217" w:lineRule="exact"/>
        <w:rPr>
          <w:rFonts w:ascii="Times New Roman" w:cs="Times New Roman" w:eastAsia="Times New Roman" w:hAnsi="Times New Roman"/>
          <w:sz w:val="17"/>
          <w:szCs w:val="17"/>
          <w:color w:val="auto"/>
        </w:rPr>
      </w:pPr>
    </w:p>
    <w:p>
      <w:pPr>
        <w:ind w:left="620" w:right="40" w:firstLine="2"/>
        <w:spacing w:after="0" w:line="287" w:lineRule="auto"/>
        <w:tabs>
          <w:tab w:leader="none" w:pos="92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volumes will depend on the incidence and prevalence of patients in TUDRIQEV’s approved indication, and our market and sales estimates may be incorrect;</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competitive or other market factors may adversely affect the commercial potential of TUDRIQEV;</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obtain and maintain regulatory approvals for TUDRIQEV in any other jurisdictions or for any other indications;</w:t>
      </w:r>
    </w:p>
    <w:p>
      <w:pPr>
        <w:spacing w:after="0" w:line="217" w:lineRule="exact"/>
        <w:rPr>
          <w:rFonts w:ascii="Times New Roman" w:cs="Times New Roman" w:eastAsia="Times New Roman" w:hAnsi="Times New Roman"/>
          <w:sz w:val="17"/>
          <w:szCs w:val="17"/>
          <w:color w:val="auto"/>
        </w:rPr>
      </w:pPr>
    </w:p>
    <w:p>
      <w:pPr>
        <w:ind w:left="620" w:right="400" w:firstLine="2"/>
        <w:spacing w:after="0" w:line="287" w:lineRule="auto"/>
        <w:tabs>
          <w:tab w:leader="none" w:pos="92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could be required to the label for TUDRIQEV that further restrict how we market and sell TUDRIQEV, including as a result of adverse events observed following commercialization or in ongoing and future studies of TUDRIQEV;</w:t>
      </w:r>
    </w:p>
    <w:p>
      <w:pPr>
        <w:spacing w:after="0" w:line="151" w:lineRule="exact"/>
        <w:rPr>
          <w:rFonts w:ascii="Times New Roman" w:cs="Times New Roman" w:eastAsia="Times New Roman" w:hAnsi="Times New Roman"/>
          <w:sz w:val="17"/>
          <w:szCs w:val="17"/>
          <w:color w:val="auto"/>
        </w:rPr>
      </w:pPr>
    </w:p>
    <w:p>
      <w:pPr>
        <w:jc w:val="center"/>
        <w:ind w:left="620" w:firstLine="2"/>
        <w:spacing w:after="0" w:line="287" w:lineRule="auto"/>
        <w:tabs>
          <w:tab w:leader="none" w:pos="92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timely or successfully complete one or more confirmatory trials that verify the clinical benefit of TUDRIQEV, including our ongoing IGNYTE-3 clinical trial, or may be unable to timely or successfully complete the required pediatric study and other postmarketing commitments;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manufacturing challenges that may impact product supply or may need to conduct product recalls;</w:t>
      </w:r>
    </w:p>
    <w:p>
      <w:pPr>
        <w:spacing w:after="0" w:line="217" w:lineRule="exact"/>
        <w:rPr>
          <w:rFonts w:ascii="Times New Roman" w:cs="Times New Roman" w:eastAsia="Times New Roman" w:hAnsi="Times New Roman"/>
          <w:sz w:val="17"/>
          <w:szCs w:val="17"/>
          <w:color w:val="auto"/>
        </w:rPr>
      </w:pPr>
    </w:p>
    <w:p>
      <w:pPr>
        <w:ind w:left="620" w:right="300" w:firstLine="2"/>
        <w:spacing w:after="0" w:line="287" w:lineRule="auto"/>
        <w:tabs>
          <w:tab w:leader="none" w:pos="92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be able to maintain compliance with the many legal and regulatory requirements for the manufacturing, marketing, promotion, sale, distribution and commercialization of TUDRIQEV and may face enforcement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firstLine="2"/>
        <w:spacing w:after="0" w:line="287" w:lineRule="auto"/>
        <w:tabs>
          <w:tab w:leader="none" w:pos="92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maintain adequate commercial supplies of TUDRIQEV, or there may not be adequate supplies of nivolumab to meet demand at an acceptable cost or at all; and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additional financial or other resources to successfully commercialize TUDRIQEV.</w:t>
      </w:r>
    </w:p>
    <w:p>
      <w:pPr>
        <w:spacing w:after="0" w:line="21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Moreover, successful commercialization of TUDRIQEV may not generate sufficient revenue from product sales, and we may not become profitable in the near term, or at all. In any event, if we are unable to successfully commercialize TUDRIQEV in the U.S. for its approved indication, our ability to generate meaningful revenue from product sales and achieve profitability will be materially and adversely affected, which in turn could have a material adverse effect on our business and business prospects.</w:t>
      </w:r>
    </w:p>
    <w:p>
      <w:pPr>
        <w:spacing w:after="0" w:line="165"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To be commercially successful, TUDRIQEV must be accepted by the healthcare community, which can be slow to adopt or unreceptive to new technologies and products.</w:t>
      </w:r>
    </w:p>
    <w:p>
      <w:pPr>
        <w:spacing w:after="0" w:line="146"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TUDRIQEV may not achieve market acceptance in the U.S. for the treatment of adults with unresectable advanced cutaneous melanoma who experienced disease progression with an anti-PD-1 antibody-based regimen or any other indication that might be approved by the FDA in the future, or achieve the potential international revenue we believe may be possible if TUDRIQEV is approved outside the U.S., since hospitals, physicians, patients or the medical community in general may decide not to accept and utilize TUDRIQEV. The degree of market acceptance of TUDRIQEV depends on a number of factors, including:</w:t>
      </w:r>
    </w:p>
    <w:p>
      <w:pPr>
        <w:spacing w:after="0" w:line="171" w:lineRule="exact"/>
        <w:rPr>
          <w:sz w:val="20"/>
          <w:szCs w:val="20"/>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TUDRIQEV is or may in the future be approved, as well as any contraindications, risks, and warnings;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and demonstration to the medical community of the clinical efficacy and safety of TUDRIQEV;</w:t>
      </w:r>
    </w:p>
    <w:p>
      <w:pPr>
        <w:spacing w:after="0" w:line="217" w:lineRule="exact"/>
        <w:rPr>
          <w:rFonts w:ascii="Times New Roman" w:cs="Times New Roman" w:eastAsia="Times New Roman" w:hAnsi="Times New Roman"/>
          <w:sz w:val="17"/>
          <w:szCs w:val="17"/>
          <w:color w:val="auto"/>
        </w:rPr>
      </w:pPr>
    </w:p>
    <w:p>
      <w:pPr>
        <w:ind w:left="620" w:right="400" w:firstLine="2"/>
        <w:spacing w:after="0" w:line="287" w:lineRule="auto"/>
        <w:tabs>
          <w:tab w:leader="none" w:pos="92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demonstrate that TUDRIQEV is superior to alternatives on the market at the time, including with respect to efficacy, safety, cost or mode of administration;</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medical professionals to prescribe, and patients to use, TUDRIQEV in combination with nivolumab;</w:t>
      </w:r>
    </w:p>
    <w:p>
      <w:pPr>
        <w:spacing w:after="0" w:line="217" w:lineRule="exact"/>
        <w:rPr>
          <w:rFonts w:ascii="Times New Roman" w:cs="Times New Roman" w:eastAsia="Times New Roman" w:hAnsi="Times New Roman"/>
          <w:sz w:val="17"/>
          <w:szCs w:val="17"/>
          <w:color w:val="auto"/>
        </w:rPr>
      </w:pPr>
    </w:p>
    <w:p>
      <w:pPr>
        <w:ind w:left="620" w:right="220" w:firstLine="2"/>
        <w:spacing w:after="0" w:line="287" w:lineRule="auto"/>
        <w:tabs>
          <w:tab w:leader="none" w:pos="92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publication of unfavorable safety or efficacy data concerning TUDRIQEV by third parties or us or the publication of favorable data concerning competitive products;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use of TUDRIQEV alone or in combination with other products;</w:t>
      </w:r>
    </w:p>
    <w:p>
      <w:pPr>
        <w:spacing w:after="0" w:line="217" w:lineRule="exact"/>
        <w:rPr>
          <w:rFonts w:ascii="Times New Roman" w:cs="Times New Roman" w:eastAsia="Times New Roman" w:hAnsi="Times New Roman"/>
          <w:sz w:val="17"/>
          <w:szCs w:val="17"/>
          <w:color w:val="auto"/>
        </w:rPr>
      </w:pPr>
    </w:p>
    <w:p>
      <w:pPr>
        <w:jc w:val="both"/>
        <w:ind w:left="620" w:right="120" w:firstLine="2"/>
        <w:spacing w:after="0" w:line="287" w:lineRule="auto"/>
        <w:tabs>
          <w:tab w:leader="none" w:pos="92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label and promotional claims allowed by the FDA for TUDRIQEV, as well as such claims allowed by similar international regulatory authorities for TUDRIQEV, if any, including usage for only certain indications and any limitations or warnings about the prevalence or severity of any side effects;</w:t>
      </w:r>
    </w:p>
    <w:p>
      <w:pPr>
        <w:spacing w:after="0" w:line="151" w:lineRule="exact"/>
        <w:rPr>
          <w:rFonts w:ascii="Times New Roman" w:cs="Times New Roman" w:eastAsia="Times New Roman" w:hAnsi="Times New Roman"/>
          <w:sz w:val="17"/>
          <w:szCs w:val="17"/>
          <w:color w:val="auto"/>
        </w:rPr>
      </w:pPr>
    </w:p>
    <w:p>
      <w:pPr>
        <w:ind w:left="620" w:right="260" w:firstLine="2"/>
        <w:spacing w:after="0" w:line="287" w:lineRule="auto"/>
        <w:tabs>
          <w:tab w:leader="none" w:pos="92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TUDRIQEV as well as competitive products, including sequencing of available products; the effectiveness of sales, marketing and distribution support for TUDRIQEV;</w:t>
      </w:r>
    </w:p>
    <w:p>
      <w:pPr>
        <w:spacing w:after="0" w:line="151" w:lineRule="exact"/>
        <w:rPr>
          <w:rFonts w:ascii="Times New Roman" w:cs="Times New Roman" w:eastAsia="Times New Roman" w:hAnsi="Times New Roman"/>
          <w:sz w:val="17"/>
          <w:szCs w:val="17"/>
          <w:color w:val="auto"/>
        </w:rPr>
      </w:pPr>
    </w:p>
    <w:p>
      <w:pPr>
        <w:ind w:left="620" w:right="380" w:firstLine="2"/>
        <w:spacing w:after="0" w:line="287" w:lineRule="auto"/>
        <w:tabs>
          <w:tab w:leader="none" w:pos="92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any third-party distributors or other service providers we may contract with to distribute TUDRIQEV and the processes required to order and administer TUDRIQEV in combination with nivolumab;</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TUDRIQEV is approved for inclusion on formularies or otherwise authorized for use in hospitals and other treatment centers;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of TUDRIQEV in combination with nivolumab, both in absolute terms and relative to alternative treatments;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nivolumab and TUDRIQEV;</w:t>
      </w:r>
    </w:p>
    <w:p>
      <w:pPr>
        <w:spacing w:after="0" w:line="217" w:lineRule="exact"/>
        <w:rPr>
          <w:rFonts w:ascii="Times New Roman" w:cs="Times New Roman" w:eastAsia="Times New Roman" w:hAnsi="Times New Roman"/>
          <w:sz w:val="17"/>
          <w:szCs w:val="17"/>
          <w:color w:val="auto"/>
        </w:rPr>
      </w:pPr>
    </w:p>
    <w:p>
      <w:pPr>
        <w:ind w:left="620" w:right="20" w:firstLine="2"/>
        <w:spacing w:after="0" w:line="287" w:lineRule="auto"/>
        <w:tabs>
          <w:tab w:leader="none" w:pos="92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healthcare professionals and treatment centers with the expertise, personnel and equipment necessary to administer TUDRIQEV by direct injection into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coverage and adequate reimbursement by government and third-party payors;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patients to pay out-of-pocket in the absence of coverage by third-party payors, including governmental authorities.</w:t>
      </w:r>
    </w:p>
    <w:p>
      <w:pPr>
        <w:spacing w:after="0" w:line="21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Government payors, insurers and/or third-party payors may decide that any potential benefit that TUDRIQEV may provide to clinical outcomes in advanced melanoma is not adequate to justify the potential adverse effects or the costs of treatment with TUDRIQEV in combination with nivolumab. If the healthcare community does not accept TUDRIQEV for any of the foregoing reasons, or for any other reasons, our ability to commercialize TUDRIQEV in the U.S. for its approved indication or for any other indications for which TUDRIQEV may be approved may be negatively impacted or precluded altogether, which would seriously and adversely affect our business and business prospects.</w:t>
      </w:r>
    </w:p>
    <w:p>
      <w:pPr>
        <w:spacing w:after="0" w:line="16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TUDRIQEV was approved under the accelerated approval pathway, and continued approval may be contingent upon verification of clinical benefit in one or more confirmatory trials, including our ongoing IGNYTE-3 clinical trial. If we fail to satisfy the requirements applicable to accelerated approval, the FDA may withdraw approval of TUDRIQEV.</w:t>
      </w:r>
    </w:p>
    <w:p>
      <w:pPr>
        <w:spacing w:after="0" w:line="164"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FDA granted accelerated approval of TUDRIQEV in combination with nivolumab for the treatment of adults with unresectable advanced cutaneous melanoma who experienced disease progression with an anti-PD-1 antibody-based regimen. This indication was approved based on overall response rate and duration of response. Under the accelerated approval pathway,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taking into account the severity, rarity or prevalence of the condition and the availability or lack of alternative treatments. The FDA generally reserves the use of accelerated approvals for situations in which the product at issue provides a meaningful therapeutic benefit over existing treatments.</w:t>
      </w:r>
    </w:p>
    <w:p>
      <w:pPr>
        <w:spacing w:after="0" w:line="179"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Products granted accelerated approval are subject to certain post-marketing requirements, which include a requirement to conduct one or more post-approval studies to confirm the clinical benefit of the product, which must be completed with due diligence. For instance, the continued approval of TUDRIQEV may be contingent upon verification of clinical benefit in one or more confirmatory trials, including our ongoing IGNYTE-3 clinical trial. The FDA also sets forth the conditions for post-marketing requirements and post-marketing commitments. The FDA may disagree with our clinical study designs for or our conduct of post-marketing confirmatory studies and may require study conditions that are unfavorable to us or impractical, which could delay completion of the study or lead to studies not demonstrating a clinical benefit. We also may not be able to complete or may not successfully complete the required post-marketing confirmatory studies. If we do not complete the required post-marketing confirmatory studies or if these do not confirm TUDRIQEV’s clinical benefit, FDA could withdraw the product from the market using an expedited withdrawal process, we may choose to voluntarily withdraw the product from the market, or we may need to conduct further studies to determine whether the product has a clinical benefit. Failure to conduct the required confirmatory studies or to conduct such studies with due diligence, as well as failure to submit the required update reports can subject us to penalties.</w:t>
      </w:r>
    </w:p>
    <w:p>
      <w:pPr>
        <w:spacing w:after="0" w:line="176"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In addition, sponsors of products approved under accelerated approval are required to provide reports to the FDA on the progress of the required confirmatory studies. FDA regulations further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w:t>
      </w:r>
    </w:p>
    <w:p>
      <w:pPr>
        <w:spacing w:after="0" w:line="171"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previously convened an advisory committee to review cases where confirmatory studies have not been completed or where results did not confirm benefit.</w:t>
      </w:r>
    </w:p>
    <w:p>
      <w:pPr>
        <w:spacing w:after="0" w:line="165"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As noted above, the FDA also has the authority to withdraw products approved under the accelerated approval pathway using expedited withdrawal procedures. Circumstances that may lead to such withdrawal include:</w:t>
      </w:r>
    </w:p>
    <w:p>
      <w:pPr>
        <w:spacing w:after="0" w:line="151" w:lineRule="exact"/>
        <w:rPr>
          <w:sz w:val="20"/>
          <w:szCs w:val="20"/>
          <w:color w:val="auto"/>
        </w:rPr>
      </w:pPr>
    </w:p>
    <w:p>
      <w:pPr>
        <w:ind w:left="920" w:hanging="298"/>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conduct required post-approval study of TUDRIQEV with due diligence, including with respect to conditions specified by the FDA;</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study required to verify and describe the predicted clinical benefit of TUDRIQEV fails to verify and describe such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hanging="298"/>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evidence demonstrates that TUDRIQEV is not shown to be safe or effective under the conditions of use; or</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dissemination of false or misleading promotional materials relating to TUDRIQEV.</w:t>
      </w:r>
    </w:p>
    <w:p>
      <w:pPr>
        <w:spacing w:after="0" w:line="21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If we fail to complete IGNYTE-3 or any other required post-approval study with due diligence, if any such study fails to verify and describe the predicted clinical benefit of TUDRIQEV or if other evidence demonstrates that TUDRIQEV is not shown to be safe or effective under the conditions of use, the FDA may withdraw approval of TUDRIQEV, which could have a material adverse effect on our business and business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product development and regulatory approval</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in various stages of development, are not approved for commercial sale and might never receive regulatory approval or become commercially viable. We cannot be certain that we will be able to successfully develop further product candidates or obtain regulatory approval for our product candidates. Prior to the commercialization of TUDRIQEV in early October 2026, we have not yet generated any revenue from product sales and may never be profitable.</w:t>
      </w:r>
    </w:p>
    <w:p>
      <w:pPr>
        <w:spacing w:after="0" w:line="178"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Although we have recently received approval from the FDA for TUDRIQEV, in combination with nivolumab for the treatment of adults with unresectable advanced cutaneous melanoma who experienced disease progression with an anti-PD-1 antibody-based regimen, all of our product candidates are in earlier stages of research or clinical development. Our product candidates require extensive preclinical and/or clinical testing and regulatory review from the FDA prior to approval and commercial use. It is possible that the FDA will not approve an application that we may submit, or our product candidates may not obtain appropriate regulatory approvals necessary for us to commence or continue clinical trials for our product candidates or ultimately commercialize them. Any delay or failure in obtaining required approvals could have a material adverse effect on our business and business prospects. For example, we received multiple CRLs from the FDA in connection with our BLA for TUDRIQEV in combination with nivolumab for the treatment of advanced melanoma.</w:t>
      </w:r>
    </w:p>
    <w:p>
      <w:pPr>
        <w:spacing w:after="0" w:line="20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The process from development to commercialization can take many years and will likely require the expenditure of substantial resources beyond the proceeds we currently have on hand, without any guarantee or assurance that we will be successful with regulatory approval, or commercial success, of such product candidate.</w:t>
      </w:r>
    </w:p>
    <w:p>
      <w:pPr>
        <w:spacing w:after="0" w:line="17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In addition, any of our other research and development efforts may not be successful. Furthermore, even if our clinical development efforts result in what we believe to be positive data, our product candidates may not receive regulatory approval or be successfully introduced and marketed at prices that would permit us to operate profitably.</w:t>
      </w:r>
    </w:p>
    <w:p>
      <w:pPr>
        <w:spacing w:after="0" w:line="205"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not be able to commercialize our product candidates if our preclinical studies do not produce successful results and/or our clinical trials do not demonstrate the safety and efficacy of our product candidates.</w:t>
      </w:r>
    </w:p>
    <w:p>
      <w:pPr>
        <w:spacing w:after="0" w:line="17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product candidates are susceptible to the risks of failure inherent at any stage of product development, including the occurrence of unexpected or unacceptable adverse events or the failure to demonstrate efficacy in clinical trials. Clinical development is expensive and can take many years to complete, and its outcome is inherently uncertain.</w:t>
      </w:r>
    </w:p>
    <w:p>
      <w:pPr>
        <w:spacing w:after="0" w:line="19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results of preclinical studies, preliminary study results, and early clinical trials of our product candidates may not be predictive of the results of later stage clinical trials. Our product candidates may not perform as we expect, may ultimately have a different or no impact on tumors, may have a different mechanism of action than we expect in humans, and may not ultimately prove to be safe and effective.</w:t>
      </w:r>
    </w:p>
    <w:p>
      <w:pPr>
        <w:spacing w:after="0" w:line="1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Preliminary and final results from preclinical studies and early stage trials, and trials in compounds that we believe are similar to ours, may not be representative of results that are found in larger, controlled, blinded, and longer-term studies. Product candidates may fail at any stage of preclinical or clinical development. Product candidates may fail to show the desired safety and efficacy traits even if they have progressed through preclinical studies or initial clinical trials. Preclinical studies and clinical trials may also reveal unfavorable product candidate characteristics, including safety concerns. A number of companies in the biopharmaceutical industry have suffered significant setbacks in clinical trials, notwithstanding promising results in earlier preclinical studies or clinical trials or promising mechanisms of action.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Moreover, should there be an issue with the design of a clinical trial, our results may be impacted. We may not discover such a flaw until the clinical trial is at an advanced stage, the data is being reviewed or during the license application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657860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216" w:lineRule="exact"/>
        <w:rPr>
          <w:sz w:val="20"/>
          <w:szCs w:val="20"/>
          <w:color w:val="auto"/>
        </w:rPr>
      </w:pPr>
    </w:p>
    <w:p>
      <w:pPr>
        <w:jc w:val="both"/>
        <w:ind w:left="620" w:right="300" w:hanging="307"/>
        <w:spacing w:after="0" w:line="241"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 or may elect to participate in alternative clinical trials sponsored by our competitors with product candidates that treat the same indications as our product candidates;</w:t>
      </w:r>
    </w:p>
    <w:p>
      <w:pPr>
        <w:spacing w:after="0" w:line="22" w:lineRule="exact"/>
        <w:rPr>
          <w:rFonts w:ascii="Arial" w:cs="Arial" w:eastAsia="Arial" w:hAnsi="Arial"/>
          <w:sz w:val="21"/>
          <w:szCs w:val="21"/>
          <w:color w:val="auto"/>
        </w:rPr>
      </w:pPr>
    </w:p>
    <w:p>
      <w:pPr>
        <w:ind w:left="620" w:right="160" w:hanging="307"/>
        <w:spacing w:after="0" w:line="235"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regulators or IRBs may not authorize us or our investigators to commence a clinical trial, conduct a clinical trial at a prospective trial site, or amend trial protocols, or may require that we modify or amend our clinical trial protocols;</w:t>
      </w:r>
    </w:p>
    <w:p>
      <w:pPr>
        <w:spacing w:after="0" w:line="23" w:lineRule="exact"/>
        <w:rPr>
          <w:rFonts w:ascii="Times New Roman" w:cs="Times New Roman" w:eastAsia="Times New Roman" w:hAnsi="Times New Roman"/>
          <w:sz w:val="21"/>
          <w:szCs w:val="21"/>
          <w:color w:val="auto"/>
        </w:rPr>
      </w:pPr>
    </w:p>
    <w:p>
      <w:pPr>
        <w:ind w:left="620" w:hanging="307"/>
        <w:spacing w:after="0" w:line="242"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may experience delays in reaching, or fail to reach, agreement on acceptable clinical trial contracts or clinical trial protocols with prospective trial sites and/or contract research organizations, or CROs;</w:t>
      </w:r>
    </w:p>
    <w:p>
      <w:pPr>
        <w:spacing w:after="0" w:line="23" w:lineRule="exact"/>
        <w:rPr>
          <w:rFonts w:ascii="Times New Roman" w:cs="Times New Roman" w:eastAsia="Times New Roman" w:hAnsi="Times New Roman"/>
          <w:sz w:val="21"/>
          <w:szCs w:val="21"/>
          <w:color w:val="auto"/>
        </w:rPr>
      </w:pPr>
    </w:p>
    <w:p>
      <w:pPr>
        <w:ind w:left="620" w:right="340" w:hanging="307"/>
        <w:spacing w:after="0" w:line="235"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w:t>
      </w:r>
    </w:p>
    <w:p>
      <w:pPr>
        <w:spacing w:after="0" w:line="23" w:lineRule="exact"/>
        <w:rPr>
          <w:rFonts w:ascii="Times New Roman" w:cs="Times New Roman" w:eastAsia="Times New Roman" w:hAnsi="Times New Roman"/>
          <w:sz w:val="21"/>
          <w:szCs w:val="21"/>
          <w:color w:val="auto"/>
        </w:rPr>
      </w:pPr>
    </w:p>
    <w:p>
      <w:pPr>
        <w:ind w:left="620" w:right="260" w:hanging="307"/>
        <w:spacing w:after="0" w:line="235"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3" w:lineRule="exact"/>
        <w:rPr>
          <w:rFonts w:ascii="Times New Roman" w:cs="Times New Roman" w:eastAsia="Times New Roman" w:hAnsi="Times New Roman"/>
          <w:sz w:val="21"/>
          <w:szCs w:val="21"/>
          <w:color w:val="auto"/>
        </w:rPr>
      </w:pPr>
    </w:p>
    <w:p>
      <w:pPr>
        <w:ind w:left="620" w:right="60" w:hanging="307"/>
        <w:spacing w:after="0" w:line="244"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therapeutic or therapeutic candidate;</w:t>
      </w:r>
    </w:p>
    <w:p>
      <w:pPr>
        <w:spacing w:after="0" w:line="22" w:lineRule="exact"/>
        <w:rPr>
          <w:rFonts w:ascii="Times New Roman" w:cs="Times New Roman" w:eastAsia="Times New Roman" w:hAnsi="Times New Roman"/>
          <w:sz w:val="21"/>
          <w:szCs w:val="21"/>
          <w:color w:val="auto"/>
        </w:rPr>
      </w:pPr>
    </w:p>
    <w:p>
      <w:pPr>
        <w:ind w:left="620" w:right="200" w:hanging="307"/>
        <w:spacing w:after="0" w:line="235"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manufacturing facilities or the manufacturing process for our product candidates may impact how our product candidates perform in clinical trials;</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could be adopted in marketing approval policies during the development period, rendering our data insufficient to obtain marketing approval;</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statutes or regulations could be amended or new ones could be adopted;</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could be adopted in the regulatory review process for submitted product applications;</w:t>
      </w:r>
    </w:p>
    <w:p>
      <w:pPr>
        <w:spacing w:after="0" w:line="22" w:lineRule="exact"/>
        <w:rPr>
          <w:rFonts w:ascii="Times New Roman" w:cs="Times New Roman" w:eastAsia="Times New Roman" w:hAnsi="Times New Roman"/>
          <w:sz w:val="21"/>
          <w:szCs w:val="21"/>
          <w:color w:val="auto"/>
        </w:rPr>
      </w:pPr>
    </w:p>
    <w:p>
      <w:pPr>
        <w:ind w:left="620" w:right="300" w:hanging="307"/>
        <w:spacing w:after="0" w:line="235"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cost of clinical trials of our product candidates may be greater than we anticipate or we may have insufficient funds for a clinical trial or to pay the substantial user fees required by the FDA upon the filing of a BLA or equivalent authorizations from comparable foreign regulatory authorities;</w:t>
      </w:r>
    </w:p>
    <w:p>
      <w:pPr>
        <w:spacing w:after="0" w:line="23" w:lineRule="exact"/>
        <w:rPr>
          <w:rFonts w:ascii="Times New Roman" w:cs="Times New Roman" w:eastAsia="Times New Roman" w:hAnsi="Times New Roman"/>
          <w:sz w:val="21"/>
          <w:szCs w:val="21"/>
          <w:color w:val="auto"/>
        </w:rPr>
      </w:pPr>
    </w:p>
    <w:p>
      <w:pPr>
        <w:jc w:val="both"/>
        <w:ind w:left="620" w:right="400" w:hanging="307"/>
        <w:spacing w:after="0" w:line="241"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supply or quality of our product candidates or other materials necessary to conduct clinical trials of our product candidates may be insufficient or inadequate or we may not be able to obtain them on favorable terms due to reasons, such as international trade policies and supply chain disruptions, including the imposition of tariffs;</w:t>
      </w:r>
    </w:p>
    <w:p>
      <w:pPr>
        <w:spacing w:after="0" w:line="9" w:lineRule="exact"/>
        <w:rPr>
          <w:rFonts w:ascii="Times New Roman" w:cs="Times New Roman" w:eastAsia="Times New Roman" w:hAnsi="Times New Roman"/>
          <w:sz w:val="21"/>
          <w:szCs w:val="21"/>
          <w:color w:val="auto"/>
        </w:rPr>
      </w:pPr>
    </w:p>
    <w:p>
      <w:pPr>
        <w:ind w:left="620" w:right="40" w:hanging="307"/>
        <w:spacing w:after="0" w:line="244"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we may decide, or regulators may require us, to conduct or gather, as applicable, additional clinical trials, analyses, reports, data, or preclinical trials, or we may abandon product development programs. For example, the FDA may determine that larger trials, Phase 3 trials, randomized and controlled clinical trials, or clinical trials designed to replicate results found in our registrational or pivotal trials are required before we may file a BLA or before the FDA will approve or maintain a marketing application;</w:t>
      </w:r>
    </w:p>
    <w:p>
      <w:pPr>
        <w:spacing w:after="0" w:line="22" w:lineRule="exact"/>
        <w:rPr>
          <w:rFonts w:ascii="Arial" w:cs="Arial" w:eastAsia="Arial" w:hAnsi="Arial"/>
          <w:sz w:val="21"/>
          <w:szCs w:val="21"/>
          <w:color w:val="auto"/>
        </w:rPr>
      </w:pPr>
    </w:p>
    <w:p>
      <w:pPr>
        <w:ind w:left="620" w:right="100" w:hanging="307"/>
        <w:spacing w:after="0" w:line="241"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we may fail to reach an agreement with regulators or IRBs regarding the scope, design, or implementation of our clinical trials, and the FDA or comparable foreign regulatory authorities may require changes to our study designs or study data analysis that may make further study impractical or not financially prudent;</w:t>
      </w:r>
    </w:p>
    <w:p>
      <w:pPr>
        <w:spacing w:after="0" w:line="22" w:lineRule="exact"/>
        <w:rPr>
          <w:rFonts w:ascii="Arial" w:cs="Arial" w:eastAsia="Arial" w:hAnsi="Arial"/>
          <w:sz w:val="21"/>
          <w:szCs w:val="21"/>
          <w:color w:val="auto"/>
        </w:rPr>
      </w:pPr>
    </w:p>
    <w:p>
      <w:pPr>
        <w:ind w:left="620" w:right="420" w:hanging="307"/>
        <w:spacing w:after="0" w:line="235"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regulators may ultimately disagree with the design or our conduct of our preclinical studies or clinical trials, finding that they do not support product candidate approval;</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may have delays in adding new investigators or clinical trial sites, or we may experience a withdrawal of clinical trial sites;</w:t>
      </w:r>
    </w:p>
    <w:p>
      <w:pPr>
        <w:spacing w:after="0" w:line="34" w:lineRule="exact"/>
        <w:rPr>
          <w:rFonts w:ascii="Times New Roman" w:cs="Times New Roman" w:eastAsia="Times New Roman" w:hAnsi="Times New Roman"/>
          <w:sz w:val="21"/>
          <w:szCs w:val="21"/>
          <w:color w:val="auto"/>
        </w:rPr>
      </w:pPr>
    </w:p>
    <w:p>
      <w:pPr>
        <w:ind w:left="620" w:right="240" w:hanging="307"/>
        <w:spacing w:after="0" w:line="235" w:lineRule="auto"/>
        <w:tabs>
          <w:tab w:leader="none" w:pos="61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clinical trial or extend its duration;</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there may be regulatory questions or disagreements regarding interpretations of data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519430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right="660" w:hanging="307"/>
        <w:spacing w:after="0" w:line="235" w:lineRule="auto"/>
        <w:tabs>
          <w:tab w:leader="none" w:pos="61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23" w:lineRule="exact"/>
        <w:rPr>
          <w:rFonts w:ascii="Times New Roman" w:cs="Times New Roman" w:eastAsia="Times New Roman" w:hAnsi="Times New Roman"/>
          <w:sz w:val="21"/>
          <w:szCs w:val="21"/>
          <w:color w:val="auto"/>
        </w:rPr>
      </w:pPr>
    </w:p>
    <w:p>
      <w:pPr>
        <w:ind w:left="620" w:right="180" w:hanging="307"/>
        <w:spacing w:after="0" w:line="235" w:lineRule="auto"/>
        <w:tabs>
          <w:tab w:leader="none" w:pos="61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FDA or comparable foreign regulatory authorities may not accept data from studies with clinical trial sites in foreign countries or may find that such data is not sufficiently representative;</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FDA or comparable foreign regulatory authorities may disagree with our intended indications;</w:t>
      </w:r>
    </w:p>
    <w:p>
      <w:pPr>
        <w:spacing w:after="0" w:line="34" w:lineRule="exact"/>
        <w:rPr>
          <w:rFonts w:ascii="Times New Roman" w:cs="Times New Roman" w:eastAsia="Times New Roman" w:hAnsi="Times New Roman"/>
          <w:sz w:val="21"/>
          <w:szCs w:val="21"/>
          <w:color w:val="auto"/>
        </w:rPr>
      </w:pPr>
    </w:p>
    <w:p>
      <w:pPr>
        <w:ind w:left="620" w:right="340" w:hanging="307"/>
        <w:spacing w:after="0" w:line="241" w:lineRule="auto"/>
        <w:tabs>
          <w:tab w:leader="none" w:pos="61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FDA or comparable foreign regulatory authorities may fail to approve or subsequently find fault with the manufacturing, testing, comparability or quality processes or our manufacturing facilities for clinical and future commercial supplies and may delay approval, refuse to approve or rescind approval of a product candidate;</w:t>
      </w:r>
    </w:p>
    <w:p>
      <w:pPr>
        <w:spacing w:after="0" w:line="22" w:lineRule="exact"/>
        <w:rPr>
          <w:rFonts w:ascii="Times New Roman" w:cs="Times New Roman" w:eastAsia="Times New Roman" w:hAnsi="Times New Roman"/>
          <w:sz w:val="21"/>
          <w:szCs w:val="21"/>
          <w:color w:val="auto"/>
        </w:rPr>
      </w:pPr>
    </w:p>
    <w:p>
      <w:pPr>
        <w:jc w:val="both"/>
        <w:ind w:left="620" w:right="180" w:hanging="307"/>
        <w:spacing w:after="0" w:line="241" w:lineRule="auto"/>
        <w:tabs>
          <w:tab w:leader="none" w:pos="61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data collected from clinical trials of our product candidates, including our registration directed or registration intended trials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9" w:lineRule="exact"/>
        <w:rPr>
          <w:rFonts w:ascii="Times New Roman" w:cs="Times New Roman" w:eastAsia="Times New Roman" w:hAnsi="Times New Roman"/>
          <w:sz w:val="21"/>
          <w:szCs w:val="21"/>
          <w:color w:val="auto"/>
        </w:rPr>
      </w:pPr>
    </w:p>
    <w:p>
      <w:pPr>
        <w:ind w:left="620" w:right="20" w:hanging="307"/>
        <w:spacing w:after="0" w:line="254" w:lineRule="auto"/>
        <w:tabs>
          <w:tab w:leader="none" w:pos="61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FDA may decide that our intended pathways, including accelerated approval, are not appropriate for our product candidates, requiring that we conduct additional studies. For example, in recent years the accelerated approval pathway has come under significant FDA and public scrutiny. Accordingly, depending on the results of our studies, the FDA may be more conservative in granting accelerated approval or, if granted, may be more apt to withdrawal approval if clinical benefit is not confirmed. For instance, our confirmatory studies may not confirm a product’s clinical benefit, in which case, the FDA could withdraw the product from the market, we may choose to voluntarily withdraw the product from the market, or we may need to conduct further studies to determine whether the product has a clinical benefit. Even if accelerated approval is granted, payors, including governmental payors, may be less willing to provide sufficient reimbursement for products approved via accelerated approval;</w:t>
      </w:r>
    </w:p>
    <w:p>
      <w:pPr>
        <w:spacing w:after="0" w:line="11" w:lineRule="exact"/>
        <w:rPr>
          <w:rFonts w:ascii="Times New Roman" w:cs="Times New Roman" w:eastAsia="Times New Roman" w:hAnsi="Times New Roman"/>
          <w:sz w:val="21"/>
          <w:szCs w:val="21"/>
          <w:color w:val="auto"/>
        </w:rPr>
      </w:pPr>
    </w:p>
    <w:p>
      <w:pPr>
        <w:jc w:val="both"/>
        <w:ind w:left="620" w:right="340" w:hanging="307"/>
        <w:spacing w:after="0" w:line="24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we may not be able to obtain or maintain any special designations that our product candidates have received, including breakthrough designation. For instance, the FDA may find that, following designation, our product candidates no longer qualify for the designation due to changed circumstances or</w:t>
      </w:r>
    </w:p>
    <w:p>
      <w:pPr>
        <w:spacing w:after="0" w:line="16" w:lineRule="exact"/>
        <w:rPr>
          <w:rFonts w:ascii="Arial" w:cs="Arial" w:eastAsia="Arial" w:hAnsi="Arial"/>
          <w:sz w:val="21"/>
          <w:szCs w:val="21"/>
          <w:color w:val="auto"/>
        </w:rPr>
      </w:pPr>
    </w:p>
    <w:p>
      <w:pPr>
        <w:ind w:left="620" w:right="100"/>
        <w:spacing w:after="0" w:line="263" w:lineRule="auto"/>
        <w:rPr>
          <w:rFonts w:ascii="Arial" w:cs="Arial" w:eastAsia="Arial" w:hAnsi="Arial"/>
          <w:sz w:val="21"/>
          <w:szCs w:val="21"/>
          <w:color w:val="auto"/>
        </w:rPr>
      </w:pPr>
      <w:r>
        <w:rPr>
          <w:rFonts w:ascii="Times New Roman" w:cs="Times New Roman" w:eastAsia="Times New Roman" w:hAnsi="Times New Roman"/>
          <w:sz w:val="17"/>
          <w:szCs w:val="17"/>
          <w:color w:val="auto"/>
        </w:rPr>
        <w:t>study results. This may result in the FDA rescinding a designation that we previously received. Any such designation also may not expedite or otherwise facilitate product development;</w:t>
      </w:r>
    </w:p>
    <w:p>
      <w:pPr>
        <w:spacing w:after="0" w:line="22" w:lineRule="exact"/>
        <w:rPr>
          <w:rFonts w:ascii="Arial" w:cs="Arial" w:eastAsia="Arial" w:hAnsi="Arial"/>
          <w:sz w:val="21"/>
          <w:szCs w:val="21"/>
          <w:color w:val="auto"/>
        </w:rPr>
      </w:pPr>
    </w:p>
    <w:p>
      <w:pPr>
        <w:ind w:left="620" w:right="460" w:hanging="307"/>
        <w:spacing w:after="0" w:line="235"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FDA or comparable foreign regulatory authorities may take longer than we anticipate to make a decision on our product candidates or necessary inspections before an approval can be issued may be delayed;</w:t>
      </w:r>
    </w:p>
    <w:p>
      <w:pPr>
        <w:spacing w:after="0" w:line="23" w:lineRule="exact"/>
        <w:rPr>
          <w:rFonts w:ascii="Arial" w:cs="Arial" w:eastAsia="Arial" w:hAnsi="Arial"/>
          <w:sz w:val="21"/>
          <w:szCs w:val="21"/>
          <w:color w:val="auto"/>
        </w:rPr>
      </w:pPr>
    </w:p>
    <w:p>
      <w:pPr>
        <w:ind w:left="620" w:right="20" w:hanging="307"/>
        <w:spacing w:after="0" w:line="283"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there may be events outside of our control, including, with respect to the budget, staffing, and funding of the U.S. Federal government, the FDA’s ability to hire and retain key personnel, the FDA’s ability to accept user fees, and other regulatory and policy changes. Disruptions at the FDA may slow the time to approval of a new drug or may otherwise impact our ability to obtain guidance from and interact with the agency. For instance, in recent years, the U.S.</w:t>
      </w:r>
    </w:p>
    <w:p>
      <w:pPr>
        <w:spacing w:after="0" w:line="1" w:lineRule="exact"/>
        <w:rPr>
          <w:rFonts w:ascii="Arial" w:cs="Arial" w:eastAsia="Arial" w:hAnsi="Arial"/>
          <w:sz w:val="21"/>
          <w:szCs w:val="21"/>
          <w:color w:val="auto"/>
        </w:rPr>
      </w:pPr>
    </w:p>
    <w:p>
      <w:pPr>
        <w:ind w:left="620" w:right="140"/>
        <w:spacing w:after="0" w:line="263" w:lineRule="auto"/>
        <w:rPr>
          <w:rFonts w:ascii="Arial" w:cs="Arial" w:eastAsia="Arial" w:hAnsi="Arial"/>
          <w:sz w:val="21"/>
          <w:szCs w:val="21"/>
          <w:color w:val="auto"/>
        </w:rPr>
      </w:pPr>
      <w:r>
        <w:rPr>
          <w:rFonts w:ascii="Times New Roman" w:cs="Times New Roman" w:eastAsia="Times New Roman" w:hAnsi="Times New Roman"/>
          <w:sz w:val="17"/>
          <w:szCs w:val="17"/>
          <w:color w:val="auto"/>
        </w:rPr>
        <w:t>Federal government has experienced shutdowns. Should there be a prolonged government shutdown, it could significantly impact the ability of the FDA to review or slow the FDA in its review of any of our submissions or applications, which could have a materially adverse impact on our business;</w:t>
      </w:r>
    </w:p>
    <w:p>
      <w:pPr>
        <w:spacing w:after="0" w:line="9" w:lineRule="exact"/>
        <w:rPr>
          <w:rFonts w:ascii="Arial" w:cs="Arial" w:eastAsia="Arial" w:hAnsi="Arial"/>
          <w:sz w:val="21"/>
          <w:szCs w:val="21"/>
          <w:color w:val="auto"/>
        </w:rPr>
      </w:pPr>
    </w:p>
    <w:p>
      <w:pPr>
        <w:ind w:left="620" w:right="40" w:hanging="307"/>
        <w:spacing w:after="0" w:line="246"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changes within the FDA, including its leadership may impede or delay our ability to develop and obtain approval for our product candidates, including due to changing priorities and policies. By example, over the last year, there have been a number of different leadership changes within the agency, which may continue; and</w:t>
      </w:r>
    </w:p>
    <w:p>
      <w:pPr>
        <w:spacing w:after="0" w:line="22"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may not be able to demonstrate that a product candidate provides an advantage over current standards of care or current or future competitive therapies in development.</w:t>
      </w:r>
    </w:p>
    <w:p>
      <w:pPr>
        <w:spacing w:after="0" w:line="204"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7"/>
          <w:szCs w:val="17"/>
          <w:color w:val="auto"/>
        </w:rPr>
        <w:t>Our development costs will also increase if we experience delays in testing or approvals, and we may not have sufficient funding to complete the testing and approval process for any of our product candidates. We will be required to obtain additional funds to complete clinical trials and prepare for possible commercialization of our product candidates. We do not know whether any preclinical tests or clinical trials beyond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these occur, our business, financial condition, results of operations, stock price and prospects may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511175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Topline data may not accurately reflect the complete results of a particular study or trial.</w:t>
      </w:r>
    </w:p>
    <w:p>
      <w:pPr>
        <w:spacing w:after="0" w:line="236" w:lineRule="exact"/>
        <w:rPr>
          <w:sz w:val="20"/>
          <w:szCs w:val="20"/>
          <w:color w:val="auto"/>
        </w:rPr>
      </w:pPr>
    </w:p>
    <w:p>
      <w:pPr>
        <w:ind w:firstLine="464"/>
        <w:spacing w:after="0" w:line="238" w:lineRule="auto"/>
        <w:rPr>
          <w:sz w:val="20"/>
          <w:szCs w:val="20"/>
          <w:color w:val="auto"/>
        </w:rPr>
      </w:pPr>
      <w:r>
        <w:rPr>
          <w:rFonts w:ascii="Times New Roman" w:cs="Times New Roman" w:eastAsia="Times New Roman" w:hAnsi="Times New Roman"/>
          <w:sz w:val="17"/>
          <w:szCs w:val="17"/>
          <w:color w:val="auto"/>
        </w:rPr>
        <w:t>We may publicly disclose topline or interim data from time to time, which is based on a preliminary analysis of then-available efficacy and safety data. As topline or interim data,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and interim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and interim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and interim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19"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anticipate that our product candidates will be used in combination with third-party drugs, some of which are still in development, and we have limited or no control over the supply, regulatory status, or regulatory approval of such drugs.</w:t>
      </w:r>
    </w:p>
    <w:p>
      <w:pPr>
        <w:spacing w:after="0" w:line="15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Our product candidates may be administered in combination with checkpoint blockade drugs, a class of drugs that are intended to stop tumor cells from “switching off” an immune system attack against themselves. We have entered into agreements with BMS for the supply of nivolumab, its anti-PD-1 therapy, for use in connection with our ongoing clinical trial with RP2 and our Phase 1 and Phase 2 clinical trials with RP3 where we decide to use nivolumab. We have also entered into a clinical collaboration agreement with Regeneron, which includes the supply of cemiplimab, its anti-PD-1 therapy, for clinical trials conducted thereunder. Additionally, our signal finding study in HCC is being developed in combination with atezolizumab and bevacizumb under a supply and clinical collaboration agreement with Roche. We may enter into additional agreements for the supply of anti-PD-1 products for use in combination with and for the continued development of one or more of our product candidates. Although we have entered into such collaboration and supply agreements, and may continue to do so, our partners may remain in control of the supply and other decisions relating to their products or product candidates and we rely on their adherence to the terms of such agreements for the proper execution of their obligations. Our ability to develop and ultimately commercialize our product candidates used in combination with nivolumab, cemiplimab, atezolizumab, bevacizumab or any other checkpoint blockade therapy will depend on our ability to access such drugs on commercially reasonable terms for the clinical trials and their availability for use with the commercialized product, if approved. We cannot be certain that current or potential future commercial relationships will provide us with a steady supply of such drugs on commercially reasonable terms or at all.</w:t>
      </w:r>
    </w:p>
    <w:p>
      <w:pPr>
        <w:spacing w:after="0" w:line="204"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7"/>
          <w:szCs w:val="17"/>
          <w:color w:val="auto"/>
        </w:rPr>
        <w:t>Any failure to maintain or enter into new successful commercial relationships, or the availability and expense of purchasing checkpoint blockade therapies in the market, may delay our development timelines, increase our costs and jeopardize our ability to develop our product candidates as commercially viable therapies. If any of these occur, our business, financial condition, results of operations, stock price and prospects may be materially harmed.</w:t>
      </w:r>
    </w:p>
    <w:p>
      <w:pPr>
        <w:spacing w:after="0" w:line="20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Moreover, the development of our product candidates for use in combination with another product or product candidate may present challenges that are not faced for single agent product candidates. While we previously opened a clinical trial for use of RP1 as a monotherapy, we are generally developing RP1 and our other product candidates for use in combination with anti-PD-1 or potentially anti-PD(L)-1 therapies and may develop RP1 or our other product candidates for use with other therapies. Although we intend for some of our trials to support registrational filings, the FDA may require us to use more complex clinical trial designs in order to evaluate the contribution of each product and product candidate to any observed effects. It is possible that the results of these trials could show that any positive previous trial results are attributable to the therapy with which our products were combined and not our product candidates. Moreover, following product approval, the FDA may require that products used in conjunction with each other be cross-labeled for combined use or the FDA may pull back a previously granted marketing license if a confirmational trial does not result in data supporting an earlier approval. To the extent that we do not have rights to the other product, this may require us to work with a third party to satisfy such a requirement. Developments related to the other product may further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514350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In the event that BMS or Roche or any future collaborator or supplier cannot continue to supply their products on commercially reasonable terms or at all, we would need to identify alternatives for accessing an anti-PD-1 therapy. Additionally, should the supply of products from BMS or Roche or any of our current or future collaborators or suppliers be interrupted, delayed or otherwise be unavailable to us, our clinical trials may be delayed, interrupted or halted. In the event we are unable to source a supply of an acceptable alternative anti-PD-1 therapy, or are unable to do so on commercially reasonable terms, our business, financial condition, results of operations, stock price and prospects may be materially harmed.</w:t>
      </w:r>
    </w:p>
    <w:p>
      <w:pPr>
        <w:spacing w:after="0" w:line="194" w:lineRule="exact"/>
        <w:rPr>
          <w:sz w:val="20"/>
          <w:szCs w:val="20"/>
          <w:color w:val="auto"/>
        </w:rPr>
      </w:pPr>
    </w:p>
    <w:p>
      <w:pPr>
        <w:ind w:right="9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 underlying problem with our proprietary RPx platform would adversely affect our business and may require us to discontinue development or commercialization of product candidates based on the same or similar therapeutic approaches.</w:t>
      </w:r>
    </w:p>
    <w:p>
      <w:pPr>
        <w:spacing w:after="0" w:line="1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We have invested, and we expect to continue to invest, significant efforts and financial resources in the development of TUDRIQEV and our other product candidates based on our RPx platform. Since all of the product candidates in our current pipeline are based on our proprietary RPx platform, if TUDRIQEV or any of our product candidates fail in development or commercialization as a result of any underlying problem with our proprietary RPx platform, then we may be required to discontinue development or commercialization of all product candidates that are based on our RPx platform. If we were required to discontinue development or commercialization of our product candidates that are based on our RPx platform, or if any of them were to fail to receive regulatory approval, achieve sufficient market acceptance or maintain regulatory approval, we could be prevented from or significantly delayed in achieving profitability. We can provide no assurance that we would be successful at developing other product candidates based on an alternative therapeutic approach from our RPx platform.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develop additional product candidates, our commercial opportunity could be limited.</w:t>
      </w:r>
    </w:p>
    <w:p>
      <w:pPr>
        <w:spacing w:after="0" w:line="2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addition to TUDRIQEV, we intend to continue to pursue clinical development of additional product candidates, including RP2 and, in the future potentially reinitiating development plans with RP3. Developing, obtaining marketing approval for, and commercializing additional product candidates will require substantial additional funding and will be subject to the risks of failure inherent in medical product development. We cannot assure our shareholders that we will be able to successfully advance any of these additional product candidates through the development process.</w:t>
      </w:r>
    </w:p>
    <w:p>
      <w:pPr>
        <w:spacing w:after="0" w:line="19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Even if we obtain approval from the FDA or comparable foreign regulatory authorities to market additional product candidates for the treatment of solid tumors, we cannot assure our shareholders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approval</w:t>
      </w:r>
    </w:p>
    <w:p>
      <w:pPr>
        <w:spacing w:after="0" w:line="241"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Even if our development efforts are successful, we may not obtain regulatory approval for any of our product candidates in the United States or other jurisdictions, which would prevent us from commercializing our product candidates. Even if we obtain regulatory approval for our product candidates, any such approval may be subject to limitations, including with respect to the approved indications or patient populations, which could impair our ability to successfully commercialize our product candidates.</w:t>
      </w:r>
    </w:p>
    <w:p>
      <w:pPr>
        <w:spacing w:after="0" w:line="19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We are not permitted to market or promote or sell any of our product and product candidates before we receive regulatory approval from the FDA or comparable foreign regulatory authorities, and we may never receive such regulatory approval for any of our product candidates. Securing marketing approval requires the submission of extensive preclinical and clinical data and supporting information to regulatory authorities for each therapeutic indication to establish the product and product candidate’s safety and efficacy for that indication. Securing marketing approval also requires the submission of information about the product manufacturing process to, and inspection (remotely or in person) of manufacturing facilities and clinical trial sites by, the regulatory authorities. If we do not receive approval from the FDA and comparable foreign regulatory authorities for any of our product and product candidates, we will not be able to commercialize such product candidates in the United States or in other jurisdictions. If significant delays in obtaining approval for and commercializing our product and product candidates occur in any jurisdiction, our business, financial condition, results of operations, stock price and prospects will be materially harmed. Even if our product candidates are approved, they may:</w:t>
      </w:r>
    </w:p>
    <w:p>
      <w:pPr>
        <w:spacing w:after="0" w:line="243" w:lineRule="exact"/>
        <w:rPr>
          <w:sz w:val="20"/>
          <w:szCs w:val="20"/>
          <w:color w:val="auto"/>
        </w:rPr>
      </w:pPr>
    </w:p>
    <w:p>
      <w:pPr>
        <w:ind w:left="620" w:right="440" w:hanging="307"/>
        <w:spacing w:after="0" w:line="235" w:lineRule="auto"/>
        <w:tabs>
          <w:tab w:leader="none" w:pos="61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be subject to limitations on the indicated uses or patient populations for which they may be marketed, distribution restrictions, or other conditions of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520065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contain significant safety warnings, including boxed warnings, contraindications, and precautions;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not be approved with label statements necessary or desirable for successful commercialization; or</w:t>
      </w:r>
    </w:p>
    <w:p>
      <w:pPr>
        <w:spacing w:after="0" w:line="10" w:lineRule="exact"/>
        <w:rPr>
          <w:rFonts w:ascii="Times New Roman" w:cs="Times New Roman" w:eastAsia="Times New Roman" w:hAnsi="Times New Roman"/>
          <w:sz w:val="21"/>
          <w:szCs w:val="21"/>
          <w:color w:val="auto"/>
        </w:rPr>
      </w:pPr>
    </w:p>
    <w:p>
      <w:pPr>
        <w:ind w:left="620" w:right="420" w:hanging="307"/>
        <w:spacing w:after="0" w:line="228"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contain requirements for costly post-market testing and surveillance, or other requirements, including the submission of a REMS or equivalent post-marketing measures to monitor the safety or efficacy of the products.</w:t>
      </w:r>
    </w:p>
    <w:p>
      <w:pPr>
        <w:spacing w:after="0" w:line="19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Following the issuance of two CRLs in respect of our BLA for TUDRIQEV, in August 2026, we received FDA approval to commercialize TUDRIQEV in combination with nivolumab in the U.S. for the treatment of adults with unresectable advanced cutaneous melanoma who experienced disease progression with an anti-PD-1 antibody-based regimen, and we are preparing to initiate a commercial launch of TUDRIQEV in the U.S. in that indication. This indication is approved under accelerated approval based on overall response rate and duration of response. Continued approval for this indication is contingent on verification of clinical benefit in one or more confirmatory trials, including our ongoing IGNYTE-3 clinical trial. There can be no assurance that we will be able to complete one or more confirmatory trials of TUDRIQEV.</w:t>
      </w:r>
    </w:p>
    <w:p>
      <w:pPr>
        <w:spacing w:after="0" w:line="16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The FDA could also require post-market commitments or requirements following an approval that are onerous, costly or may not be feasible in the time required by the FDA and that ultimately limit or inhibit the continued development or commercialization of TUDRIQEV.</w:t>
      </w:r>
    </w:p>
    <w:p>
      <w:pPr>
        <w:spacing w:after="0" w:line="18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our product candidates as expected, and our ability to generate revenue may be materially impaired.</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These regulatory requirements may require us to amend our clinical trial protocols, conduct additional preclinical studies or clinical trials that may require regulatory or IRB approval, require additional or different analysis of clinical data or otherwise cause delays in the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20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185"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FDA or a comparable foreign regulatory authority may determine that our product and product candidates have undesirable side effects that could delay or prevent their regulatory approval or commercialization.</w:t>
      </w:r>
    </w:p>
    <w:p>
      <w:pPr>
        <w:spacing w:after="0" w:line="1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There can be no assurance that undesirable side effects or serious adverse events will not be caused by or associated with TUDRIQEV or any of our other product candidates as they continue through or enter clinical development. Serious adverse events or 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The FDA or comparable foreign regulatory authority requests for additional data or information could also result in substantial delays in the approval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793750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Undesirable side effects caused by any of our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our product candidates. Undesirable side effects may limit the potential market for any approved products or could result in the discontinuation of the sales and marketing of the product, or withdrawal of product approvals. Later discovered undesirable side effects may further result in the imposition of a REMS, label revisions, post approval study requirements, or other testing and surveillance.</w:t>
      </w:r>
    </w:p>
    <w:p>
      <w:pPr>
        <w:spacing w:after="0" w:line="20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If any of our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 candidates may be subject to review by an FDA advisory committee, and an unfavorable recommendation could adversely affect our business.</w:t>
      </w:r>
    </w:p>
    <w:p>
      <w:pPr>
        <w:spacing w:after="0" w:line="236"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7"/>
          <w:szCs w:val="17"/>
          <w:color w:val="auto"/>
        </w:rPr>
        <w:t>The FDA may convene an advisory committee to review and evaluate data relating to one or more of our product candidates, as was the case with TUDRIQEV. Advisory committees are comprised of independent experts who provide recommendations to the FDA regarding the approval, labeling, post-marketing requirements, and other regulatory matters associated with product candidates. Although the FDA is not bound by an advisory committee's recommendation, it generally gives significant weight to the committee's views when making regulatory decisions.</w:t>
      </w:r>
    </w:p>
    <w:p>
      <w:pPr>
        <w:spacing w:after="0" w:line="19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7"/>
          <w:szCs w:val="17"/>
          <w:color w:val="auto"/>
        </w:rPr>
        <w:t>If an advisory committee reviewing one of our product candidates recommends against approval, expresses concerns regarding the safety, efficacy, manufacturing, labeling, or risk-benefit profile of the product candidate, or recommends additional clinical studies or other requirements, the FDA may delay, limit, or deny approval. Even if the advisory committee ultimately recommends approval, the FDA may impose significant restrictions on the approved indication, require post-marketing commitments, or otherwise limit the commercial opportunity for the product candidate.</w:t>
      </w: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The announcement of an advisory committee meeting, the committee's deliberations, the publication of briefing materials, or the committee's recommendation may create significant uncertainty regarding the regulatory prospects of our product candidates and could result in substantial volatility in the market price of our common stock. An unfavorable outcome could materially harm our business, financial condition, results of operations,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product candidate manufacturing or formulation may result in additional costs or delay.</w:t>
      </w:r>
    </w:p>
    <w:p>
      <w:pPr>
        <w:spacing w:after="0" w:line="2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As product candidates are developed through preclinical studies to later stage clinical trials towards approval and commercialization, it is common that various aspects of the development program, such as manufacturing methods, facilities, equipment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or notification to, or approval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w:t>
      </w:r>
    </w:p>
    <w:p>
      <w:pPr>
        <w:spacing w:after="0" w:line="19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penalties, injunctions, or other enforcement actions, including criminal actions, if we are determined to be promoting the use of our products for unapproved or “off label” uses, resulting in damage to our reputation and business.</w:t>
      </w:r>
    </w:p>
    <w:p>
      <w:pPr>
        <w:spacing w:after="0" w:line="17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516255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regulatory authorities issue regulatory approval for a product candidate, the regulatory approval is limited to those specific uses and indications for which a product is approved. If we are not able to obtain FDA approval for desired uses or indications for our product candidates, we may not market or promote them for those indications and uses, referred to as off label uses, and our business, financial condition, results of operations, stock price and prospects may be materially harmed. We also must sufficiently substantiate any claims that we make for our products, including claims comparing our products to other companies’ products, and must abide by the FDA’s and comparable foreign regulatory authorities’ strict requirements regarding the content of promotion and advertising.</w:t>
      </w:r>
    </w:p>
    <w:p>
      <w:pPr>
        <w:spacing w:after="0" w:line="20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7"/>
          <w:szCs w:val="17"/>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relevant regulatory authorities. These off 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 label use.</w:t>
      </w: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 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 label promotion. The FDA has also requested that companies enter into consent decrees or permanent injunctions under which specified promotional conduct is changed or curtailed.</w:t>
      </w:r>
    </w:p>
    <w:p>
      <w:pPr>
        <w:spacing w:after="0" w:line="18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 the United States, engaging in the impermissible promotion of our products, following approval, for off label uses can also subject us to false claims and other litigation under federal and state statutes. These include fraud and abuse and consumer protection laws, which can lead to civil and criminal penalties and fines and agreements with governmental authorities that materially restrict the manner in which we promote or distribute therapeutic products and conduct our business. These restrictions could include corporate integrity agreements and non- or deferred prosecution agreements and could lead to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In addition, False Claims Act lawsuits may expose manufacturers to follow-on claims by private payers based on fraudulent marketing practices. This growth in litigation has increased the risk that a biopharmaceutical company will have to defend a false claims action, pay civil penalties, criminal fines or restitution,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2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the United States, the promotion of biopharmaceutical products is subject to additional FDA requirements and restrictions on promotional statements. If after one or more of our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195"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our product candidates receive regulatory approval, we will be subject to ongoing obligations and continued regulatory review, which may result in significant additional expense and limit how we manufacture and market our products.</w:t>
      </w:r>
    </w:p>
    <w:p>
      <w:pPr>
        <w:spacing w:after="0" w:line="15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Any product candidate for which we obtain marketing approval will be subject to extensive and ongoing requirements of and review by the FDA and comparable foreign regulatory authorities, including requirements related to the manufacturing processes, post approval clinical data, labeling, packaging, distribution, adverse event reporting, supply obligations and shortage reporting, risk management plans, supply chain security,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518160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of annual fees, continued compliance with current Good Manufacturing Practice, or cGMP, requirements relating to manufacturing, quality control, quality assurance, and corresponding maintenance of records and documents, and good clinical practices, or GCPs, for any clinical trials that we conduct post approval.</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issue public safety alerts, require labeling changes or establishment of a REMS or similar strategy, impose significant restrictions on a product’s indicated uses or marketing, or impose ongoing requirements for potentially costly post approval studies or post-market surveillance. Any such restrictions could limit sales of the product.</w:t>
      </w:r>
    </w:p>
    <w:p>
      <w:pPr>
        <w:spacing w:after="0" w:line="188" w:lineRule="exact"/>
        <w:rPr>
          <w:sz w:val="20"/>
          <w:szCs w:val="20"/>
          <w:color w:val="auto"/>
        </w:rPr>
      </w:pPr>
    </w:p>
    <w:p>
      <w:pPr>
        <w:jc w:val="both"/>
        <w:ind w:right="300"/>
        <w:spacing w:after="0" w:line="254" w:lineRule="auto"/>
        <w:rPr>
          <w:sz w:val="20"/>
          <w:szCs w:val="20"/>
          <w:color w:val="auto"/>
        </w:rPr>
      </w:pPr>
      <w:r>
        <w:rPr>
          <w:rFonts w:ascii="Times New Roman" w:cs="Times New Roman" w:eastAsia="Times New Roman" w:hAnsi="Times New Roman"/>
          <w:sz w:val="17"/>
          <w:szCs w:val="17"/>
          <w:color w:val="auto"/>
        </w:rPr>
        <w:t>We and any of our suppliers or collaborators, including our contract manufacturers, could be subject to periodic unannounced inspections by the FDA or other comparable foreign regulatory authorities to monitor and ensure compliance with cGMPs and other regulatory requirements. Application holders must further notify the FDA, and depending on the nature of the change, obtain FDA preapproval for product and manufacturing changes.</w:t>
      </w:r>
    </w:p>
    <w:p>
      <w:pPr>
        <w:spacing w:after="0" w:line="2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negative results, including:</w:t>
      </w:r>
    </w:p>
    <w:p>
      <w:pPr>
        <w:spacing w:after="0" w:line="211"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restrictions on manufacturing, distribution, or marketing of such products;</w:t>
      </w:r>
    </w:p>
    <w:p>
      <w:pPr>
        <w:spacing w:after="0" w:line="21" w:lineRule="exact"/>
        <w:rPr>
          <w:rFonts w:ascii="Arial" w:cs="Arial" w:eastAsia="Arial" w:hAnsi="Arial"/>
          <w:sz w:val="21"/>
          <w:szCs w:val="21"/>
          <w:color w:val="auto"/>
        </w:rPr>
      </w:pPr>
    </w:p>
    <w:p>
      <w:pPr>
        <w:ind w:left="620" w:right="80" w:hanging="307"/>
        <w:spacing w:after="0" w:line="235" w:lineRule="auto"/>
        <w:tabs>
          <w:tab w:leader="none" w:pos="61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restrictions on the labeling, including required additional warnings, such as black boxed warnings, contraindications, precautions, and restrictions on the approved indication or use;</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modifications to promotional pieces;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issuance of corrective information;</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requirements to conduct post-marketing studies or other clinical trials;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clinical holds or termination of clinical trials;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requirements to establish or modify a REMS or similar strategy;</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to the way the product candidate is administered;</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liability for harm caused to patients or subjects;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reputational harm;</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product becoming less competitive;</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warning, untitled, or cyber letters;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suspension of marketing or withdrawal of the products from the market;</w:t>
      </w:r>
    </w:p>
    <w:p>
      <w:pPr>
        <w:spacing w:after="0" w:line="22" w:lineRule="exact"/>
        <w:rPr>
          <w:rFonts w:ascii="Times New Roman" w:cs="Times New Roman" w:eastAsia="Times New Roman" w:hAnsi="Times New Roman"/>
          <w:sz w:val="21"/>
          <w:szCs w:val="21"/>
          <w:color w:val="auto"/>
        </w:rPr>
      </w:pPr>
    </w:p>
    <w:p>
      <w:pPr>
        <w:ind w:left="620" w:right="280" w:hanging="307"/>
        <w:spacing w:after="0" w:line="235" w:lineRule="auto"/>
        <w:tabs>
          <w:tab w:leader="none" w:pos="61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regulatory authority conducting a review into safety information, or issuance of safety alerts, Dear Healthcare Provider letters, press releases, or other communications containing warnings or other safety information about the product candidate;</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recalls of products;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fines, restitution or disgorgement of profits or revenues;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suspension or withdrawal of marketing approvals;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refusal to permit the import or export of our products;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product seizure or detention;</w:t>
      </w:r>
    </w:p>
    <w:p>
      <w:pPr>
        <w:spacing w:after="0" w:line="10" w:lineRule="exact"/>
        <w:rPr>
          <w:rFonts w:ascii="Times New Roman" w:cs="Times New Roman" w:eastAsia="Times New Roman" w:hAnsi="Times New Roman"/>
          <w:sz w:val="21"/>
          <w:szCs w:val="21"/>
          <w:color w:val="auto"/>
        </w:rPr>
      </w:pPr>
    </w:p>
    <w:p>
      <w:pPr>
        <w:ind w:left="620" w:right="400" w:hanging="307"/>
        <w:spacing w:after="0" w:line="231" w:lineRule="auto"/>
        <w:tabs>
          <w:tab w:leader="none" w:pos="61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FDA debarment, suspension and debarment from government procurement and non-procurement programs, and refusal of orders under existing government contracts, exclusion from federal healthcare programs, consent decrees, corporate integrity agreements, or non- or deferred prosecution agreements; or</w:t>
      </w:r>
    </w:p>
    <w:p>
      <w:pPr>
        <w:spacing w:after="0" w:line="3" w:lineRule="exact"/>
        <w:rPr>
          <w:rFonts w:ascii="Arial" w:cs="Arial" w:eastAsia="Arial" w:hAnsi="Arial"/>
          <w:sz w:val="21"/>
          <w:szCs w:val="21"/>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injunctions, the imposition of civil penalties, criminal fines, or imprisonment.</w:t>
      </w:r>
    </w:p>
    <w:p>
      <w:pPr>
        <w:spacing w:after="0" w:line="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657860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7"/>
          <w:szCs w:val="17"/>
          <w:color w:val="auto"/>
        </w:rPr>
        <w:t>The FDA’s policies or those of comparable foreign regulatory authorities may change and additional government regulations may be enacted that could prevent, limit or delay regulatory approval of our product candidates, limit the marketability of our product candidates, or impose additional regulatory obligations on us. Further, action in one country may lead to similar or different action in another. Changes in medical practice and standard of care may also impact the marketability of our product candidates.</w:t>
      </w:r>
    </w:p>
    <w:p>
      <w:pPr>
        <w:spacing w:after="0" w:line="21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17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Should any of the above actions take place, we could be prevented from or significantly delayed in achieving profitability. Further, the cost of compliance with post approval regulations may have a negative effect on our operations and business and could adversely impact our business, financial condition, results of operations, stock price and prospects.</w:t>
      </w:r>
    </w:p>
    <w:p>
      <w:pPr>
        <w:spacing w:after="0" w:line="17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conduct clinical trials for product candidates outside the United States, and the FDA and comparable foreign regulatory authorities may not accept data from such trials.</w:t>
      </w:r>
    </w:p>
    <w:p>
      <w:pPr>
        <w:spacing w:after="0" w:line="17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We currently conduct clinical trials outside the United States. The acceptance by the FDA or comparable foreign regulatory authority of study data from clinical trials conducted outside the United States or another jurisdiction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Even if the foregoing is complied with, there can be no assurance that the FDA or any comparable foreign regulatory authority will accept data from trials conducted outside of the United States or the applicable jurisdiction. By example, over the last year, new policies have been proposed to encourage companies to conduct clinical trials in the United States. If the FDA or any comparable foreign regulatory authority does not accept such data, it would result in the need for additional trials, which would be costly and time-consuming and delay aspects of our business plan, and which may result in product candidates that we may develop not receiving approval or clearance for commercialization in the applicable jurisdiction.</w:t>
      </w:r>
    </w:p>
    <w:p>
      <w:pPr>
        <w:spacing w:after="0" w:line="209"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marketing approval for our product candidates in one jurisdiction would not mean that we will be successful in obtaining marketing approval of that product candidate in other jurisdictions, which could prevent us from marketing our products internationally.</w:t>
      </w:r>
    </w:p>
    <w:p>
      <w:pPr>
        <w:spacing w:after="0" w:line="15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Obtaining and maintaining marketing approval of our product candidates in one jurisdiction would not guarantee that we will be able to obtain or maintain marketing approval in any other jurisdiction, while a failure or delay in obtaining marketing approval in one jurisdiction may have a negative effect on the marketing approval process in others. For example, even though the FDA granted marketing approval of TUDRIQEV, or if it grants approval for any of our other product candidates, comparable foreign regulatory authorities must also approve the manufacturing, marketing and promotion of the product candidate in those countries. Approval procedures vary among jurisdictions and can involve requirements and administrative review periods different from and, in some cases,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If we obtain approval for any product candidate and ultimately commercialize that product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512445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spacing w:after="0" w:line="1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development and commercialization of cancer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There are a number of large biopharmaceutical and biotechnology companies that currently market and sell products or are pursuing the development of products for the treatment of solid tumors, including oncolytic immunotherapy and cancer vaccine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While our product candidates are intended to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spacing w:after="0" w:line="17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7"/>
          <w:szCs w:val="17"/>
          <w:color w:val="auto"/>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authority approval for their products more rapidly than we may obtain approval for ours, which could result in our competitors establishing a strong market position before we are able to enter the market. Further, depending on the specific competing product, earlier approval of a competitor’s products could block us from receiving approval and could require that we change our development strategy. In addition, our ability to compete may be affected in many cases by insurers or other third-party payors coverage decisions or third-party intellectual property rights that another may allege are violated by our product candidates.</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Certain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training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spacing w:after="0" w:line="199"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effective marketing, sales and distribution capabilities or enter into agreements with third parties to market and sell TUDRIQEV or any of our product candidates, if they are approved, the revenues that we generate may be limited and we may never become profitable.</w:t>
      </w:r>
    </w:p>
    <w:p>
      <w:pPr>
        <w:spacing w:after="0" w:line="1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We intend to commercialize TUDRIQEV and our other product candidates, if and when they receive marketing approval, on our own in the United States and potentially with pharmaceutical or biotechnology partners in other geographies. In order to commercialize our products, we must continue to build our marketing, sales, and distribution capabilities or make arrangements with third parties to perform these services, and we may not be successful in doing so. We have incurred and we expect we will continue to incur expenses prior to product launch or even approval in order to recruit a sales force and develop a marketing and sales infrastructure. If a commercial launch is delayed as a result of FDA or comparable foreign regulatory authority requirements or other reasons, we would incur these expenses prior to being able to realize any revenue from sales of our product candidates. Our sales force and marketing teams may not be successful in commercializing our product candidates. This may be costly, and our investment would be lost if we cannot retain or reposition our sales and marketing personnel.</w:t>
      </w:r>
    </w:p>
    <w:p>
      <w:pPr>
        <w:spacing w:after="0" w:line="205"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would have less control over the sales efforts of any other third parties involved in our commercialization efforts, and could be held liable if they failed to comply with applicable legal or regulatory requirements.</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have no prior experience in the marketing, sale, and distribution of biopharmaceutical products, and there are significant risks involved in building, managing, growing and operating a commercial infrastructure. The establishment and development of commercial capabilities, including compliance plans, to market any products we may develop is, and will continue to be expensive and time consuming and could delay any product launch, and we may not be able to successfully develop this capability. We have and will continue to compete with other biopharmaceutical and biotechnology companies, including oncology-focused companies, to recruit, hire, train, manage, and retain marketing and sales personnel, which is expensive and time consuming and could delay any product launch. Developing our sales capabilities may also divert resources and management attention away from product development.</w:t>
      </w:r>
    </w:p>
    <w:p>
      <w:pPr>
        <w:spacing w:after="0" w:line="19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the event we are unable to develop an effective marketing and sales infrastructure, we may not be able to commercialize our product candidates in the United States or elsewhere in an effective manner, which could limit our ability to generate product revenues and materially harm our business, financial condition, results of operations, stock price and prospects. Factors that may inhibit our efforts to commercialize our product candidates include:</w:t>
      </w:r>
    </w:p>
    <w:p>
      <w:pPr>
        <w:spacing w:after="0" w:line="211"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inability to recruit, train, manage, and retain adequate numbers of effective sales and marketing personnel;</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inability of sales personnel to obtain access to physicians or persuade adequate numbers of physicians to prescribe our product candidates;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inability to effectively oversee a geographically dispersed sales and marketing team;</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costs associated with training sales and marketing personnel on legal and regulatory compliance matters and monitoring their actions;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 inability to secure adequate coverage, pricing and reimbursement by government and private health plans;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clinical indications for which the products are approved and the claims that we may make for the products;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limitations or warnings, including distribution or use restrictions, contained in the products’ approved labeling;</w:t>
      </w:r>
    </w:p>
    <w:p>
      <w:pPr>
        <w:spacing w:after="0" w:line="22" w:lineRule="exact"/>
        <w:rPr>
          <w:rFonts w:ascii="Times New Roman" w:cs="Times New Roman" w:eastAsia="Times New Roman" w:hAnsi="Times New Roman"/>
          <w:sz w:val="21"/>
          <w:szCs w:val="21"/>
          <w:color w:val="auto"/>
        </w:rPr>
      </w:pPr>
    </w:p>
    <w:p>
      <w:pPr>
        <w:ind w:left="620" w:right="40" w:hanging="307"/>
        <w:spacing w:after="0" w:line="242" w:lineRule="auto"/>
        <w:tabs>
          <w:tab w:leader="none" w:pos="61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distribution and use restrictions imposed by the FDA or comparable foreign regulatory authorities or to which we agree as part of a mandatory REMS or voluntary risk management plan;</w:t>
      </w:r>
    </w:p>
    <w:p>
      <w:pPr>
        <w:spacing w:after="0" w:line="1" w:lineRule="exact"/>
        <w:rPr>
          <w:rFonts w:ascii="Times New Roman" w:cs="Times New Roman" w:eastAsia="Times New Roman" w:hAnsi="Times New Roman"/>
          <w:sz w:val="21"/>
          <w:szCs w:val="21"/>
          <w:color w:val="auto"/>
        </w:rPr>
      </w:pPr>
    </w:p>
    <w:p>
      <w:pPr>
        <w:ind w:left="620" w:hanging="307"/>
        <w:spacing w:after="0" w:line="230"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third-party intellectual property rights that another may allege are violated by our product candidates;</w:t>
      </w:r>
    </w:p>
    <w:p>
      <w:pPr>
        <w:spacing w:after="0" w:line="14" w:lineRule="exact"/>
        <w:rPr>
          <w:rFonts w:ascii="Arial" w:cs="Arial" w:eastAsia="Arial" w:hAnsi="Arial"/>
          <w:sz w:val="21"/>
          <w:szCs w:val="21"/>
          <w:color w:val="auto"/>
        </w:rPr>
      </w:pPr>
    </w:p>
    <w:p>
      <w:pPr>
        <w:ind w:left="620" w:hanging="307"/>
        <w:spacing w:after="0" w:line="216"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liability for sales or marketing personnel who fail to comply with the applicable legal and regulatory requirements;</w:t>
      </w:r>
    </w:p>
    <w:p>
      <w:pPr>
        <w:spacing w:after="0" w:line="35" w:lineRule="exact"/>
        <w:rPr>
          <w:rFonts w:ascii="Arial" w:cs="Arial" w:eastAsia="Arial" w:hAnsi="Arial"/>
          <w:sz w:val="21"/>
          <w:szCs w:val="21"/>
          <w:color w:val="auto"/>
        </w:rPr>
      </w:pPr>
    </w:p>
    <w:p>
      <w:pPr>
        <w:ind w:left="620" w:right="300" w:hanging="307"/>
        <w:spacing w:after="0" w:line="235" w:lineRule="auto"/>
        <w:tabs>
          <w:tab w:leader="none" w:pos="61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 or engaging a contract sales organization.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encounter difficulties in managing our growth and expanding our operations successfully.</w:t>
      </w:r>
    </w:p>
    <w:p>
      <w:pPr>
        <w:spacing w:after="0" w:line="23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As we expand our internal manufacturing, marketing and sales capabilities, managing our future growth will impose significant added responsibilities on members of our management team and will be time consuming and costly. We must be able to manage our development efforts effectively; manage our clinical trials effectively; hire, train and integrate additional management, development, administrative and sales and marketing personnel; and improve managerial, development, operational and finance systems, all of which may impose a strain on our administrative and operational infrastructure.</w:t>
      </w:r>
    </w:p>
    <w:p>
      <w:pPr>
        <w:spacing w:after="0" w:line="19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TUDRIQEV and our other product candidates are based on a novel approach to the treatment of cancer, which makes it difficult to predict the time and cost of product candidate development.</w:t>
      </w:r>
    </w:p>
    <w:p>
      <w:pPr>
        <w:spacing w:after="0" w:line="15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7"/>
          <w:szCs w:val="17"/>
          <w:color w:val="auto"/>
        </w:rPr>
        <w:t>We have concentrated all of our research and development efforts on our product candidates based on our proprietary RPx platform, and our future success depends on the successful development of this therapeutic approach. There can be no assurance that any development problems we experience in connection with our product candidates, whether arising from our past work, or future work, will not cause significant delays or unanticipated costs, or that such development problems can be solved. Should we encounter development problems, including unfavorable preclinical or clinical trial results, the FDA and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518795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manufacturing process, or developing or qualifying and validating product release assays, other testing and manufacturing methods, and our equipment and facilities in a timely manner, which may prevent us from completing our clinical trials or commercializing our product candidates on a timely or profitable basis, if at all.</w:t>
      </w:r>
    </w:p>
    <w:p>
      <w:pPr>
        <w:spacing w:after="0" w:line="20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oncolytic immunotherapies. Limited immunotherapies, particularly oncolytic immunotherapies, have received FDA approval to date. Any product candidates that are approved may be subject to extensive post approval regulatory requirements, including requirements pertaining to manufacturing, distribution, and promotion. We may need to devote significant time and resources to compliance with these requirements.</w:t>
      </w:r>
    </w:p>
    <w:p>
      <w:pPr>
        <w:spacing w:after="0" w:line="193"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TUDRIQEV or any of our product candidates do not achieve broad market acceptance, the revenues that we generate from their sales may be limited, and we may never become profitable.</w:t>
      </w:r>
    </w:p>
    <w:p>
      <w:pPr>
        <w:spacing w:after="0" w:line="17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have never commercialized a product candidate for any indication. TUDRIQEV and our other product candidates, even if they are approved by the appropriate regulatory authorities for marketing and sale, may not gain acceptance among physicians, patients, third-party payors, and others in the medical community. If TUDRIQEV or any other product candidate for which we obtain regulatory approval do not gain an adequate level of market acceptance, we could be prevented from or significantly delayed in achieving profitability.</w:t>
      </w:r>
    </w:p>
    <w:p>
      <w:pPr>
        <w:spacing w:after="0" w:line="19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Additionally, efforts to educate the medical community and third party payors on the benefits of TUDRIQEV or any of our product candidates may require significant resources and may not be successful. If TUDRIQEV or any of our product candidates that are approved but do not achieve an adequate level of market acceptance, we could be prevented from or significantly delayed in achieving profitability.</w:t>
      </w:r>
    </w:p>
    <w:p>
      <w:pPr>
        <w:spacing w:after="0" w:line="19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The degree of market acceptance of TUDRIQEV or any of our product candidates will depend on a number of factors, some of which are out of our control, including the following:</w:t>
      </w:r>
    </w:p>
    <w:p>
      <w:pPr>
        <w:spacing w:after="0" w:line="197"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efficacy of TUDRIQEV or any of our product candidates in combination with marketed checkpoint blockade drugs;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commercial success of the checkpoint blockade drugs with which our products are co-administered;</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prevalence and severity of adverse events associated with our product candidates or those products with which they are co-administered;</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clinical indications for which the products are approved and the approved claims that we may make for the products;</w:t>
      </w:r>
    </w:p>
    <w:p>
      <w:pPr>
        <w:spacing w:after="0" w:line="35" w:lineRule="exact"/>
        <w:rPr>
          <w:rFonts w:ascii="Times New Roman" w:cs="Times New Roman" w:eastAsia="Times New Roman" w:hAnsi="Times New Roman"/>
          <w:sz w:val="21"/>
          <w:szCs w:val="21"/>
          <w:color w:val="auto"/>
        </w:rPr>
      </w:pPr>
    </w:p>
    <w:p>
      <w:pPr>
        <w:ind w:left="620" w:right="420" w:hanging="307"/>
        <w:spacing w:after="0" w:line="235" w:lineRule="auto"/>
        <w:tabs>
          <w:tab w:leader="none" w:pos="61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limitations or warnings contained in the product’s FDA-approved labeling or those of comparable foreign regulatory authorities, including potential limitations or warnings for our product candidates that may be more restrictive than other competitive products;</w:t>
      </w:r>
    </w:p>
    <w:p>
      <w:pPr>
        <w:spacing w:after="0" w:line="23" w:lineRule="exact"/>
        <w:rPr>
          <w:rFonts w:ascii="Times New Roman" w:cs="Times New Roman" w:eastAsia="Times New Roman" w:hAnsi="Times New Roman"/>
          <w:sz w:val="21"/>
          <w:szCs w:val="21"/>
          <w:color w:val="auto"/>
        </w:rPr>
      </w:pPr>
    </w:p>
    <w:p>
      <w:pPr>
        <w:ind w:left="620" w:right="280" w:hanging="307"/>
        <w:spacing w:after="0" w:line="235" w:lineRule="auto"/>
        <w:tabs>
          <w:tab w:leader="none" w:pos="61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the standard of care for the targeted indications for our product candidates, which could reduce the marketing impact of any claims that we could make following FDA approval or approval by comparable foreign regulatory authorities, if obtained;</w:t>
      </w:r>
    </w:p>
    <w:p>
      <w:pPr>
        <w:spacing w:after="0" w:line="23" w:lineRule="exact"/>
        <w:rPr>
          <w:rFonts w:ascii="Times New Roman" w:cs="Times New Roman" w:eastAsia="Times New Roman" w:hAnsi="Times New Roman"/>
          <w:sz w:val="21"/>
          <w:szCs w:val="21"/>
          <w:color w:val="auto"/>
        </w:rPr>
      </w:pPr>
    </w:p>
    <w:p>
      <w:pPr>
        <w:ind w:left="620" w:right="980" w:hanging="307"/>
        <w:spacing w:after="0" w:line="235" w:lineRule="auto"/>
        <w:tabs>
          <w:tab w:leader="none" w:pos="61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relative convenience and ease of administration of our product candidates by direct injection into tumors, a less common method for the administration of oncology therapies than systemic administration, which may result in slower adoption of our therapies;</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relative convenience and ease of administration of any products with which our product candidates are co-administered;</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cost of treatment compared with the economic and clinical benefit of alternative treatments or therapies;</w:t>
      </w:r>
    </w:p>
    <w:p>
      <w:pPr>
        <w:spacing w:after="0" w:line="22" w:lineRule="exact"/>
        <w:rPr>
          <w:rFonts w:ascii="Times New Roman" w:cs="Times New Roman" w:eastAsia="Times New Roman" w:hAnsi="Times New Roman"/>
          <w:sz w:val="21"/>
          <w:szCs w:val="21"/>
          <w:color w:val="auto"/>
        </w:rPr>
      </w:pPr>
    </w:p>
    <w:p>
      <w:pPr>
        <w:ind w:left="620" w:right="300" w:hanging="307"/>
        <w:spacing w:after="0" w:line="242" w:lineRule="auto"/>
        <w:tabs>
          <w:tab w:leader="none" w:pos="61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price concessions required by third party payors to obtain coverage;</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extent and strength of our marketing and distribution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519430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safety, efficacy, and other potential advantages over, and availability of, alternative treatments already used or that may later be approved;</w:t>
      </w:r>
    </w:p>
    <w:p>
      <w:pPr>
        <w:spacing w:after="0" w:line="21" w:lineRule="exact"/>
        <w:rPr>
          <w:rFonts w:ascii="Times New Roman" w:cs="Times New Roman" w:eastAsia="Times New Roman" w:hAnsi="Times New Roman"/>
          <w:sz w:val="21"/>
          <w:szCs w:val="21"/>
          <w:color w:val="auto"/>
        </w:rPr>
      </w:pPr>
    </w:p>
    <w:p>
      <w:pPr>
        <w:ind w:left="620" w:right="160" w:hanging="307"/>
        <w:spacing w:after="0" w:line="235" w:lineRule="auto"/>
        <w:tabs>
          <w:tab w:leader="none" w:pos="61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distribution and use restrictions imposed by the FDA or comparable foreign regulatory authorities with respect to our product candidates or to which we agree as part of a REMS or voluntary risk management plan;</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timing of market introduction of our product candidates, as well as competitive products;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ability to offer our product candidates for sale at competitive prices;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extent and strength of our manufacturing operations and our third-party manufacturer and supplier support;</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actions of companies that market any products with which our product candidates are co-administered;</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approval of other new products;</w:t>
      </w:r>
    </w:p>
    <w:p>
      <w:pPr>
        <w:spacing w:after="0" w:line="35" w:lineRule="exact"/>
        <w:rPr>
          <w:rFonts w:ascii="Times New Roman" w:cs="Times New Roman" w:eastAsia="Times New Roman" w:hAnsi="Times New Roman"/>
          <w:sz w:val="21"/>
          <w:szCs w:val="21"/>
          <w:color w:val="auto"/>
        </w:rPr>
      </w:pPr>
    </w:p>
    <w:p>
      <w:pPr>
        <w:ind w:left="620" w:right="220" w:hanging="307"/>
        <w:spacing w:after="0" w:line="235" w:lineRule="auto"/>
        <w:tabs>
          <w:tab w:leader="none" w:pos="61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adverse publicity about our product candidates or any products with which they are co-administered, or favorable publicity about competitive products; and</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potential product liability claims.</w:t>
      </w:r>
    </w:p>
    <w:p>
      <w:pPr>
        <w:spacing w:after="0" w:line="19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172" w:lineRule="exact"/>
        <w:rPr>
          <w:sz w:val="20"/>
          <w:szCs w:val="20"/>
          <w:color w:val="auto"/>
        </w:rPr>
      </w:pPr>
    </w:p>
    <w:p>
      <w:pPr>
        <w:ind w:right="20" w:firstLine="464"/>
        <w:spacing w:after="0"/>
        <w:rPr>
          <w:sz w:val="20"/>
          <w:szCs w:val="20"/>
          <w:color w:val="auto"/>
        </w:rPr>
      </w:pPr>
      <w:r>
        <w:rPr>
          <w:rFonts w:ascii="Times New Roman" w:cs="Times New Roman" w:eastAsia="Times New Roman" w:hAnsi="Times New Roman"/>
          <w:sz w:val="17"/>
          <w:szCs w:val="17"/>
          <w:color w:val="auto"/>
        </w:rPr>
        <w:t>Sales of any approved drug candidate will depend in part on the availability of coverage, pricing and reimbursement from third-party payers such as government insurance programs, including, but not limited to, Medicare and Medicaid, private health insurers, health maintenance organizations and other health care related organizations, who are increasingly challenging the price of medical products and services. Accordingly, coverage, pricing and reimbursement may be uncertain. Adoption of any drug by the medical community may be limited if third-party payers will not offer adequate formulary coverage. Additionally, significant uncertainty exists as to the reimbursement status of newly-approved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w:t>
      </w:r>
    </w:p>
    <w:p>
      <w:pPr>
        <w:spacing w:after="0" w:line="202" w:lineRule="exact"/>
        <w:rPr>
          <w:sz w:val="20"/>
          <w:szCs w:val="20"/>
          <w:color w:val="auto"/>
        </w:rPr>
      </w:pPr>
    </w:p>
    <w:p>
      <w:pPr>
        <w:ind w:right="80" w:firstLine="464"/>
        <w:spacing w:after="0" w:line="239" w:lineRule="auto"/>
        <w:rPr>
          <w:sz w:val="20"/>
          <w:szCs w:val="20"/>
          <w:color w:val="auto"/>
        </w:rPr>
      </w:pPr>
      <w:r>
        <w:rPr>
          <w:rFonts w:ascii="Times New Roman" w:cs="Times New Roman" w:eastAsia="Times New Roman" w:hAnsi="Times New Roman"/>
          <w:sz w:val="17"/>
          <w:szCs w:val="17"/>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For example, the Inflation Reduction Act of 2022, or IRA, includes several measures intended to lower the cost of prescription drugs and related healthcare reforms, including limits on price increases, inflation and non-compliance penalties, and subjecting an escalating number of drugs to annual maximum fair price negotiations with CMS. We cannot be sure whether additional legislation related to the IRA will be issued or enacted, or what impact, if any, such changes will have on the profitability of any of our drug candidates, if approved for commercial use, in the future. There also may be future changes unrelated to the IRA that result in reductions in potential coverage and reimbursement levels for our product candidates, if approved and commercialized, and we cannot predict the scope of any future changes or the impact that those changes would have on our operations. Similarly, several states have established prescription drug affordability boards that set upper payment limits (maximum prices that can be charged for specific drugs) for select high-cost drugs. We cannot be sure whether additional state legislation related to price caps will be enacted, or what impact, if any, such changes will have on the profitability of any of our drug candidates, if approved for commercial use, in the future.</w:t>
      </w:r>
    </w:p>
    <w:p>
      <w:pPr>
        <w:spacing w:after="0" w:line="204" w:lineRule="exact"/>
        <w:rPr>
          <w:sz w:val="20"/>
          <w:szCs w:val="20"/>
          <w:color w:val="auto"/>
        </w:rPr>
      </w:pPr>
    </w:p>
    <w:p>
      <w:pPr>
        <w:ind w:right="440" w:firstLine="464"/>
        <w:spacing w:after="0" w:line="255" w:lineRule="auto"/>
        <w:rPr>
          <w:sz w:val="20"/>
          <w:szCs w:val="20"/>
          <w:color w:val="auto"/>
        </w:rPr>
      </w:pPr>
      <w:r>
        <w:rPr>
          <w:rFonts w:ascii="Times New Roman" w:cs="Times New Roman" w:eastAsia="Times New Roman" w:hAnsi="Times New Roman"/>
          <w:sz w:val="17"/>
          <w:szCs w:val="17"/>
          <w:color w:val="auto"/>
        </w:rPr>
        <w:t>If future reimbursement for approved product candidates, if any, is substantially less than we project, or rebate and/or discount, or fees and obligations associated with them are substantially greater than we expect, our future net revenue and profitability could be materially diminished.</w:t>
      </w:r>
    </w:p>
    <w:p>
      <w:pPr>
        <w:spacing w:after="0" w:line="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size of the potential market for TUDRIQEV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i w:val="1"/>
          <w:iCs w:val="1"/>
          <w:color w:val="auto"/>
        </w:rPr>
        <w:t xml:space="preserve"> our product candidates is difficult to estimate and, if any of our assumptions are inaccurate, the actual markets TUDRIQEV and for our product candidates may be smaller than our estimates.</w:t>
      </w:r>
    </w:p>
    <w:p>
      <w:pPr>
        <w:spacing w:after="0" w:line="19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potential market opportunities for TUDRIQEV or our product candidates are difficult to estimate and will depend in large part on the drugs with which TUDRIQEV or our product candidates are co-administered and the success of competing therapies and therapeutic approaches. In particular, the market opportunity for oncolytic immunotherapies is hard to estimate given that it is an emerging field with only one existing FDA-approved oncolytic immunotherapy, T-Vec (also referred to as Imlygic</w:t>
      </w:r>
      <w:r>
        <w:rPr>
          <w:rFonts w:ascii="Times New Roman" w:cs="Times New Roman" w:eastAsia="Times New Roman" w:hAnsi="Times New Roman"/>
          <w:sz w:val="22"/>
          <w:szCs w:val="22"/>
          <w:color w:val="auto"/>
          <w:vertAlign w:val="superscript"/>
        </w:rPr>
        <w:t>(R)</w:t>
      </w:r>
      <w:r>
        <w:rPr>
          <w:rFonts w:ascii="Times New Roman" w:cs="Times New Roman" w:eastAsia="Times New Roman" w:hAnsi="Times New Roman"/>
          <w:sz w:val="17"/>
          <w:szCs w:val="17"/>
          <w:color w:val="auto"/>
        </w:rPr>
        <w:t xml:space="preserve"> (Amgen, Inc.)), which differs mechanistically from TUDRIQEV, however, has yet to enjoy broad market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465455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Our estimates of the potential market opportunities are predicated on many assumptions, which may include industry knowledge and publications, third-party research reports, and surveys of clinics.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proves to be inaccurate, the actual markets for our product candidates could be smaller than our estimates of the potential market opportunities.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developments in the field of immuno-oncology could damage public perception of our product candidates and negatively affect our business.</w:t>
      </w:r>
    </w:p>
    <w:p>
      <w:pPr>
        <w:spacing w:after="0" w:line="2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commercial success of TUDRIQEV or our product candidates will depend in part on public acceptance of the use of cancer immunotherapies. Adverse events in clinical trials of our product candidates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our product candidates. These events could also result in the suspension, discontinuation, or clinical hold of or modification to our clinical trials. If public perception is influenced by claims that the use of cancer immunotherapies is unsafe, whether related to our therapies or those of our competitors, our product candidates may not be accepted by the general public or the medical community and potential clinical trial subjects may be discouraged from enrolling in our clinical trials. As a result, we may not be able to continue or may be delayed in conducting our development programs.</w:t>
      </w:r>
    </w:p>
    <w:p>
      <w:pPr>
        <w:spacing w:after="0" w:line="20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As our product candidates consist of a modified virus, adverse developments in antiviral vaccines or clinical trials of other oncolytic immunotherapy products based on viruses may result in a disproportionately negative effect for our product candidates as compared to other products in the field of immuno-oncology that are not based on viruses. Future negative developments in the field of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21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net losses since our inception and anticipate that we will continue to incur substantial and increasing net losses in the foreseeable future. We may never achieve or sustain profitability.</w:t>
      </w:r>
    </w:p>
    <w:p>
      <w:pPr>
        <w:spacing w:after="0" w:line="159" w:lineRule="exact"/>
        <w:rPr>
          <w:sz w:val="20"/>
          <w:szCs w:val="20"/>
          <w:color w:val="auto"/>
        </w:rPr>
      </w:pPr>
    </w:p>
    <w:p>
      <w:pPr>
        <w:ind w:right="80" w:firstLine="619"/>
        <w:spacing w:after="0" w:line="239" w:lineRule="auto"/>
        <w:rPr>
          <w:sz w:val="20"/>
          <w:szCs w:val="20"/>
          <w:color w:val="auto"/>
        </w:rPr>
      </w:pPr>
      <w:r>
        <w:rPr>
          <w:rFonts w:ascii="Times New Roman" w:cs="Times New Roman" w:eastAsia="Times New Roman" w:hAnsi="Times New Roman"/>
          <w:sz w:val="17"/>
          <w:szCs w:val="17"/>
          <w:color w:val="auto"/>
        </w:rPr>
        <w:t>Although we have recently received approval from the FDA for TUDRIQEV, we have previously had no products approved for commercial sale and, prior to the commercialization of TUDRIQEV in early October 2026, have not generated any revenue from product sales, and we continue to incur significant research and development and other expenses related to our ongoing operations. Investment in biopharmaceutical product development is highly speculative because it entails substantial upfront capital expenditures and significant risk that any potential product candidate will fail to demonstrate adequate efficacy or an acceptable safety profile, gain marketing approval and become commercially viable. We have financed our operations to date primarily through the sale of equity securities, including the sale of our common stock and pre-funded warrants in public and private offerings. Since our inception, most of our resources have been dedicated to the preclinical and clinical development of our proprietary RPx platform, including TUDRIQEV and our product candidates. We expect to spend substantial funds to continue the research, development and testing of our products that are in the preclinical and clinical testing stages of development and to prepare to commercialize products in anticipation of FDA approval. The size of our future net losses will depend, in part, on our future expenses and our ability to generate revenue, if any.</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not profitable and have incurred losses in each period since our inception. For the six months ended September 30, 2026 and 2025, we reported a</w:t>
      </w:r>
    </w:p>
    <w:p>
      <w:pPr>
        <w:spacing w:after="0" w:line="37"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7"/>
          <w:szCs w:val="17"/>
          <w:color w:val="auto"/>
        </w:rPr>
        <w:t>net loss of $126.9 million and $169.8 million, respectively. At September 30, 2026, we had an accumulated deficit of $1,389.4 million. We expect to continue to incur significant losses for the foreseeable future, and we expect these losses to increase as we seek to commercialize TUDRIQEV, continue one or more confirmatory trials of TUDRIQEV, including our ongoing IGNYTE-3 clinical trial, and continue our research and development of, and seek marketing approval for our product candidates and any additional product candidates we may develop</w:t>
      </w:r>
    </w:p>
    <w:p>
      <w:pPr>
        <w:spacing w:after="0" w:line="21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While we expect the net proceeds from our August 2026 offering to provide us with additional liquidity and cash runway to fund our operating expenses, working capital needs, and other corporate uses, we will be required to seek additional financing, and there can be no assurance that such financing will be available on acceptable terms, if at all. If we are unable to obtain additional capital, substantial doubt about our ability to continue as a going concern could arise again, and may adversely affect our business, results of operations and stock price. In addition, we may encounter unforeseen expenses, difficulties, complications, delays and other unknown factors that may adversely affect our business. The size of our future net losses will depend, in part, on the rate of future growth of our expenses and our ability to generate revenue, including from sales of TUDRIQEV.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516255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generate revenue from product sales and become profitable will depend significantly on our success in achieving a number of goals.</w:t>
      </w:r>
    </w:p>
    <w:p>
      <w:pPr>
        <w:spacing w:after="0" w:line="223" w:lineRule="exact"/>
        <w:rPr>
          <w:sz w:val="20"/>
          <w:szCs w:val="20"/>
          <w:color w:val="auto"/>
        </w:rPr>
      </w:pPr>
    </w:p>
    <w:p>
      <w:pPr>
        <w:ind w:right="300" w:firstLine="619"/>
        <w:spacing w:after="0" w:line="270" w:lineRule="auto"/>
        <w:rPr>
          <w:sz w:val="20"/>
          <w:szCs w:val="20"/>
          <w:color w:val="auto"/>
        </w:rPr>
      </w:pPr>
      <w:r>
        <w:rPr>
          <w:rFonts w:ascii="Times New Roman" w:cs="Times New Roman" w:eastAsia="Times New Roman" w:hAnsi="Times New Roman"/>
          <w:sz w:val="17"/>
          <w:szCs w:val="17"/>
          <w:color w:val="auto"/>
        </w:rPr>
        <w:t>Although we have recently received approval from the FDA for TUDRIQEV, we have previously had no products approved for commercial sale, and, prior to the commercialization of TUDRIQEV in early October 2026, have not generated any revenue from product sales. Our ability to generate revenue and achieve profitability depends significantly on our success in achieving a number of goals, including:</w:t>
      </w:r>
    </w:p>
    <w:p>
      <w:pPr>
        <w:spacing w:after="0" w:line="165"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launching commercial sales of TUDRIQEV while maintaining full compliance with applicable federal and state laws, rules and regulations;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research regarding, and preclinical and clinical development of our other product candidates;</w:t>
      </w:r>
    </w:p>
    <w:p>
      <w:pPr>
        <w:spacing w:after="0" w:line="217" w:lineRule="exact"/>
        <w:rPr>
          <w:rFonts w:ascii="Times New Roman" w:cs="Times New Roman" w:eastAsia="Times New Roman" w:hAnsi="Times New Roman"/>
          <w:sz w:val="17"/>
          <w:szCs w:val="17"/>
          <w:color w:val="auto"/>
        </w:rPr>
      </w:pPr>
    </w:p>
    <w:p>
      <w:pPr>
        <w:ind w:left="620" w:right="34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marketing approvals for TUDRIQEV and obtaining marketing approvals for our other product candidates for which we complete clinical trials;</w:t>
      </w:r>
    </w:p>
    <w:p>
      <w:pPr>
        <w:spacing w:after="0" w:line="151"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generate favorable study results for TUDRIQEV and or other product candidates, including with respect to our confirmatory clinical trials for TUDRIQEV;</w:t>
      </w:r>
    </w:p>
    <w:p>
      <w:pPr>
        <w:spacing w:after="0" w:line="151"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sustainable and scalable manufacturing process for TUDRIQEV and our other product candidates, including establishing and maintaining commercially viable supply and manufacturing relationships with third parties;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 acceptance of TUDRIQEV and our other product candidates as viable treatment options;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adequate coverage and reimbursement for TUDRIQEV and or other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any competing technological and market developments;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assessing, acquiring and developing new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negotiating favorable terms in any collaboration, licensing, or other arrangements into which we may enter;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protecting, and expanding our portfolio of intellectual property rights, including patents, trade secrets, and know-how;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training, hiring, and retaining qualified personnel.</w:t>
      </w:r>
    </w:p>
    <w:p>
      <w:pPr>
        <w:spacing w:after="0" w:line="24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anticipate incurring significant costs associated with commercializing TUDRIQEV and any other product candidate that may be approved for commercial sale.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9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7"/>
          <w:szCs w:val="17"/>
          <w:color w:val="auto"/>
        </w:rPr>
        <w:t>Our revenue will be dependent, in part, upon the size of the markets in the territories for which we gain and retain marketing approval, the accepted price for the product, the ability to get adequate coverage and reimbursement, and whether we own the commercial rights for that territory. If the number of our addressable patients is not as significant as we estimate, the indication approved by regulatory authorities is narrower than we expect, the labels for our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TUDRIQEV or any other approved products, we could be prevented from or significantly delayed in achieving profitability.</w:t>
      </w:r>
    </w:p>
    <w:p>
      <w:pPr>
        <w:spacing w:after="0" w:line="17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or commercialization efforts.</w:t>
      </w:r>
    </w:p>
    <w:p>
      <w:pPr>
        <w:spacing w:after="0" w:line="159" w:lineRule="exact"/>
        <w:rPr>
          <w:sz w:val="20"/>
          <w:szCs w:val="20"/>
          <w:color w:val="auto"/>
        </w:rPr>
      </w:pPr>
    </w:p>
    <w:p>
      <w:pPr>
        <w:ind w:right="180" w:firstLine="619"/>
        <w:spacing w:after="0" w:line="271" w:lineRule="auto"/>
        <w:rPr>
          <w:sz w:val="20"/>
          <w:szCs w:val="20"/>
          <w:color w:val="auto"/>
        </w:rPr>
      </w:pPr>
      <w:r>
        <w:rPr>
          <w:rFonts w:ascii="Times New Roman" w:cs="Times New Roman" w:eastAsia="Times New Roman" w:hAnsi="Times New Roman"/>
          <w:sz w:val="17"/>
          <w:szCs w:val="17"/>
          <w:color w:val="auto"/>
        </w:rPr>
        <w:t>Our operations have consumed substantial amounts of cash since inception. At September 30, 2026, our cash and cash equivalents were $307.8 million. We expect to continue to spend substantial amounts to continue the clinical and pre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800"/>
        <w:spacing w:after="0" w:line="271" w:lineRule="auto"/>
        <w:rPr>
          <w:sz w:val="20"/>
          <w:szCs w:val="20"/>
          <w:color w:val="auto"/>
        </w:rPr>
      </w:pPr>
      <w:r>
        <w:rPr>
          <w:rFonts w:ascii="Times New Roman" w:cs="Times New Roman" w:eastAsia="Times New Roman" w:hAnsi="Times New Roman"/>
          <w:sz w:val="17"/>
          <w:szCs w:val="17"/>
          <w:color w:val="auto"/>
        </w:rPr>
        <w:t>development of our RPx product candidates. Accordingly, we will need to obtain additional funds to achieve our business objectives. In addition, other unanticipated costs may arise.</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future capital requirements depend on many factors, including:</w:t>
      </w:r>
    </w:p>
    <w:p>
      <w:pPr>
        <w:spacing w:after="0" w:line="263" w:lineRule="exact"/>
        <w:rPr>
          <w:sz w:val="20"/>
          <w:szCs w:val="20"/>
          <w:color w:val="auto"/>
        </w:rPr>
      </w:pPr>
    </w:p>
    <w:p>
      <w:pPr>
        <w:ind w:left="620" w:hanging="307"/>
        <w:spacing w:after="0"/>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the cost of commercialization activities for TUDRIQEV or any other approved product, including marketing, sales and distribution costs;</w:t>
      </w:r>
    </w:p>
    <w:p>
      <w:pPr>
        <w:spacing w:after="0" w:line="1" w:lineRule="exact"/>
        <w:rPr>
          <w:rFonts w:ascii="Arial" w:cs="Arial" w:eastAsia="Arial" w:hAnsi="Arial"/>
          <w:sz w:val="21"/>
          <w:szCs w:val="21"/>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one or more confirmatory trials of TUDRIQEV;</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researching and developing our other product candidates, and conducting preclinical studies and clinical trials;</w:t>
      </w:r>
    </w:p>
    <w:p>
      <w:pPr>
        <w:spacing w:after="0" w:line="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timing of, and the costs involved in, obtaining marketing approvals for our other product candidates if clinical trials are successful;</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success of any collaborations;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cost and timing of operating our manufacturing facility;</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cost of manufacturing TUDRIQEV or our other product candidates for clinical trials in preparation for marketing approval and commercialization;</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ability to establish and maintain strategic licensing or other arrangements and the financial terms of such agreements;</w:t>
      </w:r>
    </w:p>
    <w:p>
      <w:pPr>
        <w:spacing w:after="0" w:line="22" w:lineRule="exact"/>
        <w:rPr>
          <w:rFonts w:ascii="Times New Roman" w:cs="Times New Roman" w:eastAsia="Times New Roman" w:hAnsi="Times New Roman"/>
          <w:sz w:val="21"/>
          <w:szCs w:val="21"/>
          <w:color w:val="auto"/>
        </w:rPr>
      </w:pPr>
    </w:p>
    <w:p>
      <w:pPr>
        <w:ind w:left="620" w:right="340" w:hanging="307"/>
        <w:spacing w:after="0" w:line="235" w:lineRule="auto"/>
        <w:tabs>
          <w:tab w:leader="none" w:pos="61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costs involved in preparing, filing, prosecuting, maintaining, expanding, defending and enforcing patent claims, including litigation costs and the outcome of such litigation;</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timing, receipt, and amount of sales of, or royalties on, our future products, if any; and</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emergence of competing cancer therapies and other adverse market developments.</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Other than the Hercules Loan Agreement (as defined below), we do not have any committed external source of funds or other support for our development efforts. Our ability to draw additional amounts under the Hercules Loan Agreement (as defined below) is subject to the satisfaction of specified milestones and other conditions, and those amounts may not become available to us. Until we can generate sufficient product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There can be no assurance that such financing will be available on acceptable</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terms, if at all. We expec</w:t>
      </w: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 xml:space="preserve"> that our existing cash and cash equivalents as of September 30, 2026, including the 141.0 million of net proceeds from the issuance of our common stock in August 2026, will be sufficient to fund our operations and capital expenditure requirements for greater than twelve months from the issuance of these condensed consolidated financial statements, including the commercialization of TUDRIQEV in advanced melanoma and for working capital and general corporate purposes. We have based this estimate on assumptions that may prove to be wrong, and we could exhaust our available capital resources sooner than we expect. In addition, because the design and outcome of our planned and anticipated clinical trials is highly uncertain, we cannot reasonably estimate the actual amounts necessary to successfully complete the development and commercialization of our product candidates.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maintain our cash at financial institutions, often in balances that exceed federally insured limits.</w:t>
      </w:r>
    </w:p>
    <w:p>
      <w:pPr>
        <w:spacing w:after="0" w:line="236"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7"/>
          <w:szCs w:val="17"/>
          <w:color w:val="auto"/>
        </w:rPr>
        <w:t>Most of our cash, cash equivalents and short-term investments are held in accounts with banking institutions. The balances of some of these accounts have in the past, and may in the future, exceed the Federal Deposit Insurance Corporation, or the FDIC, insurance limits. If such banking institutions were to fail, we could lose all or a portion of those amounts held in excess of such insurance limitations. In March 2023, the FDIC took control of Silicon Valley Bank, or SVB, where we previously held a portion of our cash. The Federal Reserve subsequently announced that account holders would be made whole and we were able to access all of our cash held at SVB.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short-term investments and cash equivalents could have an adverse effect on our ability to pay our operational expenses, fund our operations or make other payments, which could adversely affect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41"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638810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obtain and maintain patent and other intellectual property protection in the United States and other countries with respect to our technology and proprietary RPx platform, including TUDRIQEV and our other product candidates. We rely on trade secret, patent, copyright and trademark laws, and confidentiality, licensing and other agreements with employees and third parties, all of which offer only limited protection.</w:t>
      </w:r>
    </w:p>
    <w:p>
      <w:pPr>
        <w:spacing w:after="0" w:line="19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generally are highly uncertain, involve complex legal and factual questions and have in recent years been the subject of much litigation and subject to change with regulatory agencies and court decisions. As a result, the issuance, scope, validity, enforceability and commercial value of our licensed patents and any patents we own in the future are highly uncertain. The steps we have taken to protect our proprietary rights may not be adequate to preclude misappropriation of our proprietary information, use by third parties of our products or infringement of our intellectual property rights, both inside and outside of the United States.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Our pending applications cannot be enforced against third parties practicing the inventions claimed in such applications unless and until a patent issues from such applications. Because the issuance of a patent is not conclusive as to its inventorship, scope, validity or enforceability, our issued patents and issued patents that we license from third parties or that we may own in the future may be challenged in the courts or patent offices inside or outside of the United States. Further, the examination process may require us to narrow the claims for our pending patent applications, which may limit the scope of patent protection that may be obtained if these applications issue. The scope of a patent may also be interpreted or reinterpreted after issuance. The rights that may be granted under our future issued patents may not provide us with the proprietary protection or competitive advantages we are seeking. In addition, defending against challenges in respect of the inventorship, scope, validity or enforceability of our patents may be expensive, time consuming, difficult and in some cases may not be possible. Although we enter into nondisclosure and confidentiality agreements with parties who have access to confidential or patentable aspects of our research and development output, such as our employees, consultants, collaborators, and other third parties, any of these parties may breach the agreements and disclose such output before a patent application is filed, thereby jeopardizing our ability to seek patent protection. In addition, the patent prosecution process is expensive, time consuming and complex, and we may not be able to file, prosecute, maintain, enforce or license all necessary or desirable patent applications at a reasonable cost or in a timely manner. If we are unable to obtain and maintain patent protection for our technology or inventions, or for TUDRIQEV or our product candidates, or if the scope of the patent protection obtained is not sufficient, our competitors could develop and commercialize products similar or superior to ours, and our ability to successfully commercialize TUDRIQEV or our product candidates and future technologies or inventions may be adversely affected.</w:t>
      </w:r>
    </w:p>
    <w:p>
      <w:pPr>
        <w:spacing w:after="0" w:line="21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Patent terms may be inadequate to protect our competitive position on our products for an adequate amount of time, and our product candidates for which we intend to seek approval as biological products may face competition sooner than anticipated. Given the amount of time required for the development, testing and regulatory review of our product and product candidates, patents protecting such product candidates might expire before or shortly after such product candidates are commercialized.</w:t>
      </w:r>
    </w:p>
    <w:p>
      <w:pPr>
        <w:spacing w:after="0" w:line="19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Filing, prosecuting and defending patents on our technology or inventions in all countries throughout the world would be prohibitively expensive, and our intellectual property rights in some countries or regions outside the United States can be less protective of our products than those in the United States. In addition, the laws and practices of some foreign countries do not protect intellectual property rights to the same extent as federal and state laws in the United States. Changes to the patent law in the United States and other jurisdictions could diminish the value of patents in general, thereby impairing our ability to protect TUDRIQEV and our product candidates.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or inventions in jurisdictions where we have not obtained patent protection to develop and/or manufacture their own products and may export otherwise infringing products to territories where we have patent protection but where enforcement is not as strong as that in the United States. These products may compete with our products and our patent claims or other intellectual property rights may not be effective or sufficient to prevent them from so competing.</w:t>
      </w:r>
    </w:p>
    <w:p>
      <w:pPr>
        <w:spacing w:after="0" w:line="2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Protecting against the unauthorized use of our patented inventions, trademarks and other intellectual property rights is expensive, time consuming, difficult and in some cases may not be possible. In some cases, it may be difficult or impossible to detect third-party infringement or misappropriation of our intellectual property rights, even in relation to issued patent claims, and proving any such infringement or misappropriation may be even more difficult. If we are unable to obtain, maintain, and protect our intellectual property our competitive advantage could be harmed, and it could result in a material adverse effect on our business, financial condition, results of operations, stock price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657225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addition to seeking patent protection, we also rely on other proprietary rights, including protection of trade secrets, know-how and confidential and proprietary information. Although we enter into confidentiality agreements with our employees, consultants, collaborators, suppliers, manufacturers and other third parties who have access to our trade secrets, and our agreements with employees also provide that any inventions conceived by the individual in the course of rendering services to us shall be our exclusive property, we may not obtain these agreements in all circumstances, and individuals with whom we have these agreements may not comply with their terms or may have conflicting agreements with third parties. In addition,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If any of our trade secrets, know-how or confidential or proprietary information were to be lawfully obtained, patented or independently developed by a competitor or other third party, we would have no right to prevent them from using that technology or information to compete with us and may be blocked from using such trade secrets, know-how or confidential or proprietary information ourselves. The disclosure of our trade secrets or the independent development of our trade secrets by a competitor or other third party would impair our competitive position and may materially harm our business, financial condition, results of operations, stock price and prospects.</w:t>
      </w:r>
    </w:p>
    <w:p>
      <w:pPr>
        <w:spacing w:after="0" w:line="199"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 the future initiate legal proceedings alleging that we are infringing their intellectual property rights, and we may become involved in lawsuits or other administrative procedures to protect or enforce our intellectual property, which could be expensive, time consuming and unsuccessful and have a material adverse effect on the success of our business.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commercial success depends on our ability and the ability of our current or future collaborators to develop, manufacture, market and sell TUDRIQEV and our product candidates, and to use our related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may become party to, or threatened with, adversarial proceedings or litigation regarding intellectual property rights with respect to our current and any other future product candidates. For example, we are aware of U.S. Patent 10,034,938, or the '938 Patent, held by Amgen Inc., which includes claims purported to cover methods and kits for treating stage IIIb to IV melanoma by the administration of (i) an effective amount of an anti-PD-1 antibody or anti-CTLA-4 antibody; and (ii) a herpes simplex virus, wherein the herpes simplex virus lacks a functional ICP34.5 encoding gene and a functional ICP47 encoding gene, and comprises a gene encoding human GM-CSF. In November 2022, we filed a petition for inter partes review with the Patent Trial and Appeal Board, or the PTAB, of the United States Patent and Trademark Office, or the USPTO, seeking to invalidate certain claims of the ‘938 Patent. In August 2023 we entered into a Settlement Agreement with Amgen and mutually agreed to terminate our challenges to their patents. In connection with the Settlement Agreement, we entered into a License and Covenant Agreement with Amgen in which we agreed to pay Amgen low single-digit royalty payments on net sales of our products that, but for the license, could be found to infringe a valid Amgen patent on a country-by-country and product-by-product basis.</w:t>
      </w:r>
    </w:p>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Third parties may assert infringement or other intellectual property claims against us based on existing patents or patents that may be filed and/or granted in the future. At times we may attempt to initiate litigation or other administrative procedures to invalidate or otherwise limit the scope of a third party’s intellectual property and these attempts may not be successful. If we are found to infringe a third party’s intellectual property rights, and we are unsuccessful in demonstrating that such intellectual property rights are invalid, unenforceable or otherwise not infringed, we could be required to obtain a license from such third-party to continue developing, manufacturing and commercializing TUDRIQEV and our product candidates. Such a license may not be available on commercially reasonable terms, or at all. Even if we were able to obtain a license, it could be nonexclusive, thereby giving our competitors and other third parties access to the same technologies and inventions licensed to us, and it could require us to make substantial licensing and royalty payments. We also could be forced, including by court order, to cease developing, manufacturing, and commercializing TUDRIQEV or our product candidates or we could be found liable for significant monetary damages if we are found to have willfully infringed a patent or other intellectual property right. Any of the foregoing could have a material adverse effect on our business, financial condition, results of operations, stock price and prospects. Any claims by third parties that we have misappropriated their know-how, confidential or proprietary information or trade secrets could have a similar material adverse effect on our business, financial condition, results of operations, stock price and prospects.</w:t>
      </w:r>
    </w:p>
    <w:p>
      <w:pPr>
        <w:spacing w:after="0" w:line="200" w:lineRule="exact"/>
        <w:rPr>
          <w:sz w:val="20"/>
          <w:szCs w:val="20"/>
          <w:color w:val="auto"/>
        </w:rPr>
      </w:pPr>
    </w:p>
    <w:p>
      <w:pPr>
        <w:spacing w:after="0" w:line="21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If we or one of our licensing partners initiate legal proceedings against a third party to enforce a patent covering any of our technology or inventions, the defendant could counterclaim that the patent covering our product candidate is invalid or unenforceable. If a third party were to prevail on a legal assertion of invalidity and/or unenforceability, we would lose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part, and perhaps all, of the patent protection on TUDRIQEV and our product candidates. Such a loss of patent protection could have a material adverse impact on our business, financial condition, results of operations, stock price and prospects.</w:t>
      </w:r>
    </w:p>
    <w:p>
      <w:pPr>
        <w:spacing w:after="0" w:line="17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Many of our employees, including our senior management team, were previously employed at, or consulted for, universities or other biotechnology or pharmaceutical companies, including our competitors or potential competitors. Although we take steps to ensure that our employees do not use, claim as theirs, or misappropriate the intellectual property, confidential or proprietary information, know-how or trade secrets of others in their work for us, we may be subject to claims that we or these employees have used, claimed as theirs, misappropriated or disclosed intellectual property, including trade secrets, know-how or other confidential or proprietary information, of any such individual’s current or former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third-party to commercialize our technology or products. Such a license may not be available on commercially reasonable terms, or at all.</w:t>
      </w:r>
    </w:p>
    <w:p>
      <w:pPr>
        <w:spacing w:after="0" w:line="20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In addition, we are developing certain of our product candidates in combination with products, which are or may be covered by patents or licenses held by third parties, to which we do not have a license other than for use in connection with the applicable clinical trial. We also may develop our product candidates in combination with products developed by additional companies that are covered by patents or licenses held by those entities to which we do not have a license. In the event that a labeling instruction is required in product packaging recommending that combination, we could be accused of, or held liable for, infringement of the third-party patents covering the product candidate or product recommended for administration with TUDRIQEV or our product candidates. In such a case, we could be required to obtain a license from the other company or institution to use the required or desired package labeling, which license may not be available on commercially reasonable terms, or at all.</w:t>
      </w:r>
    </w:p>
    <w:p>
      <w:pPr>
        <w:spacing w:after="0" w:line="2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Competitors may infringe any future licensed patents or any patent we own in the future or misappropriate or otherwise violate our intellectual property rights. We may also be required to defend against claims of infringement and our licensed patents and any patents we own in the future may become involved in priority or other intellectual property related disputes.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w:t>
      </w:r>
    </w:p>
    <w:p>
      <w:pPr>
        <w:spacing w:after="0" w:line="20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These proceedings can be expensive and time consuming. Many of our current and potential competitors have the ability to dedicate substantially greater resources to conduct intellectual property related litigation(s) or proceedings than we can. We may not have sufficient financial or other resources to conduct such litigation or proceedings adequately. Accordingly, despite our efforts, we may not be able to prevent third parties from infringing upon or misappropriating our intellectual property. An adverse result in any litigation or other intellectual property related proceeding could put one or more of our patents at risk of being invalidated, held unenforceable or interpreted narrowly. Furthermore, because of the substantial amount of discovery required in connection with intellectual property litigation in the United States, there is a risk that some of our trade secrets, know-how, or proprietary or confidential information could be compromised by disclosure during this type of litigation. There could also be public announcements of the results of hearings, motions or other interim proceedings or developments in any such proceedings. If securities analysts or investors perceive these results to be negative, it could have a material adverse effect on the price of shares of our common stock. Any of the foregoing may have a material adverse effect on our business, financial condition, results of operations, stock price and prospects.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manufacturing and our reliance on third parties</w:t>
      </w:r>
    </w:p>
    <w:p>
      <w:pPr>
        <w:spacing w:after="0" w:line="24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agreements with third party collaborators, and in the future may have agreements with other companies, to obtain the supply of co-delivery therapies for the development of our product candidates. If our relationships with these third party collaborators, or any future collaborator or supplier are not successful, we may be delayed or unable to complete the development of our product candidates.</w:t>
      </w:r>
    </w:p>
    <w:p>
      <w:pPr>
        <w:spacing w:after="0" w:line="19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have entered into arrangements with BMS as part of our clinical development programs where nivolumab is intended to be used for these clinical programs and with Roche where atezolizumab and bevacizumab are intended to be used for certain of our other clinical programs. BMS is providing nivolumab, its anti-PD-1 therapy, for use in our Phase 1/2 clinical trial with RP2 where we intend to use nivolumab and may potentially do so for other clinical trials in the future; Roche</w:t>
      </w:r>
    </w:p>
    <w:p>
      <w:pPr>
        <w:spacing w:after="0"/>
        <w:rPr>
          <w:sz w:val="20"/>
          <w:szCs w:val="20"/>
          <w:color w:val="auto"/>
        </w:rPr>
      </w:pPr>
      <w:r>
        <w:rPr>
          <w:rFonts w:ascii="Times New Roman" w:cs="Times New Roman" w:eastAsia="Times New Roman" w:hAnsi="Times New Roman"/>
          <w:sz w:val="17"/>
          <w:szCs w:val="17"/>
          <w:color w:val="auto"/>
        </w:rPr>
        <w:t>has agreed to provide atezolizumab and bevacizumab for use in our RP2 study of hepatocellular cancer, or HCC.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683895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We may also enter into agreements with additional companies for the supply of anti-PD-1 therapies or other co-delivery agents for use in the development of our other product candidates, similar to our agreement with BMS and Roche. The outcome of these clinical trials is dependent, in part, both on the performance of our partners’ products and product candidates and also on our partners’ ability to deliver sufficient quantities of adequately produced product. Should any of our partners’ products or product candidates fail to produce the results that we anticipate, we may have to re-run clinical trials for our product candidates or may otherwise be delayed in the commercialization of our product candidates. Similarly, should any partner fail to provide us with a product or product candidate that suits our requirements, we may have to re-run clinical trials for our product candidates or may be otherwise delayed in the commercialization of our product candidates. Additionally, we are subject to specific risks associated with our collaboration partners, including possible discrepancies as to the timing, nature and the extent of development plans, contract interpretations, and the costs and allocation of costs related to the conduct of our clinical trials. If we and any collaboration partner are unable to agree or fail to perform our respective obligations or effectively manage our relationship, our clinical trials performed under such collaboration could incur additional costs, be delayed or could result in costly or time-consuming legal proceedings that could have an adverse effect on a collaboration or on our business.</w:t>
      </w:r>
    </w:p>
    <w:p>
      <w:pPr>
        <w:spacing w:after="0" w:line="201"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collaboration agreements with any future partners may not be successful, which could adversely affect our ability to develop and commercialize our product candidates.</w:t>
      </w:r>
    </w:p>
    <w:p>
      <w:pPr>
        <w:spacing w:after="0" w:line="1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may in the future seek collaboration arrangements with other parties for the development or commercialization of our product candidates.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w:t>
      </w:r>
    </w:p>
    <w:p>
      <w:pPr>
        <w:spacing w:after="0" w:line="20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Collaborations with biopharmaceutical companies and other third parties often are terminated or allowed to expire by the other party. Any such termination or expiration could adversely affect us financially and could harm our business reputation.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future collaborations we might enter into may pose a number of risks, including the following:</w:t>
      </w:r>
    </w:p>
    <w:p>
      <w:pPr>
        <w:spacing w:after="0" w:line="263"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collaborators may not perform their obligations as expected;</w:t>
      </w:r>
    </w:p>
    <w:p>
      <w:pPr>
        <w:spacing w:after="0" w:line="21" w:lineRule="exact"/>
        <w:rPr>
          <w:rFonts w:ascii="Arial" w:cs="Arial" w:eastAsia="Arial" w:hAnsi="Arial"/>
          <w:sz w:val="21"/>
          <w:szCs w:val="21"/>
          <w:color w:val="auto"/>
        </w:rPr>
      </w:pPr>
    </w:p>
    <w:p>
      <w:pPr>
        <w:ind w:left="620" w:hanging="307"/>
        <w:spacing w:after="0" w:line="241" w:lineRule="auto"/>
        <w:tabs>
          <w:tab w:leader="none" w:pos="61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2" w:lineRule="exact"/>
        <w:rPr>
          <w:rFonts w:ascii="Times New Roman" w:cs="Times New Roman" w:eastAsia="Times New Roman" w:hAnsi="Times New Roman"/>
          <w:sz w:val="21"/>
          <w:szCs w:val="21"/>
          <w:color w:val="auto"/>
        </w:rPr>
      </w:pPr>
    </w:p>
    <w:p>
      <w:pPr>
        <w:ind w:left="620" w:right="60" w:hanging="307"/>
        <w:spacing w:after="0" w:line="242" w:lineRule="auto"/>
        <w:tabs>
          <w:tab w:leader="none" w:pos="61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collaborators could fail to make timely regulatory submissions for a product candidate;</w:t>
      </w:r>
    </w:p>
    <w:p>
      <w:pPr>
        <w:spacing w:after="0" w:line="21" w:lineRule="exact"/>
        <w:rPr>
          <w:rFonts w:ascii="Times New Roman" w:cs="Times New Roman" w:eastAsia="Times New Roman" w:hAnsi="Times New Roman"/>
          <w:sz w:val="21"/>
          <w:szCs w:val="21"/>
          <w:color w:val="auto"/>
        </w:rPr>
      </w:pPr>
    </w:p>
    <w:p>
      <w:pPr>
        <w:ind w:left="620" w:right="260" w:hanging="307"/>
        <w:spacing w:after="0" w:line="235" w:lineRule="auto"/>
        <w:tabs>
          <w:tab w:leader="none" w:pos="61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23" w:lineRule="exact"/>
        <w:rPr>
          <w:rFonts w:ascii="Times New Roman" w:cs="Times New Roman" w:eastAsia="Times New Roman" w:hAnsi="Times New Roman"/>
          <w:sz w:val="21"/>
          <w:szCs w:val="21"/>
          <w:color w:val="auto"/>
        </w:rPr>
      </w:pPr>
    </w:p>
    <w:p>
      <w:pPr>
        <w:ind w:left="620" w:right="120" w:hanging="307"/>
        <w:spacing w:after="0" w:line="241" w:lineRule="auto"/>
        <w:tabs>
          <w:tab w:leader="none" w:pos="61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2" w:lineRule="exact"/>
        <w:rPr>
          <w:rFonts w:ascii="Times New Roman" w:cs="Times New Roman" w:eastAsia="Times New Roman" w:hAnsi="Times New Roman"/>
          <w:sz w:val="21"/>
          <w:szCs w:val="21"/>
          <w:color w:val="auto"/>
        </w:rPr>
      </w:pPr>
    </w:p>
    <w:p>
      <w:pPr>
        <w:ind w:left="620" w:right="40" w:hanging="307"/>
        <w:spacing w:after="0" w:line="235" w:lineRule="auto"/>
        <w:tabs>
          <w:tab w:leader="none" w:pos="61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3" w:lineRule="exact"/>
        <w:rPr>
          <w:rFonts w:ascii="Times New Roman" w:cs="Times New Roman" w:eastAsia="Times New Roman" w:hAnsi="Times New Roman"/>
          <w:sz w:val="21"/>
          <w:szCs w:val="21"/>
          <w:color w:val="auto"/>
        </w:rPr>
      </w:pPr>
    </w:p>
    <w:p>
      <w:pPr>
        <w:ind w:left="620" w:right="20" w:hanging="307"/>
        <w:spacing w:after="0" w:line="242" w:lineRule="auto"/>
        <w:tabs>
          <w:tab w:leader="none" w:pos="61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23" w:lineRule="exact"/>
        <w:rPr>
          <w:rFonts w:ascii="Times New Roman" w:cs="Times New Roman" w:eastAsia="Times New Roman" w:hAnsi="Times New Roman"/>
          <w:sz w:val="21"/>
          <w:szCs w:val="21"/>
          <w:color w:val="auto"/>
        </w:rPr>
      </w:pPr>
    </w:p>
    <w:p>
      <w:pPr>
        <w:ind w:left="620" w:right="40" w:hanging="307"/>
        <w:spacing w:after="0" w:line="241" w:lineRule="auto"/>
        <w:tabs>
          <w:tab w:leader="none" w:pos="61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519430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right="520" w:hanging="307"/>
        <w:spacing w:after="0" w:line="235" w:lineRule="auto"/>
        <w:tabs>
          <w:tab w:leader="none" w:pos="61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clinical trial materials supply, research funding or milestone or royalty payments under such potential future collaboration. If we do not receive the funding we expect under the agreements, our development of our product candidates could be delayed and we may need additional resources to develop our product candidates and our product platform</w:t>
      </w:r>
    </w:p>
    <w:p>
      <w:pPr>
        <w:spacing w:after="0" w:line="20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Additionally, if any future collaborator of ours is involved in a business combination, the collaborator might de-emphasize or terminate development or commercialization of any product candidate it licenses to us. If one of our collaborators terminates its agreement with us, we may find it more difficult to attract new collaborators and our reputation in the business and financial communities could be adversely affected.</w:t>
      </w:r>
    </w:p>
    <w:p>
      <w:pPr>
        <w:spacing w:after="0" w:line="19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We face significant competition in seeking appropriate collaborators. Our ability to reach a definitive agreement for any collaboration will depend upon, among other things, our assessment of the collaborator’s resources and expertise, the terms and conditions of the proposed collaboration and the proposed collaborator’s evaluation of a number of factors.</w:t>
      </w:r>
    </w:p>
    <w:p>
      <w:pPr>
        <w:spacing w:after="0" w:line="1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99" w:lineRule="exact"/>
        <w:rPr>
          <w:sz w:val="20"/>
          <w:szCs w:val="20"/>
          <w:color w:val="auto"/>
        </w:rPr>
      </w:pPr>
    </w:p>
    <w:p>
      <w:pPr>
        <w:jc w:val="both"/>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spacing w:after="0" w:line="17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We rely on third-party CROs, study sites, and others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could impact the chance of any such data being accepted by regulatory authorities,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GLP regulations, as appropriate.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512445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authorities enforce these requirements through periodic inspections (remotely or in person) of trial sponsors, clinical investigators, and trial sites. If we or any of our third parties fail to comply with applicable GCPs, the applicable study protocols and plans, or other regulatory requirements, we or they may be subject to enforcement or other legal actions, the data generated in our trials may be deemed unreliable and the FDA or comparable foreign regulatory authorities may not accept such data or may require us to perform additional studies.</w:t>
      </w:r>
    </w:p>
    <w:p>
      <w:pPr>
        <w:spacing w:after="0" w:line="184"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7"/>
          <w:szCs w:val="17"/>
          <w:color w:val="auto"/>
        </w:rPr>
        <w:t>In addition, our clinical trials must be conducted with product candidates that were produced under cGMP regulations. Failure to comply with these regulations or use of product that does not meet the applicable quality requirements in clinical trials may compromise the resulting trial data and may require us to repeat clinical trials, which would delay the regulatory approval process.</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20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If any of our relationships with these third parties terminate, we may not be able to enter into arrangements with alternative providers or to do so on commercially reasonable terms. Switching or adding additional third parties involves additional cost and may result in delays that could compromise our ability to meet our desired development timelines.</w:t>
      </w:r>
    </w:p>
    <w:p>
      <w:pPr>
        <w:spacing w:after="0" w:line="19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also rely on other third parties to store and distribute our products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spacing w:after="0" w:line="18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the manufacturers upon which we rely fail to produce our raw materials, process consumables or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190"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We continue to rely on third-party contract manufacturers to manufacture our raw materials and certain clinical trial product supplies. As a result, there can be no assurance that our clinical development or commercial supplies will not be limited, interrupted, or of satisfactory quality or continue to be available at acceptable prices.</w:t>
      </w:r>
    </w:p>
    <w:p>
      <w:pPr>
        <w:spacing w:after="0" w:line="1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currently have only one in-house manufacturing site for use in our clinical trials. In addition, we do not have any long-term commitments from our suppliers of raw materials or clinical trial material or guaranteed prices for our product candidates or their components. There are a limited number of manufacturers that operate under cGMP regulations and that are both capable of manufacturing and filling our viral product for us and willing to do so. If our existing third-party manufacturers of raw materials or our product candidates,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Any replacement of our contract manufacturer could require significant effort and expertise because there may be a limited number of qualified replacements. Any delays in obtaining adequate supplies of our raw materials or product candidates that meet the necessary quality standards may delay our development or commercialization.</w:t>
      </w:r>
    </w:p>
    <w:p>
      <w:pPr>
        <w:spacing w:after="0" w:line="20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If our manufacturers of raw materials, equipment or process consumables do not perform as agreed or encounter difficulties in production costs and yields, quality control, shortages of qualified personnel or key raw materials, compliance with strictly enforced federal, state, and foreign regulations, or other difficulties, our ability to provide product candidates to patients in our clinical trials could be jeopardized.</w:t>
      </w:r>
    </w:p>
    <w:p>
      <w:pPr>
        <w:spacing w:after="0" w:line="191"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17"/>
          <w:szCs w:val="17"/>
          <w:color w:val="auto"/>
        </w:rPr>
        <w:t>In addition, if our Framingham manufacturing site cannot successfully manufacture material that conforms to our specifications and the strict regulatory requirements of the FDA or other regulatory authorities, we will not be able to secure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maintain regulatory approval for our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raw materials, products or product candidates that comply with the applicable regulatory requirements may result in delays to clinical trials, product approvals, and commercialization.</w:t>
      </w:r>
    </w:p>
    <w:p>
      <w:pPr>
        <w:spacing w:after="0" w:line="18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color w:val="auto"/>
        </w:rPr>
        <w:t>We are ultimately responsible for the manufacturing of our product candidates and therapeutic substances, but, other than through our contractual arrangements, we have limited control over our raw materials or process consumables manufacturers’ compliance with these regulations and standards.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order to use our in-house Framingham manufacturing site or any third party manufacturing site for the production of product for commercialization, the sites</w:t>
      </w:r>
    </w:p>
    <w:p>
      <w:pPr>
        <w:spacing w:after="0" w:line="3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must pass an FDA pre-approval inspection. FDA will not approve a BLA until such inspection demonstrates that product can be adequately and reliably produced. If the FDA or a comparable foreign regulatory authority does not approve these facilities for manufacturing or supply, or if it withdraws any such approval in the future, we may need to find alternative manufacturing facilities, which would significantly impact our ability to develop, obtain regulatory approval for or market our product candidates, if approved. We must also receive FDA approval for the use of any new manufacturers for clinical or commercial supply, including our own manufacturing facility.</w:t>
      </w:r>
    </w:p>
    <w:p>
      <w:pPr>
        <w:spacing w:after="0" w:line="20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7"/>
          <w:szCs w:val="17"/>
          <w:color w:val="auto"/>
        </w:rPr>
        <w:t>A failure to comply with the applicable regulatory requirements, including periodic inspections, may result in regulatory enforcement actions against our manufacturing or us (including criminal fines and civil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non- or deferred prosecution agreements, consent decrees, withdrawal of product approval, environmental or safety incidents and other liabilities. If the safety of any quantities supplied is compromised due to our manufacturing failures to adhere to applicable laws or for other reasons, we may not be able to obtain regulatory approval for or successfully commercialize our product candidates. Any foreign manufacturing facilities may also be subject to increased FDA scrutiny as there has been an increasing movement to encourage domestic manufacturing of biopharmaceutical products.</w:t>
      </w:r>
    </w:p>
    <w:p>
      <w:pPr>
        <w:spacing w:after="0" w:line="213"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Operating and maintaining our own manufacturing facility may result in unanticipated delays or expenses and we may not experience the anticipated operating efficiencies we intended.</w:t>
      </w:r>
    </w:p>
    <w:p>
      <w:pPr>
        <w:spacing w:after="0" w:line="1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approximately 63,000 square foot manufacturing facility in Framingham, Massachusetts is fully operational. The Framingham facility is intended to give us control over key aspects of the supply chain for our products and product candidates. However, we may not experience the anticipated operating efficiencies as we commence manufacturing operations at our in-house facility. Any such delays may disrupt or delay the supply of our product candidates if we have not maintained a sufficient backup supply of our product candidates through third-party manufacturers. Moreover, changing manufacturing facilities may also require that we conduct additional studies, make notifications to the regulatory authorities, make additional filings to the regulatory authorities, and obtain regulatory authority approval our in-house facility, which may be delayed or which we may never receive. We will further need to comply with the FDA’s and applicable state and foreign regulatory authorities’ cGMP requirements for the production of our product candidates for clinical trials and, if approved, commercial supply, and will be subject to FDA and comparable state and foreign regulatory authority licensing requirements, inspections and assessments. We may not be able to develop or acquire the internal expertise and resources necessary for compliance with these requirements. If we are not able to comply with the applicable regulatory requirements or produce product that meets our requirements and specifications, we will be subject to the same risks that we would be subject to should third party manufacturers be unable to comply with the applicable regulatory requirements or produce product meeting our requirements or specifications, as described above. If we fail to achieve the operating efficiencies that we anticipate, our manufacturing and operating costs may be greater than expected, which could have a material adverse impact on our operating results.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operating our own manufacturing facility, we may be forced to devote greater resources and management time than anticipated, particularly in areas relating to operations, quality, raw material supply, regulatory, facilities and information technology. Further, should corrective or preventative actions be required, we will be fully responsible for these. If we experience unanticipated employee turnover in any of these areas, we may not be able to effectively manage our ongoing manufacturing operations and we may not achieve the operating efficiencies that we anticipate from our in-house facility, which may negatively affect our product development timeline, product candidate supplies and, if approved, our commercial product supplies. If we experience any unanticipated shortages of key raw materials, or other difficulties related to our raw material supply, we may not be able to effectively manage our ongoing manufacturing timelines and costs which may negatively affect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512445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product development schedule and our ability to provide clinical trial supplies to patients in our clinical trials, and if approved, commercial product supplies.</w:t>
      </w:r>
    </w:p>
    <w:p>
      <w:pPr>
        <w:spacing w:after="0" w:line="2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Any problems or delays we experience in preparing for commercial 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19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Any such problems could result in the delay, prevention, or impairment of clinical development and commercialization of our product candidates, if approved, and may materially harm our business, financial condition, results of operations, stock price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and compliance matters</w:t>
      </w:r>
    </w:p>
    <w:p>
      <w:pPr>
        <w:spacing w:after="0" w:line="241" w:lineRule="exact"/>
        <w:rPr>
          <w:sz w:val="20"/>
          <w:szCs w:val="20"/>
          <w:color w:val="auto"/>
        </w:rPr>
      </w:pPr>
    </w:p>
    <w:p>
      <w:pPr>
        <w:ind w:right="7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221"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loss of revenue from decreased demand for our products and/or product candidates;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impairment of our business reputation or financial stability;</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costs of related litigation;</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substantial monetary awards to patients or other claimants;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diversion of management attention;</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withdrawal of clinical trial participants and potential termination of clinical trial sites or entire clinical programs;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inability to commercialize our product candidates;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significant negative media attention and reputational impact;</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decreases in our stock price;</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initiation of investigations and enforcement actions by regulators; and</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product recalls, withdrawals or labeling, marketing or promotional restrictions, including withdrawal of marketing approval.</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662940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U.S. Foreign Corrupt Practices Act, the U.K. Bribery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19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Our operations are subject to anticorruption laws, including the U.S. Foreign Corrupt Practices Act, or FCPA, the U.K. Bribery Act 2010, or the Bribery Act, and other anticorruption laws that apply in countries where we do business. We also may participate in collaborations and relationships with third parties whose actions, if noncompliant, could potentially subject us to liability under the FCPA, Bribery Act or local anticorruption laws.</w:t>
      </w:r>
    </w:p>
    <w:p>
      <w:pPr>
        <w:spacing w:after="0" w:line="19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are also subject to other laws and regulations governing our international operations, including regulations administered by the governments of the United States and the United Kingdom and authorities in the European Union, including applicable import and export control regulations, economic sanctions on countries and persons, anti-money laundering laws, customs requirements and currency exchange regulations, collectively referred to as the trade control laws.</w:t>
      </w:r>
    </w:p>
    <w:p>
      <w:pPr>
        <w:spacing w:after="0" w:line="19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U.S., U.K. or other authorities could also have an adverse impact on our reputation, our business, financial condition, results of operations, stock price and prospects.</w:t>
      </w:r>
    </w:p>
    <w:p>
      <w:pPr>
        <w:spacing w:after="0" w:line="194"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17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will be subject to healthcare fraud and abuse and patient privacy regulation by both the federal government and the states and foreign jurisdictions in which we conduct our business.</w:t>
      </w:r>
    </w:p>
    <w:p>
      <w:pPr>
        <w:spacing w:after="0" w:line="1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As noted above, the significant costs of GDPR and Swiss law compliance, risk of regulatory enforcement actions and private litigation under, and other burdens imposed by these laws as well as under other regulatory schemes throughout the world related to privacy and security of health information and other personal and private data could have an adverse impact on our business, reputation, financial condition, and results of operations. We may also be subject to additional industry-specific privacy, cybersecurity, data protection, operational and information systems resilience, and artificial intelligence-related laws in Europe which may subject us to additional similar risks and impacts.</w:t>
      </w:r>
    </w:p>
    <w:p>
      <w:pPr>
        <w:spacing w:after="0" w:line="20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If we or our operations are found to be in violation of any federal or state healthcare law, or any other laws or regulations that apply to us, we may be subject to sanctions, including civil, criminal, and administrative penalties, damages, fines, disgorgement, suspension and debarment from government procurement and non-procurement programs,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w:t>
      </w:r>
    </w:p>
    <w:p>
      <w:pPr>
        <w:spacing w:after="0" w:line="193"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 approval activities and affect our ability to profitably sell any products for which we obtain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approval. We expect that current laws, as well as other healthcare reform measures that may be adopted in the future, may result in more rigorous coverage criteria and in additional downward pressure on the price that we may receive for any approved products, which could have a material adverse effect on customers for our products, if approved, and, accordingly, on our results of operations.</w:t>
      </w:r>
    </w:p>
    <w:p>
      <w:pPr>
        <w:spacing w:after="0" w:line="19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spacing w:after="0" w:line="191"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Compliance with the Drug Supply Chain Security Act, or DSCSA requirements may increase our operational expenses and impose significant administrative burdens. As a result of these and other new proposals, either in the present or future, we may determine to change our current manner of operation, provide additional benefits or change our contract arrangements, any of which could have a material adverse effect on our business, financial condition, results of operations, stock price and prospects.</w:t>
      </w:r>
    </w:p>
    <w:p>
      <w:pPr>
        <w:spacing w:after="0" w:line="191"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CMOs, or CROs may engage in misconduct or other improper activities, including noncompliance with regulatory standards and requirements, which could have a material adverse effect on our business.</w:t>
      </w:r>
    </w:p>
    <w:p>
      <w:pPr>
        <w:spacing w:after="0" w:line="17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independent contractors, consultants, commercial partners, principal investigators,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199"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1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 party claims.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0" w:lineRule="exact"/>
        <w:rPr>
          <w:sz w:val="20"/>
          <w:szCs w:val="20"/>
          <w:color w:val="auto"/>
        </w:rPr>
      </w:pPr>
    </w:p>
    <w:p>
      <w:pPr>
        <w:spacing w:after="0" w:line="210"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85"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and changing obligations related to privacy, data protection, security, operational resilience, and AI. Our actual or perceived failure to comply with such obligations could lead to government enforcement actions (which could include civil or criminal penalties), private litigation (including from business partners and/or affected individuals) and/or adverse publicity and could negatively affect our operating results and business.</w:t>
      </w:r>
    </w:p>
    <w:p>
      <w:pPr>
        <w:spacing w:after="0" w:line="18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(collectively, processing) sensitive information, including personal data, proprietary and confidential business data, trade secrets, intellectual property, data we collect about trial participants in connection with clinical trials, and sensitive third-party data. Our data processing activities subject us to numerous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and security obligations, such as various laws, regulations, guidance, industry standards, external and internal privacy and security policies, contracts, and other obligations that govern the processing of personal data by us and on our behalf.</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the United States, numerous federal, state, and local governments have enacted numerous data privacy and security laws and regulations, including personal data privacy laws, health information privacy laws, data breach notification laws, personal data privacy laws, and consumer protection laws. For example, HIPAA, as amended by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w:t>
      </w:r>
    </w:p>
    <w:p>
      <w:pPr>
        <w:spacing w:after="0" w:line="19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7"/>
          <w:szCs w:val="17"/>
          <w:color w:val="auto"/>
        </w:rPr>
        <w:t>Additionally, the California Consumer Privacy Act, or CCPA,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$7,988 per violation) and includes a private right of action for certain data breaches. Although there are some exemptions for clinical trial data and health information, the CCPA may impact our business activities and increase our compliance costs and potential liability.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0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apply to privacy, data protection, and security, operational resilience, and AI. For example, the European Union General Data Protection Regulation, the United Kingdom General Data Protection Regulation and related data protection, cybersecurity and e-privacy laws in the European Union, European Economic Area, or the EEA, and the United Kingdom, (collectively referred to herein as the “GDPR, and equivalent Swiss laws may apply to some or all of the clinical or other personal data obtained, transmitted, stored or otherwise processed by us (or on our behalf) relating to or originating from those jurisdictions. The GDPR contains potentially strict requirements with respect to lawfully processing personal data in connection with clinical trials and other business activities in the EEA, UK and Switzerland (collectively, “Europe”) (including with respect to obtaining consents, securing personal data, notifying personal data breaches to supervisory authorities and affected data subjects, and transferring personal data outside Europe).</w:t>
      </w:r>
    </w:p>
    <w:p>
      <w:pPr>
        <w:spacing w:after="0" w:line="200" w:lineRule="exact"/>
        <w:rPr>
          <w:sz w:val="20"/>
          <w:szCs w:val="20"/>
          <w:color w:val="auto"/>
        </w:rPr>
      </w:pPr>
    </w:p>
    <w:p>
      <w:pPr>
        <w:spacing w:after="0" w:line="2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Certain jurisdictions have enacted data localization laws and cross-border personal data transfer laws, which could make it more difficult to transfer information across jurisdictions (such as transferring or receiving personal data that originates in Europe, Switzerland or in other jurisdictions outside of the United States). Existing mechanisms that facilitate cross-border personal data transfers may change or be invalidated. For example, absent appropriate safeguards or other circumstances, the GDPR generally restricts the transfer of personal data to countries outside of the European Economic Area, or EEA, that the European Commission does not consider to provide an adequate level of data privacy and security, such as the United States. The European Commission released a set of “Standard Contractual Clauses,” or SCCs, that are designed to be a valid mechanism to facilitate personal data transfers out of the EEA to these jurisdictions. The SCCs, though approved by the European Commission as a suitable alternative, have faced challenges in European courts, and may be further challenged, suspended or invalidated. Other countries in Europe, such as the UK, similarly restrict personal data transfers outside of those jurisdictions to countries such as the United States that do not provide an adequate level of personal data protection.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GDPR and Swiss law allow supervisory authorities to potentially impose high regulatory fines (among other enforcement tools) in the event of violations, for example, under the GDPR up to 4% of global annual group turnover or EUR 20 million (whichever is the higher amount). Supervisory authorities in the European Union and EEA, and the United Kingdom may potentially levy such fines directly upon on the non-compliant entity and/or on the parent company (so-called “undertaking”) of the non-compliant entity. Supervisory authorities also possess other wide-ranging powers, including conducting unannounced inspections of our facilities and system (so-called “dawn raids”), and issuing “stop processing”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509905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to us. Separate from regulatory enforcement actions, individuals may bring private actions (including potentially group or representative actions) against us. There is no statutory cap set out in the GDPR on the amount of compensation or the damages which individuals may recover. Claims that we have violated individuals’ privacy and data protection rights, failed to comply with data protection laws, or breached our contractual obligations, even if we are not found liable, could be expensive and time consuming to defend and could result in adverse publicity that could harm our business.</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Overall, the significant costs of GDPR and Swiss law compliance, risk of regulatory enforcement actions and private litigation under, and other burdens imposed by these laws as well as under other regulatory schemes throughout the world related to privacy and security of health information and other personal and private data could have an adverse impact on our business, reputation, financial condition, and results of operations. We may also be subject to additional industry-specific privacy, cybersecurity, data protection, operational and information systems resilience, and artificial intelligence-related laws in Europe (including the EU AI Act) which may subject us to additional similar risks and impacts.</w:t>
      </w:r>
    </w:p>
    <w:p>
      <w:pPr>
        <w:spacing w:after="0" w:line="184"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 xml:space="preserve">See Part I, Item 1C, </w:t>
      </w: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in the Company's Annual Report on Form 10-K for the year ended March 31, 2026, which was filed with the U.S. Securities and Exchange Commission, or the SEC, on June 29, 2026, for more information regarding our cybersecurity risk management, strategy, and governance.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expand the size of our organization, and we may experience difficulties in managing this growth, which could disrupt our operations.</w:t>
      </w:r>
    </w:p>
    <w:p>
      <w:pPr>
        <w:spacing w:after="0" w:line="24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As our clinical development and commercialization plans and strategies develop, we expect to need additional managerial, operational, sales, marketing, financial and other personnel. Our future financial performance and our ability to commercialize any of our product candidates will depend, in part, on our ability to effectively manage any future growth, which would impose significant additional responsibilities on members of management and may divert their attention away from day-to-day activities.</w:t>
      </w:r>
    </w:p>
    <w:p>
      <w:pPr>
        <w:spacing w:after="0" w:line="19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as well as support for our financial reporting and accounting functions. If the services of independent organizations, advisors and consultants become unavailable to us or we are unable to effectively manage our outsourced activities, or if the quality or accuracy of such services is compromised for any reason, our clinical trials may be extended, delayed or terminated, we may not comply with our financial reporting and accounting obligations on a timely basis and we may not be able to obtain marketing approval of any product candidates or otherwise advance our business.</w:t>
      </w:r>
    </w:p>
    <w:p>
      <w:pPr>
        <w:spacing w:after="0" w:line="199"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qualified new employees and expanding our groups of consultants and contractors, we may not be able to successfully implement the tasks necessary to further develop and commercialize, if approved, any of our product candidates and, accordingly, may not achieve our research, development and commercialization goals.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retain our key employees and consultants, and to attract and motivate highly qualified personnel.</w:t>
      </w:r>
    </w:p>
    <w:p>
      <w:pPr>
        <w:spacing w:after="0" w:line="24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pharmaceutical industries depends upon our ability to attract, motivate, train and retain highly qualified managerial, scientific and medical personnel. We are highly dependent on our executive leadership team, as well as our other scientific, manufacturing, quality and medical personnel. The loss of the services of our key personnel and any of our other executive officers, key employees, and scientific and medical advisors, without our inability to find suitable replacements, could result in delays in product development and harm our business.</w:t>
      </w:r>
    </w:p>
    <w:p>
      <w:pPr>
        <w:spacing w:after="0" w:line="18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Changes in our management team resulting from the hiring or departure of executives and key employees from time to time could disrupt our business. These changes and any future significant leadership changes or senior management transitions involve inherent risk. Any failure to find a timely and suitable replacement and ensure an effective transition within executive leadership or senior management, including the effective onboarding, assimilation, and retention of our management team and key employees, could hinder our strategic planning, business execution and future performance. In addition, executive leadership transition periods can be disruptive and may result in a loss of personnel with deep institutional or technical knowledge, or result in changes to business strategy or objectives, and may negatively impact our operations and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518795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7"/>
          <w:szCs w:val="17"/>
          <w:color w:val="auto"/>
        </w:rPr>
        <w:t>with employees and third-parties due to increased or unanticipated expenses, operational inefficiencies, uncertainty regarding changes in strategy, decreased employee morale and productivity, and increased turnover.</w:t>
      </w:r>
    </w:p>
    <w:p>
      <w:pPr>
        <w:spacing w:after="0" w:line="19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To induce valuable employees to remain at our company, in addition to salary and cash incentives, we have provided stock option and restricted stock unit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generally provide for at-will employment, which means that any of our employees could leave our employment at any time, with or without notice.</w:t>
      </w:r>
    </w:p>
    <w:p>
      <w:pPr>
        <w:spacing w:after="0" w:line="192" w:lineRule="exact"/>
        <w:rPr>
          <w:sz w:val="20"/>
          <w:szCs w:val="20"/>
          <w:color w:val="auto"/>
        </w:rPr>
      </w:pPr>
    </w:p>
    <w:p>
      <w:pPr>
        <w:ind w:right="7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establish and maintain proper and effective internal control over financial reporting our ability to produce accurate and timely financial statements could be impaired.</w:t>
      </w:r>
    </w:p>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are required to maintain internal control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We continue to be engaged in a process to document and evaluate our internal control over financial reporting, which is both costly and challenging. In this regard, we will need to continue to incur substantial professional fees and internal costs for our accounting and finance functions, expend significant management efforts, continue to implement plans developed to address areas that we have identified as requiring improvement, validate through testing that controls are functioning as documented and implement a continuous reporting and improvement process for internal control over financial reporting.</w:t>
      </w:r>
    </w:p>
    <w:p>
      <w:pPr>
        <w:spacing w:after="0" w:line="200" w:lineRule="exact"/>
        <w:rPr>
          <w:sz w:val="20"/>
          <w:szCs w:val="20"/>
          <w:color w:val="auto"/>
        </w:rPr>
      </w:pPr>
    </w:p>
    <w:p>
      <w:pPr>
        <w:spacing w:after="0" w:line="21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Nasdaq or other regulatory authorities.</w:t>
      </w:r>
    </w:p>
    <w:p>
      <w:pPr>
        <w:spacing w:after="0" w:line="1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believe that any internal controls and procedures, no matter how well conceived and operated, can provide only reasonable, not absolute, assurance that the objectives of the control system are met. We may discover weaknesses in our system of internal financial and accounting controls and procedures that could result in a material misstatement of our consolidated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operations could suffer in the event of system failures or unauthorized or inappropriate use of or access to our systems.</w:t>
      </w:r>
    </w:p>
    <w:p>
      <w:pPr>
        <w:spacing w:after="0" w:line="2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(collectively, processing) sensitive information, including personal data, proprietary and confidential business data, trade secrets, intellectual property, data we collect about trial participants in connection with clinical trials, and sensitive third-party data. The secure maintenance of this information is critical to our operations and business strategy. Some of this information could be an attractive target of criminal attack or unauthorized access and use by third parties or insiders with a wide range of motives and expertise, including state sponsored actors, organized criminal groups, “hacktivists,” insiders, patient groups, disgruntled current or former employees and others. Cyber-attacks (including involving ransomware) are of ever-increasing levels of sophistication, and despite our security measures, our information technology, directors, officers and employees, and infrastructure may be vulnerable to such attacks or may be breached, including due to employee or contractor error or malfeasance.</w:t>
      </w:r>
    </w:p>
    <w:p>
      <w:pPr>
        <w:spacing w:after="0" w:line="20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The pervasiveness of cybersecurity and operational resilience incidents in general and the risks of cyber-crime are complex and continue to evolve. There can be no assurance that our security and operational resilience efforts and measures will be effective or that attempted security breaches or disruptions or operational resilience events would not be successful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damaging. Our internal computer systems and those of our contractors and consultants are vulnerable to damage, loss of access or availability, or interruption from computer viruses and other malware, ransomware, unauthorized or inappropriate access or use, natural disasters, pandemics, terrorism, war and telecommunication and electrical failures. Such events could cause interruption of our operations. For example, the loss of or loss of access to pre-clinical trial data or data from clinical trials for our product candidates could result in delays in our regulatory filings and development efforts, as well as delays in the commercialization of our products, and significantly increase our costs. To the extent that any disruption, operational resilience event, security breach or unauthorized or inappropriate use or access to our systems were to result in a loss of or damage to our data, or loss of availability to our data or systems, or inappropriate disclosure of confidential or proprietary information, including to patient, employee or vendor information, we could incur notification obligations to affected individuals and government agencies, liability, including potential lawsuits from patients, collaborators, employees, stockholders or other third parties and liability under foreign, federal and state laws that protect the privacy and security of personal information and our systems, and the development and potential commercialization of our product candidates could be delayed. For additional information, see the Risk Factor captioned, “</w:t>
      </w:r>
      <w:r>
        <w:rPr>
          <w:rFonts w:ascii="Times New Roman" w:cs="Times New Roman" w:eastAsia="Times New Roman" w:hAnsi="Times New Roman"/>
          <w:sz w:val="17"/>
          <w:szCs w:val="17"/>
          <w:i w:val="1"/>
          <w:iCs w:val="1"/>
          <w:color w:val="auto"/>
        </w:rPr>
        <w:t>We are subject to stringent and changing obligations related to privacy,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data protection, security, operational resilience, and AI. Our actual or perceived failure to comply with such obligations could lead to government enforcement actions (which could include civil or criminal penalties), private litigation (including from business partners and/or affected individuals) and/or adverse publicity and could negatively affect our operating results and business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 and general risks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may not be sustained.</w:t>
      </w:r>
    </w:p>
    <w:p>
      <w:pPr>
        <w:spacing w:after="0" w:line="23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Our common stock began trading on the Nasdaq Global Select Market on July 20, 2018 and we can provide no assurances that we will be able to continue to maintain an active trading market on the Nasdaq Global Select Market or any other exchange in the future. In the absence of an active trading market for shares of our common stock, our stockholders may not be able to sell their common stock at or above the price at which such stockholder acquired our common stock or at the time that they would like to sell. An inactive market may also impair our ability to raise capital by selling shares and may impair our ability to use our shares as consideration in commercial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common stock may be volatile and fluctuate substantially, which could result in substantial losses for purchasers of our common stock.</w:t>
      </w:r>
    </w:p>
    <w:p>
      <w:pPr>
        <w:spacing w:after="0" w:line="236"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Our stock price has been and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acquired. The market price for our common stock may be influenced by many factors, including:</w:t>
      </w:r>
    </w:p>
    <w:p>
      <w:pPr>
        <w:spacing w:after="0" w:line="211" w:lineRule="exact"/>
        <w:rPr>
          <w:sz w:val="20"/>
          <w:szCs w:val="20"/>
          <w:color w:val="auto"/>
        </w:rPr>
      </w:pPr>
    </w:p>
    <w:p>
      <w:pPr>
        <w:ind w:left="620" w:hanging="307"/>
        <w:spacing w:after="0"/>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the success of competitive products or technologies;</w:t>
      </w:r>
    </w:p>
    <w:p>
      <w:pPr>
        <w:spacing w:after="0" w:line="13"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success in the commercial launch of TUDRIQEV;</w:t>
      </w:r>
    </w:p>
    <w:p>
      <w:pPr>
        <w:spacing w:after="0" w:line="1"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further clinical trials of TUDRIQEV and our product candidates or those of our competitors;</w:t>
      </w:r>
    </w:p>
    <w:p>
      <w:pPr>
        <w:spacing w:after="0" w:line="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developments or disputes concerning patent applications, issued patents or other proprietary rights;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recruitment or departure of key personnel;</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level of expenses related to the further development of TUDRIQEV and our product candidates or clinical development programs;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results of our efforts to discover, develop, acquire or in-license additional product candidates or drugs;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actual or anticipated changes in estimates as to financial results, development timelines or recommendations by securities analysts;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variations in our financial results or those of companies that are perceived to be similar to us;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the structure of healthcare payment systems;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general economic, industry and market conditions;</w:t>
      </w:r>
    </w:p>
    <w:p>
      <w:pPr>
        <w:spacing w:after="0" w:line="22" w:lineRule="exact"/>
        <w:rPr>
          <w:rFonts w:ascii="Times New Roman" w:cs="Times New Roman" w:eastAsia="Times New Roman" w:hAnsi="Times New Roman"/>
          <w:sz w:val="21"/>
          <w:szCs w:val="21"/>
          <w:color w:val="auto"/>
        </w:rPr>
      </w:pPr>
    </w:p>
    <w:p>
      <w:pPr>
        <w:ind w:left="620" w:right="480" w:hanging="307"/>
        <w:spacing w:after="0" w:line="235" w:lineRule="auto"/>
        <w:tabs>
          <w:tab w:leader="none" w:pos="61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political and economic instability, the possibility of an economic recession, international hostilities, acts of terrorism, governmental restrictions and sanctions, inflation, global supply chain disruptions, trade relationships and military and political alliances; and</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other factors described in this “Risk factors”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7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sales of our products, if approved. These upfront and milestone payments may vary significantly from period to period and any such variance could cause a significant fluctuation in our operating results from one period to the next.</w:t>
      </w:r>
    </w:p>
    <w:p>
      <w:pPr>
        <w:spacing w:after="0" w:line="19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97"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7"/>
          <w:szCs w:val="17"/>
          <w:color w:val="auto"/>
        </w:rPr>
        <w:t>Furthermore, our operating results may fluctuate due to a variety of other factors, many of which are outside of our control and may be difficult to predict, including the following:</w:t>
      </w:r>
    </w:p>
    <w:p>
      <w:pPr>
        <w:spacing w:after="0" w:line="216" w:lineRule="exact"/>
        <w:rPr>
          <w:sz w:val="20"/>
          <w:szCs w:val="20"/>
          <w:color w:val="auto"/>
        </w:rPr>
      </w:pPr>
    </w:p>
    <w:p>
      <w:pPr>
        <w:ind w:left="620" w:right="240" w:hanging="307"/>
        <w:spacing w:after="0" w:line="235" w:lineRule="auto"/>
        <w:tabs>
          <w:tab w:leader="none" w:pos="61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timing and cost of, and level of investment in, research and development activities relating to our current and any future product candidates, which will change from time to time;</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total expenses we incur in connection with equipping and operating our manufacturing facility;</w:t>
      </w:r>
    </w:p>
    <w:p>
      <w:pPr>
        <w:spacing w:after="0" w:line="10" w:lineRule="exact"/>
        <w:rPr>
          <w:rFonts w:ascii="Times New Roman" w:cs="Times New Roman" w:eastAsia="Times New Roman" w:hAnsi="Times New Roman"/>
          <w:sz w:val="21"/>
          <w:szCs w:val="21"/>
          <w:color w:val="auto"/>
        </w:rPr>
      </w:pPr>
    </w:p>
    <w:p>
      <w:pPr>
        <w:ind w:left="620" w:right="20" w:hanging="307"/>
        <w:spacing w:after="0" w:line="228" w:lineRule="auto"/>
        <w:tabs>
          <w:tab w:leader="none" w:pos="615"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engage clinical trial sites in the U.S. and in foreign territories, obtain the approval for conducting our clinical trials in foreign territories from their regulatory authorities, as well as our ability to enroll the number of patients necessary in our clinical trials and the timing of enrollment;</w:t>
      </w:r>
    </w:p>
    <w:p>
      <w:pPr>
        <w:spacing w:after="0" w:line="22" w:lineRule="exact"/>
        <w:rPr>
          <w:rFonts w:ascii="Arial" w:cs="Arial" w:eastAsia="Arial" w:hAnsi="Arial"/>
          <w:sz w:val="21"/>
          <w:szCs w:val="21"/>
          <w:color w:val="auto"/>
        </w:rPr>
      </w:pPr>
    </w:p>
    <w:p>
      <w:pPr>
        <w:ind w:left="620" w:right="360" w:hanging="307"/>
        <w:spacing w:after="0" w:line="235" w:lineRule="auto"/>
        <w:tabs>
          <w:tab w:leader="none" w:pos="615"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the cost of manufacturing our current and any future product candidates, which may vary depending on the FDA’s and comparable foreign regulatory authorities’ guidelines and requirements, the quantity of production and the terms of any agreements with manufacturers;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expenditures that we will or may incur to acquire or develop additional product candidates and technologies;</w:t>
      </w:r>
    </w:p>
    <w:p>
      <w:pPr>
        <w:spacing w:after="0" w:line="34" w:lineRule="exact"/>
        <w:rPr>
          <w:rFonts w:ascii="Times New Roman" w:cs="Times New Roman" w:eastAsia="Times New Roman" w:hAnsi="Times New Roman"/>
          <w:sz w:val="21"/>
          <w:szCs w:val="21"/>
          <w:color w:val="auto"/>
        </w:rPr>
      </w:pPr>
    </w:p>
    <w:p>
      <w:pPr>
        <w:ind w:left="620" w:right="380" w:hanging="307"/>
        <w:spacing w:after="0" w:line="235" w:lineRule="auto"/>
        <w:tabs>
          <w:tab w:leader="none" w:pos="61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timing and outcomes of further clinical studies for TUDRIQEV and clinical and preclinical studies for our other product candidates or competing product candidates;</w:t>
      </w:r>
    </w:p>
    <w:p>
      <w:pPr>
        <w:spacing w:after="0" w:line="23" w:lineRule="exact"/>
        <w:rPr>
          <w:rFonts w:ascii="Times New Roman" w:cs="Times New Roman" w:eastAsia="Times New Roman" w:hAnsi="Times New Roman"/>
          <w:sz w:val="21"/>
          <w:szCs w:val="21"/>
          <w:color w:val="auto"/>
        </w:rPr>
      </w:pPr>
    </w:p>
    <w:p>
      <w:pPr>
        <w:ind w:left="620" w:right="500" w:hanging="307"/>
        <w:spacing w:after="0" w:line="235" w:lineRule="auto"/>
        <w:tabs>
          <w:tab w:leader="none" w:pos="61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competition from existing and potential future products that compete with TUDRIQEV and our product candidates, and changes in the competitive landscape of our industry, including consolidation among our competitors or partners;</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delays in regulatory review or approval of any of our product candidates;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level of demand for TUDRIQEV and our product candidates, if approved, which may fluctuate significantly and be difficult to predict;</w:t>
      </w:r>
    </w:p>
    <w:p>
      <w:pPr>
        <w:spacing w:after="0" w:line="22" w:lineRule="exact"/>
        <w:rPr>
          <w:rFonts w:ascii="Times New Roman" w:cs="Times New Roman" w:eastAsia="Times New Roman" w:hAnsi="Times New Roman"/>
          <w:sz w:val="21"/>
          <w:szCs w:val="21"/>
          <w:color w:val="auto"/>
        </w:rPr>
      </w:pPr>
    </w:p>
    <w:p>
      <w:pPr>
        <w:ind w:left="620" w:hanging="307"/>
        <w:spacing w:after="0" w:line="242" w:lineRule="auto"/>
        <w:tabs>
          <w:tab w:leader="none" w:pos="61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risk/benefit profile, cost and reimbursement policies with respect to our product candidates, if approved, and existing and potential future products that compete with TUDRIQEV and our product candidates;</w:t>
      </w:r>
    </w:p>
    <w:p>
      <w:pPr>
        <w:spacing w:after="0" w:line="23" w:lineRule="exact"/>
        <w:rPr>
          <w:rFonts w:ascii="Times New Roman" w:cs="Times New Roman" w:eastAsia="Times New Roman" w:hAnsi="Times New Roman"/>
          <w:sz w:val="21"/>
          <w:szCs w:val="21"/>
          <w:color w:val="auto"/>
        </w:rPr>
      </w:pPr>
    </w:p>
    <w:p>
      <w:pPr>
        <w:ind w:left="620" w:right="340" w:hanging="307"/>
        <w:spacing w:after="0" w:line="235" w:lineRule="auto"/>
        <w:tabs>
          <w:tab w:leader="none" w:pos="61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ability to commercialize any of our product candidates, if approved, inside and outside of the United States, either independently or working with third parties;</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success of and our ability to establish and maintain collaborations, licensing or other arrangements;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ability to adequately support future growth;</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potential unforeseen business disruptions that increase our costs or expenses;</w:t>
      </w:r>
    </w:p>
    <w:p>
      <w:pPr>
        <w:spacing w:after="0" w:line="10" w:lineRule="exact"/>
        <w:rPr>
          <w:rFonts w:ascii="Times New Roman" w:cs="Times New Roman" w:eastAsia="Times New Roman" w:hAnsi="Times New Roman"/>
          <w:sz w:val="21"/>
          <w:szCs w:val="21"/>
          <w:color w:val="auto"/>
        </w:rPr>
      </w:pPr>
    </w:p>
    <w:p>
      <w:pPr>
        <w:ind w:left="620" w:right="320" w:hanging="307"/>
        <w:spacing w:after="0" w:line="232" w:lineRule="auto"/>
        <w:tabs>
          <w:tab w:leader="none" w:pos="615"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natural disasters, public health crises, political and economic crises, negative global climate patterns, or other catastrophic events, the possibility of an economic recession, international hostilities and trade disruptions, including, but not limited to, those resulting from the current U.S. presidential administration, ongoing military conflicts, acts of terrorism, governmental restrictions and sanctions, inflation, global supply chain disruptions, trade relationships and military and political alliances;</w:t>
      </w:r>
    </w:p>
    <w:p>
      <w:pPr>
        <w:spacing w:after="0" w:line="5" w:lineRule="exact"/>
        <w:rPr>
          <w:rFonts w:ascii="Arial" w:cs="Arial" w:eastAsia="Arial" w:hAnsi="Arial"/>
          <w:sz w:val="21"/>
          <w:szCs w:val="21"/>
          <w:color w:val="auto"/>
        </w:rPr>
      </w:pPr>
    </w:p>
    <w:p>
      <w:pPr>
        <w:ind w:left="620" w:hanging="307"/>
        <w:spacing w:after="0"/>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future accounting pronouncements or changes in our accounting policies; and</w:t>
      </w:r>
    </w:p>
    <w:p>
      <w:pPr>
        <w:spacing w:after="0" w:line="13"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changing and volatile global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519430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and/or earnings guidance we may provide.</w:t>
      </w:r>
    </w:p>
    <w:p>
      <w:pPr>
        <w:spacing w:after="0" w:line="19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in how we use our cash, cash equivalents and investments, and may not use these resources effectively, which could affect our results of operations and cause our stock price to decline.</w:t>
      </w:r>
    </w:p>
    <w:p>
      <w:pPr>
        <w:spacing w:after="0" w:line="1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Our management has considerable discretion in the application of our cash, cash equivalents and investments. We intend to use our resources to fund our preclinical and clinical development programs as well as for general corporate purposes, including working capital requirements and other operating expenses. As a result, investors will be relying upon management’s judgment with only limited information about our specific intentions for the use of our resources. We may use our resources for purposes that do not yield a significant return or any return at all for our stockholders. In addition, pending their use, we may invest our cash, cash equivalents and investments in a manner that does not produce income or that loses value.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so any returns will be limited to the value of our stock.</w:t>
      </w:r>
    </w:p>
    <w:p>
      <w:pPr>
        <w:spacing w:after="0" w:line="24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common stock in the public market could cause our stock price to fall.</w:t>
      </w:r>
    </w:p>
    <w:p>
      <w:pPr>
        <w:spacing w:after="0" w:line="24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If our existing stockholders sell, or indicate an intention to sell, substantial amounts of our common stock in the public market after the expiration of contractual or legal restrictions on resale lapse, the market price of our common stock could decline. These sales may make it more difficult for us to sell equity or equity related securities in the future at a time and price that we deem appropriate, or to use equity as consideration for future acquisition.</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addition, a significant number of shares of common stock that are either subject to outstanding options and restricted stock units, reserved for future issuance under our equity incentive plans or subject to outstanding warrants are eligible for sale in the public market to the extent permitted by the provisions of various vesting schedules and Rule 144 and Rule 701 under the Securities Act, including our ESPP if activated. If these additional shares of common stock are sold, or if it is perceived that they will be sold, in the public market, the market price of our common stock could decline.</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Certain holders of shares of our common stock, or their permitted transferees, are entitled to rights with respect to the registration under the Securities Act of shares of our common stock pursuant to the amended and restated investors’ rights agreement by and among us and certain of our stockholders.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8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7"/>
          <w:szCs w:val="17"/>
          <w:color w:val="auto"/>
        </w:rPr>
        <w:t>We may sell shares of our common stock in “at-the-market” offerings pursuant to a Sales Agreement entered into on August 3, 2023, and subsequently amended on May 16, 2024, November 25, 2024 and May 22, 2025, with Leerink Partners LLC, or the 2023 Sales Agreement. The sale of a substantial number of shares of our common stock pursuant to the 2023 Sales Agreement, or anticipation of such sales, could cause the trading price of our common stock to decline or make it more difficult for us to sell equity or equity-related securities in the future at a time and at a price that we might otherwise desire. In addition, issuances of any shares of our common stock sold pursuant to the 2023 Sales Agreement will have a dilutive effect on our existing stockholders.</w:t>
      </w:r>
    </w:p>
    <w:p>
      <w:pPr>
        <w:spacing w:after="0" w:line="208"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stockholders, restrict our operations or require us to relinquish rights to our technologies or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638810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40" w:firstLine="387"/>
        <w:spacing w:after="0" w:line="270"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common stock or securities convertible, exercisable or exchangeable into common stock, our existing stockholders’ interest will be diluted.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91"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7"/>
          <w:szCs w:val="17"/>
          <w:color w:val="auto"/>
        </w:rPr>
        <w:t>If we are unable to raise additional funds through equity or debt financings when needed, we may be required to grant rights to develop and market one or more of our product candidates or technologies that we would otherwise prefer to develop and market ourselves.</w:t>
      </w:r>
    </w:p>
    <w:p>
      <w:pPr>
        <w:spacing w:after="0" w:line="171"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72" w:lineRule="exact"/>
        <w:rPr>
          <w:sz w:val="20"/>
          <w:szCs w:val="20"/>
          <w:color w:val="auto"/>
        </w:rPr>
      </w:pPr>
    </w:p>
    <w:p>
      <w:pPr>
        <w:ind w:right="880"/>
        <w:spacing w:after="0" w:line="287" w:lineRule="auto"/>
        <w:rPr>
          <w:sz w:val="20"/>
          <w:szCs w:val="20"/>
          <w:color w:val="auto"/>
        </w:rPr>
      </w:pPr>
      <w:r>
        <w:rPr>
          <w:rFonts w:ascii="Times New Roman" w:cs="Times New Roman" w:eastAsia="Times New Roman" w:hAnsi="Times New Roman"/>
          <w:sz w:val="17"/>
          <w:szCs w:val="17"/>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97"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increased operating expenses and cash requirements;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assumption of additional indebtedness or contingent liabilities;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issuance of our equity securities;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assimilation of operations, intellectual property and products of an acquired company, including difficulties associated with integrating new personnel;</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diversion of our management’s attention from our existing product programs and initiatives in pursuing such a strategic merger or acquisition;</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retention of key employees, the loss of key personnel, and uncertainties in our ability to maintain key business relationships;</w:t>
      </w:r>
    </w:p>
    <w:p>
      <w:pPr>
        <w:spacing w:after="0" w:line="22" w:lineRule="exact"/>
        <w:rPr>
          <w:rFonts w:ascii="Times New Roman" w:cs="Times New Roman" w:eastAsia="Times New Roman" w:hAnsi="Times New Roman"/>
          <w:sz w:val="21"/>
          <w:szCs w:val="21"/>
          <w:color w:val="auto"/>
        </w:rPr>
      </w:pPr>
    </w:p>
    <w:p>
      <w:pPr>
        <w:ind w:left="620" w:right="180" w:hanging="307"/>
        <w:spacing w:after="0" w:line="235" w:lineRule="auto"/>
        <w:tabs>
          <w:tab w:leader="none" w:pos="61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inability to generate revenue from acquired technology and/or products sufficient to meet our objectives in undertaking the acquisition or even to</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offset the associated acquisition and maintenance costs.</w:t>
      </w:r>
    </w:p>
    <w:p>
      <w:pPr>
        <w:spacing w:after="0" w:line="1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 addition, if we undertake acquisitions, we may issue dilutive securities, assume or incur debt obligations, incur large one-time expenses and acquire intangible assets that could result in significant future amortization expense or intangible asset impairment charges. Moreover, we may not be able to locate suitable acquisition opportunities and this inability could impair our ability to grow or obtain access to technology or products that may be important to the development of our business. Any of the foregoing may materially harm our business, financial condition, results of operations, stock price and prospects</w:t>
      </w:r>
    </w:p>
    <w:p>
      <w:pPr>
        <w:spacing w:after="0" w:line="197"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Unfavorable market and economic conditions may have serious adverse consequences on our business, financial condition, results of operations, stock price and prospects.</w:t>
      </w:r>
    </w:p>
    <w:p>
      <w:pPr>
        <w:spacing w:after="0" w:line="1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economic climate and financial market conditions could adversely impact our business.</w:t>
      </w:r>
    </w:p>
    <w:p>
      <w:pPr>
        <w:spacing w:after="0" w:line="2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Global financial markets have been experiencing extreme disruption in recent months, including, among other things, extreme volatility in securities prices. We are unable to predict the likely duration and severity of the current disruptions in financial markets and adverse economic conditions throughout the world. These economic developments affect businesses such as ours and those of third parties on which we rely in a number of ways that could result in unfavorable consequences to us. Current economic conditions or a deepening economic downturn in the United States and elsewhere may reduce our ability to access capital, which could negatively impact our short-term and long-term liquidity.</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Although we are not aware of any downgrades, material losses, or other significant deterioration in the fair value of our cash equivalents or short-term investments, we cannot assure you that deterioration of the global credit and financial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would not negatively impact our current portfolio of cash equivalents or short-term investments, or our ability to meet our financing objectives. Furthermore, our stock price may decline due, in part, to the volatility of the stock market and general economic downturns.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rate fluctuations may materially affect our results of operations and financial conditions.</w:t>
      </w:r>
    </w:p>
    <w:p>
      <w:pPr>
        <w:spacing w:after="0" w:line="2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Owing to the international scope of our operations, fluctuations in exchange rates, particularly between the U.S. dollar and the British pound and the euro, may adversely affect us. Although we are based in the United States, we have significant research and development operations in the United Kingdom, and source consulting and other services in the United Kingdom and the European Union. As a result, our business and the price of our common stock may be affected by fluctuations in foreign exchange rates, which may have a significant impact on our results of operations and cash flows from period to period. Currently, we do not have any exchange rate hedging arrangements in place.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and geopolitical events could adversely affect our business, financial condition or results of operations.</w:t>
      </w:r>
    </w:p>
    <w:p>
      <w:pPr>
        <w:spacing w:after="0" w:line="236"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and trade conflicts, including the ongoing military conflicts between Russia-Ukraine and Israel-Hamas and the ongoing trade conflict between U.S. and China, terrorism, or other geopolitical events. Sanctions imposed by the United States and other countries in response to such conflicts may also adversely impact our clinical trials, the financial markets and the global economy, and any economic countermeasures by the affected countries or others could exacerbate market and economic instability. A weak or declining economy or political disruption, including any international trade disputes, economic instability, changes in tax laws and regulations and additional tariffs, including based on the</w:t>
      </w:r>
    </w:p>
    <w:p>
      <w:pPr>
        <w:spacing w:after="0" w:line="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current U.S. presidential administration, export controls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17"/>
          <w:szCs w:val="17"/>
          <w:color w:val="auto"/>
        </w:rPr>
        <w:t xml:space="preserve"> and increased interest rates could disrupt or otherwise adversely impact our operations and those of third parties upon which we rely. Although we do not currently operate in Russia, Ukraine, Israel or China, those conflicts may impact, and if any of those conflicts broaden it may further impact, the markets, countries or territories in which we do operate or intend to operate, which could have a negative impact on our ability to achieve our objectives or timelines.</w:t>
      </w:r>
    </w:p>
    <w:p>
      <w:pPr>
        <w:spacing w:after="0" w:line="209"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increasing focus on environmental sustainability and social initiatives could increase our costs, harm our reputation and adversely impact our financial results.</w:t>
      </w:r>
    </w:p>
    <w:p>
      <w:pPr>
        <w:spacing w:after="0" w:line="1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 materially adverse impact on our business and financial condition.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9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Hercules Loan and Security Agreement contains certain covenants that could adversely affect our operations and, if an event of default were to occur, we could be forced to repay any outstanding indebtedness sooner than planned and possibly at a time when we do not have sufficient capital to meet this obligation.</w:t>
      </w:r>
    </w:p>
    <w:p>
      <w:pPr>
        <w:spacing w:after="0" w:line="17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On October 6, 2022 we and certain of our subsidiaries entered into a Loan and Security Agreement, or the Hercules Loan Agreement with Hercules Capital, Inc., or Hercules, in its capacity as administrative agent and collateral agent and as a lender, which such agreement was subsequently amended in June 2023, December 2023, January 2026, and September 2026. The Hercules Loan Agreement contains certain affirmative and negative covenants that could prevent us from taking certain actions without the consent of our lenders. These covenants may limit our flexibility in operating our business and our ability to take actions that might be advantageous to us and our stockholders. The Hercules Loan Agreement also contains customary affirmative and negative covenants that, among other things, may limit our ability, subject to certain exceptions, to incur indebtedness, grant liens, enter into a merger or consolidation, enter into transactions with affiliates, or sell all or a portion of our property, business or assets. The Hercules Loan Agreement contains customary events of default. Upon the occurrence and continuation of an event of default, all amounts due under the Hercules Loan Agreement become (in the case of an insolvency or bankruptcy event), or may become (in the case of all other events of default and at the option of Hercules), immediately due and payable. If an event of default under the Hercules Loan Agreement should occur, we could be required to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511175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right="540"/>
        <w:spacing w:after="0" w:line="254" w:lineRule="auto"/>
        <w:rPr>
          <w:sz w:val="20"/>
          <w:szCs w:val="20"/>
          <w:color w:val="auto"/>
        </w:rPr>
      </w:pPr>
      <w:r>
        <w:rPr>
          <w:rFonts w:ascii="Times New Roman" w:cs="Times New Roman" w:eastAsia="Times New Roman" w:hAnsi="Times New Roman"/>
          <w:sz w:val="17"/>
          <w:szCs w:val="17"/>
          <w:color w:val="auto"/>
        </w:rPr>
        <w:t>repay any outstanding indebtedness. If we are unable to repay such debt, the lenders would be able to foreclose on the secured collateral, including our cash accounts, and take other remedies permitted under the Hercules Loan Agreement. Even if we are able to repay any indebtedness on an event of default, the repayment of these sums may significantly reduce our working capital and impair our ability to operate as planned.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0" w:lineRule="exact"/>
        <w:rPr>
          <w:sz w:val="20"/>
          <w:szCs w:val="20"/>
          <w:color w:val="auto"/>
        </w:rPr>
      </w:pPr>
    </w:p>
    <w:p>
      <w:pPr>
        <w:ind w:right="400" w:firstLine="619"/>
        <w:spacing w:after="0" w:line="249" w:lineRule="auto"/>
        <w:rPr>
          <w:sz w:val="20"/>
          <w:szCs w:val="20"/>
          <w:color w:val="auto"/>
        </w:rPr>
      </w:pPr>
      <w:r>
        <w:rPr>
          <w:rFonts w:ascii="Times New Roman" w:cs="Times New Roman" w:eastAsia="Times New Roman" w:hAnsi="Times New Roman"/>
          <w:sz w:val="17"/>
          <w:szCs w:val="17"/>
          <w:color w:val="auto"/>
        </w:rPr>
        <w:t>There have been no unregistered sales of securities other than previously disclosed by us in a Quarterly Report on Form 10-Q or a Current Report on Form 8-K.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7"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None of our directors or officers adopted, modified, or terminated a “Rule 10b5-1 trading arrangement” or “non-Rule 10b5-1 trading arrangement,” in each case as defined in Item 408 of Regulation S-K, during the three months ended September 30, 2026.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8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8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2"/>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60" w:type="dxa"/>
            <w:vAlign w:val="bottom"/>
          </w:tcPr>
          <w:p>
            <w:pPr>
              <w:spacing w:after="0"/>
              <w:rPr>
                <w:sz w:val="18"/>
                <w:szCs w:val="18"/>
                <w:color w:val="auto"/>
              </w:rPr>
            </w:pPr>
          </w:p>
        </w:tc>
        <w:tc>
          <w:tcPr>
            <w:tcW w:w="5480" w:type="dxa"/>
            <w:vAlign w:val="bottom"/>
            <w:gridSpan w:val="13"/>
          </w:tcPr>
          <w:p>
            <w:pPr>
              <w:ind w:left="15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760" w:type="dxa"/>
            <w:vAlign w:val="bottom"/>
          </w:tcPr>
          <w:p>
            <w:pPr>
              <w:ind w:left="8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Number</w:t>
            </w:r>
          </w:p>
        </w:tc>
      </w:tr>
      <w:tr>
        <w:trPr>
          <w:trHeight w:val="184"/>
        </w:trPr>
        <w:tc>
          <w:tcPr>
            <w:tcW w:w="13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3.1*</w:t>
            </w:r>
          </w:p>
        </w:tc>
        <w:tc>
          <w:tcPr>
            <w:tcW w:w="5780" w:type="dxa"/>
            <w:vAlign w:val="bottom"/>
            <w:tcBorders>
              <w:bottom w:val="single" w:sz="8" w:color="0000FF"/>
            </w:tcBorders>
            <w:gridSpan w:val="7"/>
          </w:tcPr>
          <w:p>
            <w:pPr>
              <w:spacing w:after="0" w:line="184" w:lineRule="exact"/>
              <w:rPr>
                <w:sz w:val="20"/>
                <w:szCs w:val="20"/>
                <w:color w:val="auto"/>
              </w:rPr>
            </w:pPr>
            <w:r>
              <w:rPr>
                <w:rFonts w:ascii="Times New Roman" w:cs="Times New Roman" w:eastAsia="Times New Roman" w:hAnsi="Times New Roman"/>
                <w:sz w:val="17"/>
                <w:szCs w:val="17"/>
                <w:color w:val="0000FF"/>
              </w:rPr>
              <w:t>Third Amended and Restated Certificate of Incorporation of Replimune Group, Inc.</w:t>
            </w:r>
          </w:p>
        </w:tc>
        <w:tc>
          <w:tcPr>
            <w:tcW w:w="560" w:type="dxa"/>
            <w:vAlign w:val="bottom"/>
            <w:gridSpan w:val="7"/>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48"/>
        </w:trPr>
        <w:tc>
          <w:tcPr>
            <w:tcW w:w="1340" w:type="dxa"/>
            <w:vAlign w:val="bottom"/>
          </w:tcPr>
          <w:p>
            <w:pPr>
              <w:spacing w:after="0"/>
              <w:rPr>
                <w:sz w:val="12"/>
                <w:szCs w:val="12"/>
                <w:color w:val="auto"/>
              </w:rPr>
            </w:pPr>
          </w:p>
        </w:tc>
        <w:tc>
          <w:tcPr>
            <w:tcW w:w="6340" w:type="dxa"/>
            <w:vAlign w:val="bottom"/>
            <w:gridSpan w:val="14"/>
          </w:tcPr>
          <w:p>
            <w:pPr>
              <w:spacing w:after="0" w:line="148" w:lineRule="exact"/>
              <w:rPr>
                <w:sz w:val="20"/>
                <w:szCs w:val="20"/>
                <w:color w:val="auto"/>
              </w:rPr>
            </w:pPr>
            <w:r>
              <w:rPr>
                <w:rFonts w:ascii="Times New Roman" w:cs="Times New Roman" w:eastAsia="Times New Roman" w:hAnsi="Times New Roman"/>
                <w:sz w:val="17"/>
                <w:szCs w:val="17"/>
                <w:color w:val="0000FF"/>
              </w:rPr>
              <w:t>(conformed to include the Certificate of Amendment to the Third Amended and Restated</w:t>
            </w: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6120" w:type="dxa"/>
            <w:vAlign w:val="bottom"/>
            <w:tcBorders>
              <w:top w:val="single" w:sz="8" w:color="0000FF"/>
            </w:tcBorders>
            <w:gridSpan w:val="12"/>
          </w:tcPr>
          <w:p>
            <w:pPr>
              <w:spacing w:after="0" w:line="148" w:lineRule="exact"/>
              <w:rPr>
                <w:sz w:val="20"/>
                <w:szCs w:val="20"/>
                <w:color w:val="auto"/>
              </w:rPr>
            </w:pPr>
            <w:r>
              <w:rPr>
                <w:rFonts w:ascii="Times New Roman" w:cs="Times New Roman" w:eastAsia="Times New Roman" w:hAnsi="Times New Roman"/>
                <w:sz w:val="17"/>
                <w:szCs w:val="17"/>
                <w:color w:val="0000FF"/>
              </w:rPr>
              <w:t>Certificate of Incorporation filed on September 15, 2026).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0"/>
        </w:trPr>
        <w:tc>
          <w:tcPr>
            <w:tcW w:w="1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w:t>
            </w:r>
          </w:p>
        </w:tc>
        <w:tc>
          <w:tcPr>
            <w:tcW w:w="6340" w:type="dxa"/>
            <w:vAlign w:val="bottom"/>
            <w:gridSpan w:val="14"/>
            <w:shd w:val="clear" w:color="auto" w:fill="CCEEFF"/>
          </w:tcPr>
          <w:p>
            <w:pPr>
              <w:spacing w:after="0" w:line="181"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Certificate of Amendment to the Third Amended and Restated Certificate of</w:t>
              </w:r>
            </w:hyperlink>
          </w:p>
        </w:tc>
        <w:tc>
          <w:tcPr>
            <w:tcW w:w="6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8-K</w:t>
            </w:r>
          </w:p>
        </w:tc>
        <w:tc>
          <w:tcPr>
            <w:tcW w:w="176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7"/>
                <w:szCs w:val="17"/>
                <w:color w:val="auto"/>
              </w:rPr>
              <w:t>September 16, 2026</w:t>
            </w:r>
          </w:p>
        </w:tc>
        <w:tc>
          <w:tcPr>
            <w:tcW w:w="1120" w:type="dxa"/>
            <w:vAlign w:val="bottom"/>
            <w:shd w:val="clear" w:color="auto" w:fill="CCEEFF"/>
          </w:tcPr>
          <w:p>
            <w:pPr>
              <w:jc w:val="right"/>
              <w:ind w:right="594"/>
              <w:spacing w:after="0" w:line="181" w:lineRule="exact"/>
              <w:rPr>
                <w:sz w:val="20"/>
                <w:szCs w:val="20"/>
                <w:color w:val="auto"/>
              </w:rPr>
            </w:pPr>
            <w:r>
              <w:rPr>
                <w:rFonts w:ascii="Times New Roman" w:cs="Times New Roman" w:eastAsia="Times New Roman" w:hAnsi="Times New Roman"/>
                <w:sz w:val="17"/>
                <w:szCs w:val="17"/>
                <w:color w:val="auto"/>
              </w:rPr>
              <w:t>3.1</w:t>
            </w:r>
          </w:p>
        </w:tc>
      </w:tr>
      <w:tr>
        <w:trPr>
          <w:trHeight w:val="148"/>
        </w:trPr>
        <w:tc>
          <w:tcPr>
            <w:tcW w:w="1340" w:type="dxa"/>
            <w:vAlign w:val="bottom"/>
            <w:tcBorders>
              <w:top w:val="single" w:sz="8" w:color="CCEEFF"/>
            </w:tcBorders>
            <w:shd w:val="clear" w:color="auto" w:fill="CCEEFF"/>
          </w:tcPr>
          <w:p>
            <w:pPr>
              <w:spacing w:after="0"/>
              <w:rPr>
                <w:sz w:val="12"/>
                <w:szCs w:val="12"/>
                <w:color w:val="auto"/>
              </w:rPr>
            </w:pPr>
          </w:p>
        </w:tc>
        <w:tc>
          <w:tcPr>
            <w:tcW w:w="5260" w:type="dxa"/>
            <w:vAlign w:val="bottom"/>
            <w:tcBorders>
              <w:top w:val="single" w:sz="8" w:color="0000FF"/>
            </w:tcBorders>
            <w:gridSpan w:val="6"/>
            <w:shd w:val="clear" w:color="auto" w:fill="CCEEFF"/>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Incorporation of Replimune Group, Inc., as filed with the Secretary of State</w:t>
              </w:r>
            </w:hyperlink>
          </w:p>
        </w:tc>
        <w:tc>
          <w:tcPr>
            <w:tcW w:w="1080" w:type="dxa"/>
            <w:vAlign w:val="bottom"/>
            <w:tcBorders>
              <w:top w:val="single" w:sz="8" w:color="CCEEFF"/>
            </w:tcBorders>
            <w:gridSpan w:val="8"/>
            <w:shd w:val="clear" w:color="auto" w:fill="CCEEFF"/>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of the State</w:t>
              </w:r>
            </w:hyperlink>
          </w:p>
        </w:tc>
        <w:tc>
          <w:tcPr>
            <w:tcW w:w="68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r>
      <w:tr>
        <w:trPr>
          <w:trHeight w:val="179"/>
        </w:trPr>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2540" w:type="dxa"/>
            <w:vAlign w:val="bottom"/>
            <w:tcBorders>
              <w:top w:val="single" w:sz="8" w:color="0000FF"/>
              <w:bottom w:val="single" w:sz="8" w:color="0000FF"/>
            </w:tcBorders>
            <w:gridSpan w:val="2"/>
            <w:shd w:val="clear" w:color="auto" w:fill="CCEEFF"/>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of Delaware on September 15, 2026.</w:t>
              </w:r>
            </w:hyperlink>
          </w:p>
        </w:tc>
        <w:tc>
          <w:tcPr>
            <w:tcW w:w="350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6340" w:type="dxa"/>
            <w:vAlign w:val="bottom"/>
            <w:gridSpan w:val="14"/>
          </w:tcPr>
          <w:p>
            <w:pPr>
              <w:spacing w:after="0" w:line="181"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Form of Pre-Funded Warrant (August 2026).</w:t>
              </w:r>
            </w:hyperlink>
          </w:p>
        </w:tc>
        <w:tc>
          <w:tcPr>
            <w:tcW w:w="6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8-K/A</w:t>
            </w:r>
          </w:p>
        </w:tc>
        <w:tc>
          <w:tcPr>
            <w:tcW w:w="176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August 11, 2026</w:t>
            </w:r>
          </w:p>
        </w:tc>
        <w:tc>
          <w:tcPr>
            <w:tcW w:w="1120" w:type="dxa"/>
            <w:vAlign w:val="bottom"/>
          </w:tcPr>
          <w:p>
            <w:pPr>
              <w:jc w:val="right"/>
              <w:ind w:right="594"/>
              <w:spacing w:after="0" w:line="181" w:lineRule="exact"/>
              <w:rPr>
                <w:sz w:val="20"/>
                <w:szCs w:val="20"/>
                <w:color w:val="auto"/>
              </w:rPr>
            </w:pPr>
            <w:r>
              <w:rPr>
                <w:rFonts w:ascii="Times New Roman" w:cs="Times New Roman" w:eastAsia="Times New Roman" w:hAnsi="Times New Roman"/>
                <w:sz w:val="17"/>
                <w:szCs w:val="17"/>
                <w:color w:val="auto"/>
              </w:rPr>
              <w:t>4.1</w:t>
            </w:r>
          </w:p>
        </w:tc>
      </w:tr>
      <w:tr>
        <w:trPr>
          <w:trHeight w:val="29"/>
        </w:trPr>
        <w:tc>
          <w:tcPr>
            <w:tcW w:w="1340" w:type="dxa"/>
            <w:vAlign w:val="bottom"/>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13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10.1*</w:t>
            </w:r>
          </w:p>
        </w:tc>
        <w:tc>
          <w:tcPr>
            <w:tcW w:w="6340" w:type="dxa"/>
            <w:vAlign w:val="bottom"/>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Fourth Amendment to Loan and Security Agreement, dated as of September 29, 2026, by</w:t>
            </w:r>
          </w:p>
        </w:tc>
        <w:tc>
          <w:tcPr>
            <w:tcW w:w="6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48"/>
        </w:trPr>
        <w:tc>
          <w:tcPr>
            <w:tcW w:w="1340" w:type="dxa"/>
            <w:vAlign w:val="bottom"/>
            <w:tcBorders>
              <w:top w:val="single" w:sz="8" w:color="CCEEFF"/>
            </w:tcBorders>
            <w:shd w:val="clear" w:color="auto" w:fill="CCEEFF"/>
          </w:tcPr>
          <w:p>
            <w:pPr>
              <w:spacing w:after="0"/>
              <w:rPr>
                <w:sz w:val="12"/>
                <w:szCs w:val="12"/>
                <w:color w:val="auto"/>
              </w:rPr>
            </w:pPr>
          </w:p>
        </w:tc>
        <w:tc>
          <w:tcPr>
            <w:tcW w:w="6160" w:type="dxa"/>
            <w:vAlign w:val="bottom"/>
            <w:tcBorders>
              <w:top w:val="single" w:sz="8" w:color="0000FF"/>
            </w:tcBorders>
            <w:gridSpan w:val="13"/>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and among Replimune Group Inc., Replimune, Inc., Replimune Limited and Hercules</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r>
      <w:tr>
        <w:trPr>
          <w:trHeight w:val="179"/>
        </w:trPr>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0000FF"/>
              <w:bottom w:val="single" w:sz="8" w:color="0000FF"/>
            </w:tcBorders>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Capital, Inc.</w:t>
            </w:r>
          </w:p>
        </w:tc>
        <w:tc>
          <w:tcPr>
            <w:tcW w:w="506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634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Executive Officer, as required by Section 302 of the Sarbanes-</w:t>
            </w:r>
          </w:p>
        </w:tc>
        <w:tc>
          <w:tcPr>
            <w:tcW w:w="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8"/>
        </w:trPr>
        <w:tc>
          <w:tcPr>
            <w:tcW w:w="1340" w:type="dxa"/>
            <w:vAlign w:val="bottom"/>
          </w:tcPr>
          <w:p>
            <w:pPr>
              <w:spacing w:after="0"/>
              <w:rPr>
                <w:sz w:val="12"/>
                <w:szCs w:val="12"/>
                <w:color w:val="auto"/>
              </w:rPr>
            </w:pPr>
          </w:p>
        </w:tc>
        <w:tc>
          <w:tcPr>
            <w:tcW w:w="6080" w:type="dxa"/>
            <w:vAlign w:val="bottom"/>
            <w:tcBorders>
              <w:top w:val="single" w:sz="8" w:color="0000FF"/>
            </w:tcBorders>
            <w:gridSpan w:val="11"/>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 (18 U.S.C. 1350).</w:t>
            </w:r>
          </w:p>
        </w:tc>
        <w:tc>
          <w:tcPr>
            <w:tcW w:w="26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0"/>
        </w:trPr>
        <w:tc>
          <w:tcPr>
            <w:tcW w:w="1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6340" w:type="dxa"/>
            <w:vAlign w:val="bottom"/>
            <w:gridSpan w:val="1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Financial Officer, as required by Section 302 of the Sarbanes-</w:t>
            </w:r>
          </w:p>
        </w:tc>
        <w:tc>
          <w:tcPr>
            <w:tcW w:w="6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9"/>
        </w:trPr>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0000FF"/>
              <w:bottom w:val="single" w:sz="8" w:color="0000FF"/>
            </w:tcBorders>
            <w:gridSpan w:val="3"/>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 (18 U.S.C. 1350).</w:t>
            </w:r>
          </w:p>
        </w:tc>
        <w:tc>
          <w:tcPr>
            <w:tcW w:w="346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634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Executive Officer, as required by Section 906 of the Sarbanes-</w:t>
            </w:r>
          </w:p>
        </w:tc>
        <w:tc>
          <w:tcPr>
            <w:tcW w:w="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8"/>
        </w:trPr>
        <w:tc>
          <w:tcPr>
            <w:tcW w:w="1340" w:type="dxa"/>
            <w:vAlign w:val="bottom"/>
          </w:tcPr>
          <w:p>
            <w:pPr>
              <w:spacing w:after="0"/>
              <w:rPr>
                <w:sz w:val="12"/>
                <w:szCs w:val="12"/>
                <w:color w:val="auto"/>
              </w:rPr>
            </w:pPr>
          </w:p>
        </w:tc>
        <w:tc>
          <w:tcPr>
            <w:tcW w:w="6080" w:type="dxa"/>
            <w:vAlign w:val="bottom"/>
            <w:tcBorders>
              <w:top w:val="single" w:sz="8" w:color="0000FF"/>
            </w:tcBorders>
            <w:gridSpan w:val="11"/>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 (18 U.S.C. 1350).</w:t>
            </w:r>
          </w:p>
        </w:tc>
        <w:tc>
          <w:tcPr>
            <w:tcW w:w="26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2"/>
        </w:trPr>
        <w:tc>
          <w:tcPr>
            <w:tcW w:w="134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0"/>
        </w:trPr>
        <w:tc>
          <w:tcPr>
            <w:tcW w:w="1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6340" w:type="dxa"/>
            <w:vAlign w:val="bottom"/>
            <w:gridSpan w:val="1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Financial Officer, as required by Section 906 of the Sarbanes-</w:t>
            </w:r>
          </w:p>
        </w:tc>
        <w:tc>
          <w:tcPr>
            <w:tcW w:w="6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9"/>
        </w:trPr>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0000FF"/>
              <w:bottom w:val="single" w:sz="8" w:color="0000FF"/>
            </w:tcBorders>
            <w:gridSpan w:val="3"/>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 (18 U.S.C. 1350).</w:t>
            </w:r>
          </w:p>
        </w:tc>
        <w:tc>
          <w:tcPr>
            <w:tcW w:w="346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9"/>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634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63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6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634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63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6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634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63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6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3"/>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634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w:t>
            </w: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34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946"/>
        </w:trPr>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
        <w:spacing w:after="0" w:line="270" w:lineRule="auto"/>
        <w:tabs>
          <w:tab w:leader="none" w:pos="12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or furnished herewith. 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1355090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SIGNATURES</w:t>
      </w:r>
    </w:p>
    <w:p>
      <w:pPr>
        <w:spacing w:after="0" w:line="221" w:lineRule="exact"/>
        <w:rPr>
          <w:sz w:val="20"/>
          <w:szCs w:val="20"/>
          <w:color w:val="auto"/>
        </w:rPr>
      </w:pPr>
    </w:p>
    <w:p>
      <w:pPr>
        <w:ind w:right="70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40" w:type="dxa"/>
            <w:vAlign w:val="bottom"/>
          </w:tcPr>
          <w:p>
            <w:pPr>
              <w:spacing w:after="0"/>
              <w:rPr>
                <w:sz w:val="19"/>
                <w:szCs w:val="19"/>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7"/>
                <w:szCs w:val="17"/>
                <w:b w:val="1"/>
                <w:bCs w:val="1"/>
                <w:color w:val="auto"/>
              </w:rPr>
              <w:t>REPLIMUNE GROUP, INC.</w:t>
            </w:r>
          </w:p>
        </w:tc>
      </w:tr>
      <w:tr>
        <w:trPr>
          <w:trHeight w:val="46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Dated: October 28, 2026</w:t>
            </w:r>
          </w:p>
        </w:tc>
        <w:tc>
          <w:tcPr>
            <w:tcW w:w="246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Sushil Patel</w:t>
            </w:r>
          </w:p>
        </w:tc>
      </w:tr>
      <w:tr>
        <w:trPr>
          <w:trHeight w:val="209"/>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Sushil Patel</w:t>
            </w:r>
          </w:p>
        </w:tc>
      </w:tr>
      <w:tr>
        <w:trPr>
          <w:trHeight w:val="219"/>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Chief Executive Officer and Director</w:t>
            </w:r>
          </w:p>
        </w:tc>
      </w:tr>
      <w:tr>
        <w:trPr>
          <w:trHeight w:val="223"/>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77"/>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Dated: October 28, 2026</w:t>
            </w:r>
          </w:p>
        </w:tc>
        <w:tc>
          <w:tcPr>
            <w:tcW w:w="246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Emily Hill</w:t>
            </w:r>
          </w:p>
        </w:tc>
      </w:tr>
      <w:tr>
        <w:trPr>
          <w:trHeight w:val="209"/>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Emily Hill</w:t>
            </w:r>
          </w:p>
        </w:tc>
      </w:tr>
      <w:tr>
        <w:trPr>
          <w:trHeight w:val="219"/>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Chief Financial Officer</w:t>
            </w:r>
          </w:p>
        </w:tc>
      </w:tr>
      <w:tr>
        <w:trPr>
          <w:trHeight w:val="223"/>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77"/>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Dated: October 28, 2026</w:t>
            </w:r>
          </w:p>
        </w:tc>
        <w:tc>
          <w:tcPr>
            <w:tcW w:w="246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Schwendenman</w:t>
            </w:r>
          </w:p>
        </w:tc>
      </w:tr>
      <w:tr>
        <w:trPr>
          <w:trHeight w:val="209"/>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Andrew Schwendenman</w:t>
            </w:r>
          </w:p>
        </w:tc>
      </w:tr>
      <w:tr>
        <w:trPr>
          <w:trHeight w:val="219"/>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Chief Accounting Officer</w:t>
            </w:r>
          </w:p>
        </w:tc>
      </w:tr>
      <w:tr>
        <w:trPr>
          <w:trHeight w:val="223"/>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ectPr>
          <w:pgSz w:w="11900" w:h="16838" w:orient="portrait"/>
          <w:cols w:equalWidth="0" w:num="1">
            <w:col w:w="11200"/>
          </w:cols>
          <w:pgMar w:left="320" w:top="123" w:right="379" w:bottom="1440" w:gutter="0" w:footer="0" w:header="0"/>
        </w:sectPr>
      </w:pPr>
    </w:p>
    <w:bookmarkStart w:id="84" w:name="page85"/>
    <w:bookmarkEnd w:id="84"/>
    <w:p>
      <w:pPr>
        <w:ind w:left="220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THIRD AMENDED AND RESTATED</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CERTIFICATE OF INCORPORATION OF</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REPLIMUNE GROUP, INC.</w:t>
      </w: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(Conformed copy incorporating all amendments through September 15, 2026)</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Replimune Group, Inc., a corporation organized and existing under the laws of the State of Delaware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DOES HEREBY CERTIFY:</w:t>
      </w:r>
    </w:p>
    <w:p>
      <w:pPr>
        <w:spacing w:after="0" w:line="22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FIRST:The name of the Corporation is “Replimune Group, Inc.” The date of filing the original Certificate of Incorporation of the Corporation with the Secretary of State of the State of Delaware was July 5, 2017.</w:t>
      </w:r>
    </w:p>
    <w:p>
      <w:pPr>
        <w:spacing w:after="0" w:line="151"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SECOND:This Third Amended and Restated Certificate of Incorporation (this “</w:t>
      </w:r>
      <w:r>
        <w:rPr>
          <w:rFonts w:ascii="Times New Roman" w:cs="Times New Roman" w:eastAsia="Times New Roman" w:hAnsi="Times New Roman"/>
          <w:sz w:val="17"/>
          <w:szCs w:val="17"/>
          <w:u w:val="single" w:color="auto"/>
          <w:color w:val="auto"/>
        </w:rPr>
        <w:t>Restated Certificate</w:t>
      </w:r>
      <w:r>
        <w:rPr>
          <w:rFonts w:ascii="Times New Roman" w:cs="Times New Roman" w:eastAsia="Times New Roman" w:hAnsi="Times New Roman"/>
          <w:sz w:val="17"/>
          <w:szCs w:val="17"/>
          <w:color w:val="auto"/>
        </w:rPr>
        <w:t>”) has been duly approved by the Board of Directors of the Corporation.</w:t>
      </w:r>
    </w:p>
    <w:p>
      <w:pPr>
        <w:spacing w:after="0" w:line="151" w:lineRule="exact"/>
        <w:rPr>
          <w:sz w:val="20"/>
          <w:szCs w:val="20"/>
          <w:color w:val="auto"/>
        </w:rPr>
      </w:pPr>
    </w:p>
    <w:p>
      <w:pPr>
        <w:jc w:val="both"/>
        <w:ind w:right="140" w:firstLine="619"/>
        <w:spacing w:after="0" w:line="270" w:lineRule="auto"/>
        <w:rPr>
          <w:sz w:val="20"/>
          <w:szCs w:val="20"/>
          <w:color w:val="auto"/>
        </w:rPr>
      </w:pPr>
      <w:r>
        <w:rPr>
          <w:rFonts w:ascii="Times New Roman" w:cs="Times New Roman" w:eastAsia="Times New Roman" w:hAnsi="Times New Roman"/>
          <w:sz w:val="17"/>
          <w:szCs w:val="17"/>
          <w:color w:val="auto"/>
        </w:rPr>
        <w:t>THIRD:This Restated Certificate has been duly adopted by the stockholders of the Corporation in accordance with the provisions of Sections 228, 242 and 245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notice thereof has been given in accordance with the provisions of Section 228 of the DGCL.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FOURTH:The Certificate of Incorporation of this Corporation is hereby amended, integrated and restated to read as follows:</w:t>
      </w: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ARTICLE ONE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name of the Corporation is Replimune Group, Inc.</w:t>
      </w: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ARTICLE TWO</w:t>
      </w:r>
    </w:p>
    <w:p>
      <w:pPr>
        <w:spacing w:after="0" w:line="221"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address of the registered office of the Corporation in the State of Delaware is 1209 Orange Street, in the City of Wilmington, County of New Castle 19801. The name of the registered agent at such address is The Corporation Trust Company.</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ARTICLE THREE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nature of the business or purpose of the Corporation is to engage in any lawful act or activity for which corporations may be organized under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DGCL.</w:t>
      </w:r>
    </w:p>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ARTICLE FOUR</w:t>
      </w:r>
    </w:p>
    <w:p>
      <w:pPr>
        <w:spacing w:after="0" w:line="221"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total number of shares of all classes of capital stock which the Corporation shall have authority to issue is Three Hundred Ten Million (310,000,000) shares, consisting of:</w:t>
      </w:r>
    </w:p>
    <w:p>
      <w:pPr>
        <w:spacing w:after="0" w:line="151" w:lineRule="exact"/>
        <w:rPr>
          <w:sz w:val="20"/>
          <w:szCs w:val="20"/>
          <w:color w:val="auto"/>
        </w:rPr>
      </w:pPr>
    </w:p>
    <w:p>
      <w:pPr>
        <w:ind w:left="840" w:hanging="218"/>
        <w:spacing w:after="0"/>
        <w:tabs>
          <w:tab w:leader="none" w:pos="8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Hundred Million (300,000,000) shares of common stock, par value $0.001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w:t>
      </w:r>
    </w:p>
    <w:p>
      <w:pPr>
        <w:spacing w:after="0" w:line="217" w:lineRule="exact"/>
        <w:rPr>
          <w:rFonts w:ascii="Times New Roman" w:cs="Times New Roman" w:eastAsia="Times New Roman" w:hAnsi="Times New Roman"/>
          <w:sz w:val="17"/>
          <w:szCs w:val="17"/>
          <w:color w:val="auto"/>
        </w:rPr>
      </w:pPr>
    </w:p>
    <w:p>
      <w:pPr>
        <w:ind w:left="840" w:hanging="218"/>
        <w:spacing w:after="0"/>
        <w:tabs>
          <w:tab w:leader="none" w:pos="8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 Million (10,000,000) shares of undesignated preferred stock, par value $0.001 per share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Such stock may be issued from time to time by the Corporation for such consideration as may be fixed by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The following is a statement of the powers, designations, preferences, privileges, and relative rights in respect of each class of capital stock of the Corporation.</w:t>
      </w:r>
    </w:p>
    <w:p>
      <w:pPr>
        <w:sectPr>
          <w:pgSz w:w="11900" w:h="16838" w:orient="portrait"/>
          <w:cols w:equalWidth="0" w:num="1">
            <w:col w:w="11160"/>
          </w:cols>
          <w:pgMar w:left="320" w:top="1395" w:right="41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1005840</wp:posOffset>
            </wp:positionV>
            <wp:extent cx="510857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108575" cy="24765"/>
                    </a:xfrm>
                    <a:prstGeom prst="rect">
                      <a:avLst/>
                    </a:prstGeom>
                    <a:noFill/>
                  </pic:spPr>
                </pic:pic>
              </a:graphicData>
            </a:graphic>
          </wp:anchor>
        </w:drawing>
      </w:r>
    </w:p>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right="560" w:firstLine="622"/>
        <w:spacing w:after="0" w:line="287" w:lineRule="auto"/>
        <w:tabs>
          <w:tab w:leader="none" w:pos="82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voting, dividend and liquidation rights of the holders of Common Stock are subject to and qualified by the rights of the holders of Preferred Stock.</w:t>
      </w:r>
    </w:p>
    <w:p>
      <w:pPr>
        <w:spacing w:after="0" w:line="151" w:lineRule="exact"/>
        <w:rPr>
          <w:rFonts w:ascii="Times New Roman" w:cs="Times New Roman" w:eastAsia="Times New Roman" w:hAnsi="Times New Roman"/>
          <w:sz w:val="17"/>
          <w:szCs w:val="17"/>
          <w:color w:val="auto"/>
        </w:rPr>
      </w:pPr>
    </w:p>
    <w:p>
      <w:pPr>
        <w:ind w:right="40" w:firstLine="622"/>
        <w:spacing w:after="0" w:line="258" w:lineRule="auto"/>
        <w:tabs>
          <w:tab w:leader="none" w:pos="83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xml:space="preserve">. Except as otherwise provided by the DGCL or this Restated Certificate and subject to the rights of holders of any series of Preferred Stock, all of the voting power of the stockholders of the Corporation shall be vested in the holders of the Common Stock, and each holder of Common Stock shall have one vote for each share held by such holder on all matters voted upon by the stockholders of the Corporation;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otherwise required by law, holders of Common Stock, as such, shall not be entitled to vote on any amendment to this Restated Certificate (or on any amendment to a certificate of designations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Restated Certificate (or pursuant to a certificate of designations of any series of Preferred Stock) or pursuant to the DGCL. There shall be no cumulative voting.</w:t>
      </w:r>
    </w:p>
    <w:p>
      <w:pPr>
        <w:spacing w:after="0" w:line="175" w:lineRule="exact"/>
        <w:rPr>
          <w:rFonts w:ascii="Times New Roman" w:cs="Times New Roman" w:eastAsia="Times New Roman" w:hAnsi="Times New Roman"/>
          <w:sz w:val="17"/>
          <w:szCs w:val="17"/>
          <w:color w:val="auto"/>
        </w:rPr>
      </w:pPr>
    </w:p>
    <w:p>
      <w:pPr>
        <w:ind w:right="220" w:firstLine="622"/>
        <w:spacing w:after="0" w:line="270" w:lineRule="auto"/>
        <w:tabs>
          <w:tab w:leader="none" w:pos="82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Except as otherwise provided by the DGCL or this Restated Certificate, dividends may be declared and paid on the Common Stock from funds lawfully available therefor if, as and when determined by the Board of Directors and subject to any preferential dividend rights of any then outstanding shares of Preferred Stock.</w:t>
      </w:r>
    </w:p>
    <w:p>
      <w:pPr>
        <w:spacing w:after="0" w:line="161" w:lineRule="exact"/>
        <w:rPr>
          <w:rFonts w:ascii="Times New Roman" w:cs="Times New Roman" w:eastAsia="Times New Roman" w:hAnsi="Times New Roman"/>
          <w:sz w:val="17"/>
          <w:szCs w:val="17"/>
          <w:color w:val="auto"/>
        </w:rPr>
      </w:pPr>
    </w:p>
    <w:p>
      <w:pPr>
        <w:ind w:right="460" w:firstLine="622"/>
        <w:spacing w:after="0" w:line="292" w:lineRule="auto"/>
        <w:tabs>
          <w:tab w:leader="none" w:pos="83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Preemptive Rights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holders of the Common Stock shall have no preemptive rights to subscribe for any shares of any class of stock of the Corporation whether now or hereafter authorized.</w:t>
      </w:r>
    </w:p>
    <w:p>
      <w:pPr>
        <w:spacing w:after="0" w:line="143" w:lineRule="exact"/>
        <w:rPr>
          <w:rFonts w:ascii="Times New Roman" w:cs="Times New Roman" w:eastAsia="Times New Roman" w:hAnsi="Times New Roman"/>
          <w:sz w:val="17"/>
          <w:szCs w:val="17"/>
          <w:color w:val="auto"/>
        </w:rPr>
      </w:pPr>
    </w:p>
    <w:p>
      <w:pPr>
        <w:ind w:firstLine="622"/>
        <w:spacing w:after="0" w:line="292" w:lineRule="auto"/>
        <w:tabs>
          <w:tab w:leader="none" w:pos="86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Conversion Rights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Common Stock shall not be convertible into, or exchangeable for, shares of any other class or classes or of any other series of the same class of the Corporation’s capital stock.</w:t>
      </w:r>
    </w:p>
    <w:p>
      <w:pPr>
        <w:spacing w:after="0" w:line="147" w:lineRule="exact"/>
        <w:rPr>
          <w:rFonts w:ascii="Times New Roman" w:cs="Times New Roman" w:eastAsia="Times New Roman" w:hAnsi="Times New Roman"/>
          <w:sz w:val="17"/>
          <w:szCs w:val="17"/>
          <w:color w:val="auto"/>
        </w:rPr>
      </w:pPr>
    </w:p>
    <w:p>
      <w:pPr>
        <w:ind w:right="100" w:firstLine="622"/>
        <w:spacing w:after="0" w:line="270" w:lineRule="auto"/>
        <w:tabs>
          <w:tab w:leader="none" w:pos="803"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Upon the dissolution or liquidation or winding up of the affairs of the Corporation, whether voluntary or involuntary, holders of Common Stock will be entitled to receive all assets of the Corporation available for distribution to its stockholders equally on a per share basis, subject to any preferential rights of any then outstanding shares of Preferred Stock and after payment or provision for payment of the Corporation’s debts.</w:t>
      </w:r>
    </w:p>
    <w:p>
      <w:pPr>
        <w:spacing w:after="0" w:line="165"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To the fullest extent authorized by the DGCL, shares of Preferred Stock may be issued from time to time in one or more series, each of such series to have such powers, designations, preferences, and relative, participating, optional, or other special rights, if any, and such qualifications and restrictions, if any, as are stated or expressed in the resolution or resolutions of the Board of Directors providing for such series of Preferred Stock. Different series of Preferred Stock shall not be construed to constitute different classes of shares for the purposes of voting by classes unless expressly so provided in such resolution or resolutions.</w:t>
      </w:r>
    </w:p>
    <w:p>
      <w:pPr>
        <w:spacing w:after="0" w:line="175"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Authority is hereby granted to the Board of Directors, acting by resolution or resolutions adopted at any time and from time to time, to create, provide for, designate and issue, out of the authorized but unissued shares of Preferred Stock, one or more series of Preferred Stock, and, in connection with the creation of any such series of Preferred Stock, to determine and fix the powers, designations, preferences, and relative, participating, optional, or other special rights, if any, and the qualifications and restrictions, if any, including without limitation dividend rights, conversion rights, voting rights (if any), redemption privileges, and liquidation preferences, of such series of Preferred Stock (which need not be uniform among series), all to the fullest extent now or hereafter permitted by the DGCL. Without limiting the generality of the foregoing, the resolution or resolutions providing for the creation or issuance of any series of Preferred Stock may provide that such series shall be superior to, rank equally with, or be junior to any other series of Preferred Stock, all to the fullest extent permitted by law. No resolution, vote, or consent of the holders of the capital stock of the Corporation shall be required in connection with the creation or issuance of any shares of any series of Preferred Stock authorized by and complying with the conditions of this Restated</w:t>
      </w:r>
    </w:p>
    <w:p>
      <w:pPr>
        <w:sectPr>
          <w:pgSz w:w="11900" w:h="16838" w:orient="portrait"/>
          <w:cols w:equalWidth="0" w:num="1">
            <w:col w:w="11240"/>
          </w:cols>
          <w:pgMar w:left="320" w:top="144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Certificate, the right to any such resolution, vote, or consent being expressly waived by all present and future holders of the capital stock of the Corporation.</w:t>
      </w:r>
    </w:p>
    <w:p>
      <w:pPr>
        <w:spacing w:after="0" w:line="21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Any resolution or resolutions adopted by the Board of Directors pursuant to the authority vested in them by this Section 3 of Article Four shall be set forth in a certificate of designation along with the number of shares of such series of Preferred Stock as to which the resolution or resolutions shall apply and such certificate shall be executed,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5108575"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108575" cy="24765"/>
                    </a:xfrm>
                    <a:prstGeom prst="rect">
                      <a:avLst/>
                    </a:prstGeom>
                    <a:noFill/>
                  </pic:spPr>
                </pic:pic>
              </a:graphicData>
            </a:graphic>
          </wp:anchor>
        </w:drawing>
      </w:r>
    </w:p>
    <w:p>
      <w:pPr>
        <w:spacing w:after="0" w:line="3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acknowledged, filed, recorded, and shall become effective, in accordance with Section 103 of the DGCL. Unless otherwise provided in any such resolution or resolutions, the number of shares of any such series of Preferred Stock to which such resolution or resolutions apply may be increased (but not above the total number of authorized shares of Preferred Stock) or decreased (but not below the number of shares of such series of Preferred Stock then outstanding) by a certificate likewise executed, acknowledged, filed and recorded, setting forth a statement that a specified increase or decrease therein has been authorized and directed by a resolution or resolutions likewise adopted by the Board of Directors. In case the number of such shares shall be decreased, the number of shares so specified in the certificate shall resume the status which they had prior to the adoption of the first resolution or resolutions. When no shares of any such series of Preferred Stock are outstanding, either because none were issued or because none remain outstanding, a certificate setting forth a resolution or resolutions adopted by the Board of Directors that none of the authorized shares of such series of Preferred Stock are outstanding, and that none will be issued subject to the certificate of designations previously filed with respect to such series of Preferred Stock, may be executed, acknowledged, filed and recorded in the same manner as previously described and it shall have the effect of eliminating from this Restated Certificate all matters set forth in the certificate of designations with respect to such series of Preferred Stock. If no shares of any such series of Preferred Stock established by a resolution or resolutions adopted by the Board of Directors have been issued, the voting powers, designations, preferences and relative, participating, optional or other rights, if any, with the qualifications, limitations or restrictions thereof, may be amended by a resolution or resolutions adopted by the Board of Directors. In the event of any such amendment, a certificate which (i) states that no shares of such series of Preferred Stock have been issued, (ii) sets forth the copy of the amending resolution or resolutions and (iii) if the designation of such series of Preferred Stock is being changed, indicates the original designation and the new designation, shall be executed, acknowledged, filed, recorded, and shall become effective, in accordance with Section 103 of the DGCL.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FIVE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Corporation is to have perpetual existence.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SIX</w:t>
      </w:r>
    </w:p>
    <w:p>
      <w:pPr>
        <w:spacing w:after="0" w:line="221"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Classification of Directors</w:t>
      </w:r>
      <w:r>
        <w:rPr>
          <w:rFonts w:ascii="Times New Roman" w:cs="Times New Roman" w:eastAsia="Times New Roman" w:hAnsi="Times New Roman"/>
          <w:sz w:val="17"/>
          <w:szCs w:val="17"/>
          <w:color w:val="auto"/>
        </w:rPr>
        <w:t>. Effective as of the closing (the “</w:t>
      </w:r>
      <w:r>
        <w:rPr>
          <w:rFonts w:ascii="Times New Roman" w:cs="Times New Roman" w:eastAsia="Times New Roman" w:hAnsi="Times New Roman"/>
          <w:sz w:val="17"/>
          <w:szCs w:val="17"/>
          <w:u w:val="single" w:color="auto"/>
          <w:color w:val="auto"/>
        </w:rPr>
        <w:t>IPO Closing</w:t>
      </w:r>
      <w:r>
        <w:rPr>
          <w:rFonts w:ascii="Times New Roman" w:cs="Times New Roman" w:eastAsia="Times New Roman" w:hAnsi="Times New Roman"/>
          <w:sz w:val="17"/>
          <w:szCs w:val="17"/>
          <w:color w:val="auto"/>
        </w:rPr>
        <w:t>”) of the Corporation’s first public offering of shares of Common Stock registered pursuant to the Securities Act of 1933, as amended, the Board of Directors shall be divided into three classes of directors, Class I, Class II, and Class III, such classes to be as nearly equal in number of directors as possible, having staggered three-year terms of office (except to the extent otherwise provided in the next sentence with respect to the initial terms of such classes of directors). The initial term of office of the directors of Class I shall expire as of the first annual meeting of the Corporation’s stockholders following the IPO Closing; the initial term of office of the directors of Class II shall expire as of the second annual meeting of the Corporation’s stockholders following the IPO Closing; and the initial term of office of the directors of Class III shall expire as of the third annual meeting of the Corporation’s stockholders following the IPO Closing. At each annual meeting of stockholders of the Corporation after the IPO Closing, nominees will stand for election to succeed those directors whose terms are to expire as of such annual meeting of stockholders, and such nominees elected at such annual meeting of stockholders shall be elected for a term expiring at the third annual meeting of stockholders following their election. Directors shall hold office until the annual meeting of stockholders in which their term is scheduled to expire as set forth above in this Section 1 of Article Six and until their respective successors are duly elected or qualified or until their earlier death, incapacity, resignation or removal. Those</w:t>
      </w:r>
    </w:p>
    <w:p>
      <w:pPr>
        <w:sectPr>
          <w:pgSz w:w="11900" w:h="16838" w:orient="portrait"/>
          <w:cols w:equalWidth="0" w:num="1">
            <w:col w:w="11240"/>
          </w:cols>
          <w:pgMar w:left="320" w:top="1361" w:right="339" w:bottom="1440" w:gutter="0" w:footer="0" w:header="0"/>
        </w:sectPr>
      </w:pPr>
    </w:p>
    <w:bookmarkStart w:id="87" w:name="page88"/>
    <w:bookmarkEnd w:id="87"/>
    <w:p>
      <w:pPr>
        <w:ind w:right="40"/>
        <w:spacing w:after="0" w:line="287" w:lineRule="auto"/>
        <w:rPr>
          <w:sz w:val="20"/>
          <w:szCs w:val="20"/>
          <w:color w:val="auto"/>
        </w:rPr>
      </w:pPr>
      <w:r>
        <w:rPr>
          <w:rFonts w:ascii="Times New Roman" w:cs="Times New Roman" w:eastAsia="Times New Roman" w:hAnsi="Times New Roman"/>
          <w:sz w:val="17"/>
          <w:szCs w:val="17"/>
          <w:color w:val="auto"/>
        </w:rPr>
        <w:t>directors already in office immediately prior to the IPO Closing shall be allocated among the three classes of directors contemplated under this Section 1 of Article Six pursuant to a resolution or resolutions adopted by the Board of Directors prior to the IPO Closing.</w:t>
      </w:r>
    </w:p>
    <w:p>
      <w:pPr>
        <w:spacing w:after="0" w:line="151"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Subject to the special rights of the holders of any series of Preferred Stock to elect directors, the directors of the Corporation may be removed only for cause by the affirmative vote of the holders of at least seventy-five percent (75%) of the outstanding shares of capital stock of the Corporation entitled to vote in the election of directors or class of directors, voting together as a single class, at a meeting of the stockholders called for that purpose.</w:t>
      </w:r>
    </w:p>
    <w:p>
      <w:pPr>
        <w:spacing w:after="0" w:line="165" w:lineRule="exact"/>
        <w:rPr>
          <w:sz w:val="20"/>
          <w:szCs w:val="20"/>
          <w:color w:val="auto"/>
        </w:rPr>
      </w:pPr>
    </w:p>
    <w:p>
      <w:pPr>
        <w:ind w:right="800" w:firstLine="619"/>
        <w:spacing w:after="0" w:line="287"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Except as the DGCL may otherwise require, any new directorships or vacancies in the Board of Directors, including new directorships resulting from any increase in the number of directors to serve in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5108575"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108575" cy="24765"/>
                    </a:xfrm>
                    <a:prstGeom prst="rect">
                      <a:avLst/>
                    </a:prstGeom>
                    <a:noFill/>
                  </pic:spPr>
                </pic:pic>
              </a:graphicData>
            </a:graphic>
          </wp:anchor>
        </w:drawing>
      </w:r>
    </w:p>
    <w:p>
      <w:pPr>
        <w:spacing w:after="0" w:line="32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Board of Directors and/or any unfilled vacancies by reason of death, resignation, disqualification, removal for cause, failure to elect or otherwise with respect to any director, may be filled only by the vote of a majority of the remaining directors then in office, although less than a quorum, or by the sole remaining director.</w:t>
      </w:r>
    </w:p>
    <w:p>
      <w:pPr>
        <w:spacing w:after="0" w:line="151" w:lineRule="exact"/>
        <w:rPr>
          <w:sz w:val="20"/>
          <w:szCs w:val="20"/>
          <w:color w:val="auto"/>
        </w:rPr>
      </w:pPr>
    </w:p>
    <w:p>
      <w:pPr>
        <w:ind w:right="380" w:firstLine="619"/>
        <w:spacing w:after="0" w:line="270"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Number of Directors</w:t>
      </w:r>
      <w:r>
        <w:rPr>
          <w:rFonts w:ascii="Times New Roman" w:cs="Times New Roman" w:eastAsia="Times New Roman" w:hAnsi="Times New Roman"/>
          <w:sz w:val="17"/>
          <w:szCs w:val="17"/>
          <w:color w:val="auto"/>
        </w:rPr>
        <w:t>. Subject to the special rights of the holders of any series of Preferred Stock to elect directors, the number of directors which shall constitute the Board of Directors shall be fixed exclusively by the Board of Directors from time to time in accordance with the by-laws of the Corporation. No decrease in the number of directors constituting the whole board shall shorten the term of any incumbent director.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SEVEN</w:t>
      </w:r>
    </w:p>
    <w:p>
      <w:pPr>
        <w:spacing w:after="0" w:line="22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Board of Directors shall have the power and authority: (i) to adopt, amend or repeal the Corporation’s by-laws, subject to the power of the stockholders of the Corporation entitled to vote with respect thereto to make, alter, amend or repeal the by-laws;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the powers of stockholders entitled to vote with respect thereto to make, alter, amend or repeal the by-laws, in addition to any other vote otherwise required by law, the affirmative vote of the holders of at least seventy-five percent (75%) of the outstanding shares of capital stock of the Corporation entitled to vote in the election of directors or class of directors, voting together as a single class, shall be required to make, alter, amend or repeal the by-laws of the Corporation; and (ii) to the full extent permitted or not prohibited by law, and without the consent of or other action by the stockholders, to authorize or create mortgages, pledges or other liens or encumbrances upon any or all of the assets, real, personal or mixed, and franchises of the Corporation, including after-acquired property, and to exercise all of the powers of the Corporation in connection therewith.</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EIGHT</w:t>
      </w:r>
    </w:p>
    <w:p>
      <w:pPr>
        <w:spacing w:after="0" w:line="221"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Except as otherwise provided for by any resolutions of the Board of Directors providing for the issuance of any series of Preferred Stock, effective as of the IPO Closing, any action required or permitted to be taken by the stockholders of the Corporation may be taken only at a duly called annual or special meeting of the stockholders in which such action is properly brought before such meeting, and not by written consent in lieu of such a meeting. Subject to any special rights of the holders of any series of Preferred Stock, and to the requirements of applicable law, special meetings of stockholders of the Corporation may be called only by or at the direction of the Board of Directors pursuant to a resolution adopted by a majority of the total number of directors. Any business transacted at any special meeting of stockholders shall be limited to matters relating to the purpose or purposes stated in the notice of meeting.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NINE</w:t>
      </w:r>
    </w:p>
    <w:p>
      <w:pPr>
        <w:sectPr>
          <w:pgSz w:w="11900" w:h="16838" w:orient="portrait"/>
          <w:cols w:equalWidth="0" w:num="1">
            <w:col w:w="11240"/>
          </w:cols>
          <w:pgMar w:left="320" w:top="1361" w:right="339" w:bottom="1440" w:gutter="0" w:footer="0" w:header="0"/>
        </w:sectPr>
      </w:pPr>
    </w:p>
    <w:bookmarkStart w:id="88" w:name="page89"/>
    <w:bookmarkEnd w:id="88"/>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Corporation reserves the right to amend, alter, change or repeal any provision contained in this Restated Certificate, in the manner now or hereafter prescribed by the DGCL, and all rights conferred upon stockholders herein are granted subject to this reservation. Notwithstanding anything to the contrary contained in this Restated Certificate, and notwithstanding that a lesser percentage may be permitted from time to time by applicable law, the affirmative vote of the holders of at least seventy-five percent (75%) of the outstanding shares of capital stock of the Corporation entitled to vote in the election of directors or class of directors, voting together as a single class (in addition to any separate class vote that may in the future be required pursuant to the terms of any outstanding Preferred Stock), shall be required to amend or repeal the provisions of Articles Four (only to the extent it relates to the authority of the Board of Directors to issue shares of Preferred Stock in one or more series, the terms of which may be determined by the Board of Directors), Six, Seven, Eight, Nine, Ten, or Eleven of this Restated Certificate or to reduce the numbers of authorized shares of Common Stock or Preferred Stock.</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TEN</w:t>
      </w:r>
    </w:p>
    <w:p>
      <w:pPr>
        <w:spacing w:after="0" w:line="22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To the fullest extent permitted by the DGCL as it now exists or may hereafter be amended (but, in the case of any such amendment, only to the extent that such amendment permits the Corporation to provide broader indemnification rights than permitted prior thereto), no director of the Corporation shall be personally liable to the Corporation or to any of its stockholders for monetary damages for breach of fiduciary duty as a director, notwithstanding any provision of law imposing such liability; provided, however, that to</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510857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108575" cy="24765"/>
                    </a:xfrm>
                    <a:prstGeom prst="rect">
                      <a:avLst/>
                    </a:prstGeom>
                    <a:noFill/>
                  </pic:spPr>
                </pic:pic>
              </a:graphicData>
            </a:graphic>
          </wp:anchor>
        </w:drawing>
      </w:r>
    </w:p>
    <w:p>
      <w:pPr>
        <w:spacing w:after="0" w:line="32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extent required from time to time by applicable law, this Article Ten shall not eliminate or limit the liability of a director, to the extent such liability is provided by applicable law, (i) for any breach of the director’s duty of loyalty to the corporation or its stockholders, (ii) for acts or omissions not in good faith or which involve intentional misconduct or a knowing violation of law, (iii) under Section 174 of the DGCL, or (iv) for any transactions from which the director derived an improper personal benefit.</w:t>
      </w:r>
    </w:p>
    <w:p>
      <w:pPr>
        <w:spacing w:after="0" w:line="17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The Corporation shall, to the fullest extent permitted by Section 145 of the DGCL and as further provided in the Corporation’s by-laws, each as amended from time to time, indemnify each person who was or is a party or is threatened to be made a party to any threatened, pending or completed action, suit or proceeding, whether civil, criminal, administrative or investigative, by reason of the fact that such person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judgments, fines and amounts paid in settlement actually and reasonably incurred by him or her or on his or her behalf in connection with such action, suit or proceeding and any appeal therefrom.</w:t>
      </w:r>
    </w:p>
    <w:p>
      <w:pPr>
        <w:spacing w:after="0" w:line="179"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Indemnification may include payment by the Corporation of expenses in defending an action or proceeding in advance of the final disposition of such action or proceeding upon receipt of an undertaking by the person indemnified to repay such payment if it is ultimately determined that such person is not entitled to indemnification under this Article Ten, which undertaking may be accepted without reference to the financial ability of such person to make such repayment.</w:t>
      </w:r>
    </w:p>
    <w:p>
      <w:pPr>
        <w:spacing w:after="0" w:line="165"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The Corporation shall not indemnify any such person seeking indemnification in connection with a proceeding (or part thereof) initiated by such person unless the initiation thereof was approved by the Board of Directors or except and to the extent otherwise permitted in the Corporation’s by-laws or in an agreement between the Corporation and such person.</w:t>
      </w:r>
    </w:p>
    <w:p>
      <w:pPr>
        <w:spacing w:after="0" w:line="165" w:lineRule="exact"/>
        <w:rPr>
          <w:sz w:val="20"/>
          <w:szCs w:val="20"/>
          <w:color w:val="auto"/>
        </w:rPr>
      </w:pPr>
    </w:p>
    <w:p>
      <w:pPr>
        <w:jc w:val="both"/>
        <w:ind w:right="180" w:firstLine="619"/>
        <w:spacing w:after="0" w:line="270" w:lineRule="auto"/>
        <w:rPr>
          <w:sz w:val="20"/>
          <w:szCs w:val="20"/>
          <w:color w:val="auto"/>
        </w:rPr>
      </w:pPr>
      <w:r>
        <w:rPr>
          <w:rFonts w:ascii="Times New Roman" w:cs="Times New Roman" w:eastAsia="Times New Roman" w:hAnsi="Times New Roman"/>
          <w:sz w:val="17"/>
          <w:szCs w:val="17"/>
          <w:color w:val="auto"/>
        </w:rPr>
        <w:t>The indemnification rights provided in this Article Ten (i) shall not be deemed exclusive of any other rights to which those indemnified may be entitled under the Corporation’s by-laws, any law, agreement or vote of stockholders or disinterested directors or otherwise, and (ii) shall inure to the benefit of the heirs, executors and</w:t>
      </w:r>
    </w:p>
    <w:p>
      <w:pPr>
        <w:sectPr>
          <w:pgSz w:w="11900" w:h="16838" w:orient="portrait"/>
          <w:cols w:equalWidth="0" w:num="1">
            <w:col w:w="11240"/>
          </w:cols>
          <w:pgMar w:left="320" w:top="1361" w:right="339" w:bottom="1440" w:gutter="0" w:footer="0" w:header="0"/>
        </w:sectPr>
      </w:pPr>
    </w:p>
    <w:bookmarkStart w:id="89" w:name="page90"/>
    <w:bookmarkEnd w:id="89"/>
    <w:p>
      <w:pPr>
        <w:ind w:right="40"/>
        <w:spacing w:after="0" w:line="270" w:lineRule="auto"/>
        <w:rPr>
          <w:sz w:val="20"/>
          <w:szCs w:val="20"/>
          <w:color w:val="auto"/>
        </w:rPr>
      </w:pPr>
      <w:r>
        <w:rPr>
          <w:rFonts w:ascii="Times New Roman" w:cs="Times New Roman" w:eastAsia="Times New Roman" w:hAnsi="Times New Roman"/>
          <w:sz w:val="17"/>
          <w:szCs w:val="17"/>
          <w:color w:val="auto"/>
        </w:rPr>
        <w:t>administrators of such persons.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 Ten.</w:t>
      </w:r>
    </w:p>
    <w:p>
      <w:pPr>
        <w:spacing w:after="0" w:line="165" w:lineRule="exact"/>
        <w:rPr>
          <w:sz w:val="20"/>
          <w:szCs w:val="20"/>
          <w:color w:val="auto"/>
        </w:rPr>
      </w:pPr>
    </w:p>
    <w:p>
      <w:pPr>
        <w:ind w:right="240" w:firstLine="619"/>
        <w:spacing w:after="0" w:line="260"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Merger or Consolidation</w:t>
      </w:r>
      <w:r>
        <w:rPr>
          <w:rFonts w:ascii="Times New Roman" w:cs="Times New Roman" w:eastAsia="Times New Roman" w:hAnsi="Times New Roman"/>
          <w:sz w:val="17"/>
          <w:szCs w:val="17"/>
          <w:color w:val="auto"/>
        </w:rPr>
        <w:t>. For purposes of this Article Ten,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Ten with respect to the resulting or surviving corporation as he or she would have with respect to such constituent corporation if its separate existence had continued.</w:t>
      </w:r>
    </w:p>
    <w:p>
      <w:pPr>
        <w:spacing w:after="0" w:line="17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Amendment or Repeal</w:t>
      </w:r>
      <w:r>
        <w:rPr>
          <w:rFonts w:ascii="Times New Roman" w:cs="Times New Roman" w:eastAsia="Times New Roman" w:hAnsi="Times New Roman"/>
          <w:sz w:val="17"/>
          <w:szCs w:val="17"/>
          <w:color w:val="auto"/>
        </w:rPr>
        <w:t>. No amendment to or repeal of this Article Ten shall apply to or have any effect on the liability or alleged liability of any director for or with respect to any acts or omissions of such director occurring prior to the effective date of such amendment or repeal.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ELEVEN</w:t>
      </w:r>
    </w:p>
    <w:p>
      <w:pPr>
        <w:spacing w:after="0" w:line="221" w:lineRule="exact"/>
        <w:rPr>
          <w:sz w:val="20"/>
          <w:szCs w:val="20"/>
          <w:color w:val="auto"/>
        </w:rPr>
      </w:pPr>
    </w:p>
    <w:p>
      <w:pPr>
        <w:ind w:right="40" w:firstLine="624"/>
        <w:spacing w:after="0" w:line="264" w:lineRule="auto"/>
        <w:rPr>
          <w:sz w:val="20"/>
          <w:szCs w:val="20"/>
          <w:color w:val="auto"/>
        </w:rPr>
      </w:pPr>
      <w:r>
        <w:rPr>
          <w:rFonts w:ascii="Times New Roman" w:cs="Times New Roman" w:eastAsia="Times New Roman" w:hAnsi="Times New Roman"/>
          <w:sz w:val="17"/>
          <w:szCs w:val="17"/>
          <w:color w:val="auto"/>
        </w:rPr>
        <w:t>Unless the Corporation, as authorized by the Board of Directors, consents in writing to the selection of one or more alternative forums, the Court of Chancery of the State of Delaware (or if the Court of Chancery does not have jurisdiction, the federal district court for the District of Delaware) shall, to the fullest extent permitted by law, be the sole and exclusive forum for a stockholder (including a beneficial owner) to bring (i) any derivative action or proceeding brought on behalf of the Corporation, (ii) any action asserting a claim of breach of a fiduciary duty owed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5108575"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108575" cy="24765"/>
                    </a:xfrm>
                    <a:prstGeom prst="rect">
                      <a:avLst/>
                    </a:prstGeom>
                    <a:noFill/>
                  </pic:spPr>
                </pic:pic>
              </a:graphicData>
            </a:graphic>
          </wp:anchor>
        </w:drawing>
      </w:r>
    </w:p>
    <w:p>
      <w:pPr>
        <w:spacing w:after="0" w:line="3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by any director, officer or other employee of the Corporation to the Corporation or the Corporation’s stockholders, (iii) any action asserting a claim against the Corporation arising pursuant to any provision of the DGCL or this Restated Certificate or the Corporation’s by-laws or (iv) any action asserting a claim against the Corporation, its directors, officers or employees governed by the internal affairs doctrine; except for, as to each of (i) through (iv) above, any claim (A) as to which such court determines that there is an indispensable party not subject to the jurisdiction of such court (and the indispensable party does not consent to the personal jurisdiction of such court within ten (10) days following such determination), (B) which is vested in the exclusive jurisdiction of a court or forum other than such court, or (C) for which such court does not have subject matter jurisdiction. Notwithstanding the foregoing, nothing in this Article Eleven shall preclude or contract the scope of exclusive federal or concurrent jurisdiction for actions brought under the U.S. Securities Act of 1933, as amended, or the U.S. Securities Exchange Act of 1934, as amended, or the respective rules and regulations promulgated thereunder, or otherwise limit the rights of any stockholder (including a beneficial owner) to bring any claim under such laws, rules or regulations in any United States federal district court of competent jurisdiction. Any person or entity purchasing or otherwise acquiring any interest in shares of capital stock of the Corporation (including, without limitation, shares of Common Stock) shall, and shall be deemed to, have notice of and to have consented to the provisions of this Article Eleven.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TWELVE</w:t>
      </w:r>
    </w:p>
    <w:p>
      <w:pPr>
        <w:spacing w:after="0" w:line="221" w:lineRule="exact"/>
        <w:rPr>
          <w:sz w:val="20"/>
          <w:szCs w:val="20"/>
          <w:color w:val="auto"/>
        </w:rPr>
      </w:pPr>
    </w:p>
    <w:p>
      <w:pPr>
        <w:ind w:right="220" w:firstLine="624"/>
        <w:spacing w:after="0" w:line="260" w:lineRule="auto"/>
        <w:rPr>
          <w:sz w:val="20"/>
          <w:szCs w:val="20"/>
          <w:color w:val="auto"/>
        </w:rPr>
      </w:pPr>
      <w:r>
        <w:rPr>
          <w:rFonts w:ascii="Times New Roman" w:cs="Times New Roman" w:eastAsia="Times New Roman" w:hAnsi="Times New Roman"/>
          <w:sz w:val="17"/>
          <w:szCs w:val="17"/>
          <w:color w:val="auto"/>
        </w:rPr>
        <w:t>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in any way be affected or impaired thereby and (ii) to the fullest extent possible, the provisions of this Restated Certificate (including, without limitation, each such portion of any paragraph of this Restated Certificate containing any such</w:t>
      </w:r>
    </w:p>
    <w:p>
      <w:pPr>
        <w:sectPr>
          <w:pgSz w:w="11900" w:h="16838" w:orient="portrait"/>
          <w:cols w:equalWidth="0" w:num="1">
            <w:col w:w="11240"/>
          </w:cols>
          <w:pgMar w:left="320" w:top="1361" w:right="339" w:bottom="1440" w:gutter="0" w:footer="0" w:header="0"/>
        </w:sectPr>
      </w:pPr>
    </w:p>
    <w:bookmarkStart w:id="90" w:name="page91"/>
    <w:bookmarkEnd w:id="90"/>
    <w:p>
      <w:pPr>
        <w:spacing w:after="0" w:line="287" w:lineRule="auto"/>
        <w:rPr>
          <w:sz w:val="20"/>
          <w:szCs w:val="20"/>
          <w:color w:val="auto"/>
        </w:rPr>
      </w:pPr>
      <w:r>
        <w:rPr>
          <w:rFonts w:ascii="Times New Roman" w:cs="Times New Roman" w:eastAsia="Times New Roman" w:hAnsi="Times New Roman"/>
          <w:sz w:val="17"/>
          <w:szCs w:val="17"/>
          <w:color w:val="auto"/>
        </w:rPr>
        <w:t>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4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i w:val="1"/>
          <w:iCs w:val="1"/>
          <w:color w:val="auto"/>
        </w:rPr>
        <w:t>[The remainder of this page is left intentionally blank.]</w:t>
      </w:r>
    </w:p>
    <w:p>
      <w:pPr>
        <w:spacing w:after="0" w:line="2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510857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108575" cy="24765"/>
                    </a:xfrm>
                    <a:prstGeom prst="rect">
                      <a:avLst/>
                    </a:prstGeom>
                    <a:noFill/>
                  </pic:spPr>
                </pic:pic>
              </a:graphicData>
            </a:graphic>
          </wp:anchor>
        </w:drawing>
      </w:r>
    </w:p>
    <w:p>
      <w:pPr>
        <w:sectPr>
          <w:pgSz w:w="11900" w:h="16838" w:orient="portrait"/>
          <w:cols w:equalWidth="0" w:num="1">
            <w:col w:w="10880"/>
          </w:cols>
          <w:pgMar w:left="320" w:top="1361" w:right="6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FOURTH AMENDMENT</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LOAN AND SECURITY AGREEMENT</w:t>
      </w:r>
    </w:p>
    <w:p>
      <w:pPr>
        <w:spacing w:after="0" w:line="222" w:lineRule="exact"/>
        <w:rPr>
          <w:sz w:val="20"/>
          <w:szCs w:val="20"/>
          <w:color w:val="auto"/>
        </w:rPr>
      </w:pPr>
    </w:p>
    <w:p>
      <w:pPr>
        <w:jc w:val="both"/>
        <w:ind w:firstLine="196"/>
        <w:spacing w:after="0" w:line="255"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Fourth Amendment to Loan and Security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is dated as of September 29, 2026 and is entered into by and among Replimune Group, Inc., a Delaware corporation, and each of its Subsidiaries (other than Excluded Subsidiaries and the MSC Subsidiary) party to the Loan Agreement as borrower (individually and collectively referred to as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the several banks and other financial institutions or entities from time to time parties to the Loan Agreement (collectively referred to as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and HERCULES CAPITAL, INC., a Maryland corporation, in its capacity as administrative agent and collateral agent for itself and Lenders (in such capacity,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Capitalized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terms used herein without definition shall have the same meanings given them in the Loan Agreement (as defined below)</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24" w:lineRule="exact"/>
        <w:rPr>
          <w:sz w:val="20"/>
          <w:szCs w:val="20"/>
          <w:color w:val="auto"/>
        </w:rPr>
      </w:pPr>
    </w:p>
    <w:p>
      <w:pPr>
        <w:jc w:val="both"/>
        <w:ind w:firstLine="622"/>
        <w:spacing w:after="0" w:line="254" w:lineRule="auto"/>
        <w:tabs>
          <w:tab w:leader="none" w:pos="1228"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Borrower, Agent and Lenders have entered into that certain Loan and Security Agreement dated as of October 6, 2022, among Borrower, Agent and Lenders (as amended by that certain First Amendment to Loan and Security Agreement dated as of June 28, 2023, as amended by that certain Second Amendment to Loan and Security Agreement dated as of December 22, 2023, as amended by that certain Third Amendment to Loan and Security Agreement dated as of January 29, 2026 and as further amended, restated, amended and restated, supplemented or otherwise modified from time to time, the “</w:t>
      </w:r>
      <w:r>
        <w:rPr>
          <w:rFonts w:ascii="Times New Roman" w:cs="Times New Roman" w:eastAsia="Times New Roman" w:hAnsi="Times New Roman"/>
          <w:sz w:val="19"/>
          <w:szCs w:val="19"/>
          <w:b w:val="1"/>
          <w:bCs w:val="1"/>
          <w:color w:val="auto"/>
        </w:rPr>
        <w:t>Loan Agreement</w:t>
      </w:r>
      <w:r>
        <w:rPr>
          <w:rFonts w:ascii="Times New Roman" w:cs="Times New Roman" w:eastAsia="Times New Roman" w:hAnsi="Times New Roman"/>
          <w:sz w:val="19"/>
          <w:szCs w:val="19"/>
          <w:color w:val="auto"/>
        </w:rPr>
        <w:t>”), pursuant to which Lenders have agreed to extend and make available to Borrower certain advances of money.</w:t>
      </w:r>
    </w:p>
    <w:p>
      <w:pPr>
        <w:spacing w:after="0" w:line="185" w:lineRule="exact"/>
        <w:rPr>
          <w:rFonts w:ascii="Times New Roman" w:cs="Times New Roman" w:eastAsia="Times New Roman" w:hAnsi="Times New Roman"/>
          <w:sz w:val="19"/>
          <w:szCs w:val="19"/>
          <w:b w:val="1"/>
          <w:bCs w:val="1"/>
          <w:color w:val="auto"/>
        </w:rPr>
      </w:pPr>
    </w:p>
    <w:p>
      <w:pPr>
        <w:ind w:firstLine="622"/>
        <w:spacing w:after="0" w:line="269" w:lineRule="auto"/>
        <w:tabs>
          <w:tab w:leader="none" w:pos="123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accordance with Section 11.3 of the Loan Agreement, Borrower has requested that Agent and Lenders agree to amend certain provisions of the Loan Agreement.</w:t>
      </w:r>
    </w:p>
    <w:p>
      <w:pPr>
        <w:spacing w:after="0" w:line="167" w:lineRule="exact"/>
        <w:rPr>
          <w:rFonts w:ascii="Times New Roman" w:cs="Times New Roman" w:eastAsia="Times New Roman" w:hAnsi="Times New Roman"/>
          <w:sz w:val="19"/>
          <w:szCs w:val="19"/>
          <w:b w:val="1"/>
          <w:bCs w:val="1"/>
          <w:color w:val="auto"/>
        </w:rPr>
      </w:pPr>
    </w:p>
    <w:p>
      <w:pPr>
        <w:ind w:left="1240" w:hanging="618"/>
        <w:spacing w:after="0"/>
        <w:tabs>
          <w:tab w:leader="none" w:pos="124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Agent and Lenders have agreed to so amend the Loan Agreement upon the terms and conditions more fully set forth herein.</w:t>
      </w:r>
    </w:p>
    <w:p>
      <w:pPr>
        <w:spacing w:after="0" w:line="202" w:lineRule="exact"/>
        <w:rPr>
          <w:rFonts w:ascii="Times New Roman" w:cs="Times New Roman" w:eastAsia="Times New Roman" w:hAnsi="Times New Roman"/>
          <w:sz w:val="19"/>
          <w:szCs w:val="19"/>
          <w:b w:val="1"/>
          <w:bCs w:val="1"/>
          <w:color w:val="auto"/>
        </w:rPr>
      </w:pPr>
    </w:p>
    <w:p>
      <w:pPr>
        <w:ind w:left="51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Agreement</w:t>
      </w:r>
    </w:p>
    <w:p>
      <w:pPr>
        <w:spacing w:after="0" w:line="224" w:lineRule="exact"/>
        <w:rPr>
          <w:sz w:val="20"/>
          <w:szCs w:val="20"/>
          <w:color w:val="auto"/>
        </w:rPr>
      </w:pPr>
    </w:p>
    <w:p>
      <w:pPr>
        <w:ind w:firstLine="204"/>
        <w:spacing w:after="0" w:line="269" w:lineRule="auto"/>
        <w:rPr>
          <w:sz w:val="20"/>
          <w:szCs w:val="20"/>
          <w:color w:val="auto"/>
        </w:rPr>
      </w:pPr>
      <w:r>
        <w:rPr>
          <w:rFonts w:ascii="Times New Roman" w:cs="Times New Roman" w:eastAsia="Times New Roman" w:hAnsi="Times New Roman"/>
          <w:sz w:val="19"/>
          <w:szCs w:val="19"/>
          <w:color w:val="auto"/>
        </w:rPr>
        <w:t>NOW, THEREFORE, in consideration of the foregoing Recitals and other good and valuable consideration, the receipt and adequacy of which is hereby acknowledged, and intending to be legally bound, the parties hereto agree as follows:</w:t>
      </w:r>
    </w:p>
    <w:p>
      <w:pPr>
        <w:spacing w:after="0" w:line="151" w:lineRule="exact"/>
        <w:rPr>
          <w:sz w:val="20"/>
          <w:szCs w:val="20"/>
          <w:color w:val="auto"/>
        </w:rPr>
      </w:pPr>
    </w:p>
    <w:p>
      <w:pPr>
        <w:ind w:left="1240" w:hanging="618"/>
        <w:spacing w:after="0"/>
        <w:tabs>
          <w:tab w:leader="none" w:pos="1240"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ind w:left="620" w:firstLine="1238"/>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1.1 Section 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Definitions and Rules of Construction</w:t>
      </w:r>
      <w:r>
        <w:rPr>
          <w:rFonts w:ascii="Times New Roman" w:cs="Times New Roman" w:eastAsia="Times New Roman" w:hAnsi="Times New Roman"/>
          <w:sz w:val="19"/>
          <w:szCs w:val="19"/>
          <w:color w:val="auto"/>
        </w:rPr>
        <w:t>). The Loan Agreement is amended by inserting the following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new term and its respective definition to appear alphabetically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thereof:</w:t>
      </w:r>
    </w:p>
    <w:p>
      <w:pPr>
        <w:spacing w:after="0" w:line="195" w:lineRule="exact"/>
        <w:rPr>
          <w:sz w:val="20"/>
          <w:szCs w:val="20"/>
          <w:color w:val="auto"/>
        </w:rPr>
      </w:pPr>
    </w:p>
    <w:p>
      <w:pPr>
        <w:ind w:left="2480" w:hanging="620"/>
        <w:spacing w:after="0"/>
        <w:tabs>
          <w:tab w:leader="none" w:pos="248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“Fourth Amendment Closing Date” means September 29, 2026.”</w:t>
      </w:r>
    </w:p>
    <w:p>
      <w:pPr>
        <w:spacing w:after="0" w:line="180" w:lineRule="exact"/>
        <w:rPr>
          <w:sz w:val="20"/>
          <w:szCs w:val="20"/>
          <w:color w:val="auto"/>
        </w:rPr>
      </w:pPr>
    </w:p>
    <w:p>
      <w:pPr>
        <w:ind w:left="1860"/>
        <w:spacing w:after="0"/>
        <w:tabs>
          <w:tab w:leader="none" w:pos="2440" w:val="left"/>
        </w:tabs>
        <w:rPr>
          <w:sz w:val="20"/>
          <w:szCs w:val="20"/>
          <w:color w:val="auto"/>
        </w:rPr>
      </w:pPr>
      <w:r>
        <w:rPr>
          <w:rFonts w:ascii="Times New Roman" w:cs="Times New Roman" w:eastAsia="Times New Roman" w:hAnsi="Times New Roman"/>
          <w:sz w:val="19"/>
          <w:szCs w:val="19"/>
          <w:b w:val="1"/>
          <w:bCs w:val="1"/>
          <w:color w:val="auto"/>
        </w:rPr>
        <w:t>2.1</w:t>
      </w:r>
      <w:r>
        <w:rPr>
          <w:sz w:val="20"/>
          <w:szCs w:val="20"/>
          <w:color w:val="auto"/>
        </w:rPr>
        <w:tab/>
      </w:r>
      <w:r>
        <w:rPr>
          <w:rFonts w:ascii="Times New Roman" w:cs="Times New Roman" w:eastAsia="Times New Roman" w:hAnsi="Times New Roman"/>
          <w:sz w:val="18"/>
          <w:szCs w:val="18"/>
          <w:color w:val="auto"/>
        </w:rPr>
        <w:t>Section 2.2(d) of the Loan Agreement is hereby amended and restated in its entirety as follows:</w:t>
      </w:r>
    </w:p>
    <w:p>
      <w:pPr>
        <w:spacing w:after="0" w:line="185" w:lineRule="exact"/>
        <w:rPr>
          <w:sz w:val="20"/>
          <w:szCs w:val="20"/>
          <w:color w:val="auto"/>
        </w:rPr>
      </w:pPr>
    </w:p>
    <w:p>
      <w:pPr>
        <w:jc w:val="both"/>
        <w:ind w:left="1860"/>
        <w:spacing w:after="0" w:line="259" w:lineRule="auto"/>
        <w:rPr>
          <w:sz w:val="20"/>
          <w:szCs w:val="20"/>
          <w:color w:val="auto"/>
        </w:rPr>
      </w:pPr>
      <w:r>
        <w:rPr>
          <w:rFonts w:ascii="Times New Roman" w:cs="Times New Roman" w:eastAsia="Times New Roman" w:hAnsi="Times New Roman"/>
          <w:sz w:val="19"/>
          <w:szCs w:val="19"/>
          <w:color w:val="auto"/>
        </w:rPr>
        <w:t>“ (d) Tranche 4 Advance. Subject to the terms and conditions of this Agreement, Borrower may request, and the Lenders shall severally (and not jointly) make, (i) one additional Term Loan Advance in an original principal amount equal to Fifteen Million Dollars ($15,000,000) on the Fourth Amendment Closing Date, and (ii) one additional Term Loan Advance in an original principal amount of</w:t>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9"/>
          <w:szCs w:val="19"/>
          <w:color w:val="auto"/>
        </w:rPr>
        <w:t>up to Fifteen Million Dollars ($15,000,000) on or prior to March 31, 2027 (each, a “Tranche 4 Advance”).”</w:t>
      </w:r>
    </w:p>
    <w:p>
      <w:pPr>
        <w:spacing w:after="0" w:line="203" w:lineRule="exact"/>
        <w:rPr>
          <w:sz w:val="20"/>
          <w:szCs w:val="20"/>
          <w:color w:val="auto"/>
        </w:rPr>
      </w:pPr>
    </w:p>
    <w:p>
      <w:pPr>
        <w:jc w:val="center"/>
        <w:ind w:right="60"/>
        <w:spacing w:after="0"/>
        <w:tabs>
          <w:tab w:leader="none" w:pos="340" w:val="left"/>
        </w:tabs>
        <w:rPr>
          <w:sz w:val="20"/>
          <w:szCs w:val="20"/>
          <w:color w:val="auto"/>
        </w:rPr>
      </w:pPr>
      <w:r>
        <w:rPr>
          <w:rFonts w:ascii="Times New Roman" w:cs="Times New Roman" w:eastAsia="Times New Roman" w:hAnsi="Times New Roman"/>
          <w:sz w:val="19"/>
          <w:szCs w:val="19"/>
          <w:b w:val="1"/>
          <w:bCs w:val="1"/>
          <w:color w:val="auto"/>
        </w:rPr>
        <w:t>2.2</w:t>
      </w:r>
      <w:r>
        <w:rPr>
          <w:sz w:val="20"/>
          <w:szCs w:val="20"/>
          <w:color w:val="auto"/>
        </w:rPr>
        <w:tab/>
      </w:r>
      <w:r>
        <w:rPr>
          <w:rFonts w:ascii="Times New Roman" w:cs="Times New Roman" w:eastAsia="Times New Roman" w:hAnsi="Times New Roman"/>
          <w:sz w:val="18"/>
          <w:szCs w:val="18"/>
          <w:color w:val="auto"/>
        </w:rPr>
        <w:t>Section 7.22(a)(i) of the Loan Agreement is hereby amended and restated in its entirety as follows:</w:t>
      </w:r>
    </w:p>
    <w:p>
      <w:pPr>
        <w:spacing w:after="0" w:line="185" w:lineRule="exact"/>
        <w:rPr>
          <w:sz w:val="20"/>
          <w:szCs w:val="20"/>
          <w:color w:val="auto"/>
        </w:rPr>
      </w:pPr>
    </w:p>
    <w:p>
      <w:pPr>
        <w:jc w:val="both"/>
        <w:ind w:left="1240"/>
        <w:spacing w:after="0" w:line="253" w:lineRule="auto"/>
        <w:rPr>
          <w:sz w:val="20"/>
          <w:szCs w:val="20"/>
          <w:color w:val="auto"/>
        </w:rPr>
      </w:pPr>
      <w:r>
        <w:rPr>
          <w:rFonts w:ascii="Times New Roman" w:cs="Times New Roman" w:eastAsia="Times New Roman" w:hAnsi="Times New Roman"/>
          <w:sz w:val="19"/>
          <w:szCs w:val="19"/>
          <w:color w:val="auto"/>
        </w:rPr>
        <w:t>“ (i) Beginning on the Fourth Amendment Closing Date, Borrower shall at all times maintain Unrestricted Cash in an amount not less than 35% of the aggregate outstanding Secured Obligations (inclusive of any Prepayment Charge and End of Term Charge that would be due and owing if the outstanding Term Loan Advances were prepaid at the time of measurement) plus the Qualified Cash A/P Amount; provided that, upon (i) achievement of the Approval Milestone and (ii) the effectiveness of the Performance Covenant, Borrower shall at all times maintain Unrestricted Cash in an amount not less than 20% of the aggregate outstanding Secured Obligations (inclusive of any Prepayment Charge and End of Term Charge that would be due and owing if the outstanding Term Loan Advances were prepaid at the time of measurement) plus the Qualified Cash A/P Amount; provided, further, that the outstanding Term Loan Advances shall include, for the avoidance of doubt, any principal that has been added to the principal balance of such Term Loan Advances pursuant to Section 2.2(h)(ii)).”</w:t>
      </w:r>
    </w:p>
    <w:p>
      <w:pPr>
        <w:spacing w:after="0" w:line="155" w:lineRule="exact"/>
        <w:rPr>
          <w:sz w:val="20"/>
          <w:szCs w:val="20"/>
          <w:color w:val="auto"/>
        </w:rPr>
      </w:pPr>
    </w:p>
    <w:p>
      <w:pPr>
        <w:ind w:firstLine="1238"/>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2.3 </w:t>
      </w:r>
      <w:r>
        <w:rPr>
          <w:rFonts w:ascii="Times New Roman" w:cs="Times New Roman" w:eastAsia="Times New Roman" w:hAnsi="Times New Roman"/>
          <w:sz w:val="19"/>
          <w:szCs w:val="19"/>
          <w:color w:val="auto"/>
        </w:rPr>
        <w:t>Each reference in the Loan Agreement to “this Agreement” and the words “hereof,” “herein,” “hereunder,”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words of like import, shall mean and be a reference to the Loan Agreement as amended by this Amendment.</w:t>
      </w:r>
    </w:p>
    <w:p>
      <w:pPr>
        <w:spacing w:after="0" w:line="147" w:lineRule="exact"/>
        <w:rPr>
          <w:sz w:val="20"/>
          <w:szCs w:val="20"/>
          <w:color w:val="auto"/>
        </w:rPr>
      </w:pPr>
    </w:p>
    <w:p>
      <w:pPr>
        <w:ind w:left="620" w:hanging="618"/>
        <w:spacing w:after="0"/>
        <w:tabs>
          <w:tab w:leader="none" w:pos="62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Borrower’s Representations And Warranties</w:t>
      </w:r>
      <w:r>
        <w:rPr>
          <w:rFonts w:ascii="Times New Roman" w:cs="Times New Roman" w:eastAsia="Times New Roman" w:hAnsi="Times New Roman"/>
          <w:sz w:val="19"/>
          <w:szCs w:val="19"/>
          <w:color w:val="auto"/>
        </w:rPr>
        <w:t>. Borrower represents and warrants that:</w:t>
      </w:r>
    </w:p>
    <w:p>
      <w:pPr>
        <w:spacing w:after="0" w:line="163"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9"/>
          <w:szCs w:val="19"/>
          <w:b w:val="1"/>
          <w:bCs w:val="1"/>
          <w:color w:val="auto"/>
        </w:rPr>
        <w:t>3.1</w:t>
      </w:r>
      <w:r>
        <w:rPr>
          <w:sz w:val="20"/>
          <w:szCs w:val="20"/>
          <w:color w:val="auto"/>
        </w:rPr>
        <w:tab/>
      </w:r>
      <w:r>
        <w:rPr>
          <w:rFonts w:ascii="Times New Roman" w:cs="Times New Roman" w:eastAsia="Times New Roman" w:hAnsi="Times New Roman"/>
          <w:sz w:val="19"/>
          <w:szCs w:val="19"/>
          <w:color w:val="auto"/>
        </w:rPr>
        <w:t>Immediately upon giving effect to this Amendment, (i) the representations and warranties contained in the Loan</w:t>
      </w:r>
    </w:p>
    <w:p>
      <w:pPr>
        <w:spacing w:after="0" w:line="216" w:lineRule="auto"/>
        <w:rPr>
          <w:sz w:val="20"/>
          <w:szCs w:val="20"/>
          <w:color w:val="auto"/>
        </w:rPr>
      </w:pPr>
      <w:r>
        <w:rPr>
          <w:rFonts w:ascii="Times New Roman" w:cs="Times New Roman" w:eastAsia="Times New Roman" w:hAnsi="Times New Roman"/>
          <w:sz w:val="18"/>
          <w:szCs w:val="18"/>
          <w:color w:val="auto"/>
        </w:rPr>
        <w:t>Documents are true and correct in all material respects except to the extent such representations and warranties expressly relate to an earlier date, in which case they are true and correct in all material respects as of such date and (ii) no Default or Event of Default has occurred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 continuing with respect to which Borrower has not been notified in writing by Agent or Lenders.</w:t>
      </w:r>
    </w:p>
    <w:p>
      <w:pPr>
        <w:spacing w:after="0" w:line="157" w:lineRule="exact"/>
        <w:rPr>
          <w:sz w:val="20"/>
          <w:szCs w:val="20"/>
          <w:color w:val="auto"/>
        </w:rPr>
      </w:pPr>
    </w:p>
    <w:p>
      <w:pPr>
        <w:ind w:firstLine="1238"/>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3.2 </w:t>
      </w:r>
      <w:r>
        <w:rPr>
          <w:rFonts w:ascii="Times New Roman" w:cs="Times New Roman" w:eastAsia="Times New Roman" w:hAnsi="Times New Roman"/>
          <w:sz w:val="19"/>
          <w:szCs w:val="19"/>
          <w:color w:val="auto"/>
        </w:rPr>
        <w:t>Borrower has the corporate power and authority to execute and deliver this Amendment and to perform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obligations under the Loan Agreement, as amended by this Amendment.</w:t>
      </w:r>
    </w:p>
    <w:p>
      <w:pPr>
        <w:spacing w:after="0" w:line="147"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9"/>
          <w:szCs w:val="19"/>
          <w:b w:val="1"/>
          <w:bCs w:val="1"/>
          <w:color w:val="auto"/>
        </w:rPr>
        <w:t>3.3</w:t>
      </w:r>
      <w:r>
        <w:rPr>
          <w:sz w:val="20"/>
          <w:szCs w:val="20"/>
          <w:color w:val="auto"/>
        </w:rPr>
        <w:tab/>
      </w:r>
      <w:r>
        <w:rPr>
          <w:rFonts w:ascii="Times New Roman" w:cs="Times New Roman" w:eastAsia="Times New Roman" w:hAnsi="Times New Roman"/>
          <w:sz w:val="19"/>
          <w:szCs w:val="19"/>
          <w:color w:val="auto"/>
        </w:rPr>
        <w:t>The execution and delivery by Borrower of this Amendment and the performance by Borrower of its obligations</w:t>
      </w:r>
    </w:p>
    <w:p>
      <w:pPr>
        <w:spacing w:after="0" w:line="222" w:lineRule="auto"/>
        <w:rPr>
          <w:sz w:val="20"/>
          <w:szCs w:val="20"/>
          <w:color w:val="auto"/>
        </w:rPr>
      </w:pPr>
      <w:r>
        <w:rPr>
          <w:rFonts w:ascii="Times New Roman" w:cs="Times New Roman" w:eastAsia="Times New Roman" w:hAnsi="Times New Roman"/>
          <w:sz w:val="19"/>
          <w:szCs w:val="19"/>
          <w:color w:val="auto"/>
        </w:rPr>
        <w:t>under the Loan Agreement, as amended by this Amendment, have been duly authorized by all necessary corporate action on the part of Borrower.</w:t>
      </w:r>
    </w:p>
    <w:p>
      <w:pPr>
        <w:spacing w:after="0" w:line="147"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9"/>
          <w:szCs w:val="19"/>
          <w:b w:val="1"/>
          <w:bCs w:val="1"/>
          <w:color w:val="auto"/>
        </w:rPr>
        <w:t>3.4</w:t>
      </w:r>
      <w:r>
        <w:rPr>
          <w:sz w:val="20"/>
          <w:szCs w:val="20"/>
          <w:color w:val="auto"/>
        </w:rPr>
        <w:tab/>
      </w:r>
      <w:r>
        <w:rPr>
          <w:rFonts w:ascii="Times New Roman" w:cs="Times New Roman" w:eastAsia="Times New Roman" w:hAnsi="Times New Roman"/>
          <w:sz w:val="19"/>
          <w:szCs w:val="19"/>
          <w:color w:val="auto"/>
        </w:rPr>
        <w:t>This Amendment has been duly executed and delivered by Borrower and is the binding obligation of Borrower,</w:t>
      </w:r>
    </w:p>
    <w:p>
      <w:pPr>
        <w:spacing w:after="0" w:line="222" w:lineRule="auto"/>
        <w:rPr>
          <w:sz w:val="20"/>
          <w:szCs w:val="20"/>
          <w:color w:val="auto"/>
        </w:rPr>
      </w:pPr>
      <w:r>
        <w:rPr>
          <w:rFonts w:ascii="Times New Roman" w:cs="Times New Roman" w:eastAsia="Times New Roman" w:hAnsi="Times New Roman"/>
          <w:sz w:val="19"/>
          <w:szCs w:val="19"/>
          <w:color w:val="auto"/>
        </w:rPr>
        <w:t>enforceable against it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47"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9"/>
          <w:szCs w:val="19"/>
          <w:b w:val="1"/>
          <w:bCs w:val="1"/>
          <w:color w:val="auto"/>
        </w:rPr>
        <w:t>3.5</w:t>
      </w:r>
      <w:r>
        <w:rPr>
          <w:sz w:val="20"/>
          <w:szCs w:val="20"/>
          <w:color w:val="auto"/>
        </w:rPr>
        <w:tab/>
      </w:r>
      <w:r>
        <w:rPr>
          <w:rFonts w:ascii="Times New Roman" w:cs="Times New Roman" w:eastAsia="Times New Roman" w:hAnsi="Times New Roman"/>
          <w:sz w:val="19"/>
          <w:szCs w:val="19"/>
          <w:color w:val="auto"/>
        </w:rPr>
        <w:t>As of the date hereof, it has no defenses against the obligations to pay any amounts under the Secured Obligations.</w:t>
      </w:r>
    </w:p>
    <w:p>
      <w:pPr>
        <w:spacing w:after="0" w:line="222" w:lineRule="auto"/>
        <w:rPr>
          <w:sz w:val="20"/>
          <w:szCs w:val="20"/>
          <w:color w:val="auto"/>
        </w:rPr>
      </w:pPr>
      <w:r>
        <w:rPr>
          <w:rFonts w:ascii="Times New Roman" w:cs="Times New Roman" w:eastAsia="Times New Roman" w:hAnsi="Times New Roman"/>
          <w:sz w:val="19"/>
          <w:szCs w:val="19"/>
          <w:color w:val="auto"/>
        </w:rPr>
        <w:t>Borrower acknowledges that each of Agent and Lenders has, as of the date hereof, acted in good faith and has conducted in a commercially reasonable manner its relationships with Borrower in connection with this Amendment and in connection with the Loan Documents.</w:t>
      </w:r>
    </w:p>
    <w:p>
      <w:pPr>
        <w:sectPr>
          <w:pgSz w:w="11900" w:h="16838" w:orient="portrait"/>
          <w:cols w:equalWidth="0" w:num="1">
            <w:col w:w="10620"/>
          </w:cols>
          <w:pgMar w:left="940" w:top="1356" w:right="339" w:bottom="1440" w:gutter="0" w:footer="0" w:header="0"/>
        </w:sectPr>
      </w:pPr>
    </w:p>
    <w:bookmarkStart w:id="93" w:name="page94"/>
    <w:bookmarkEnd w:id="93"/>
    <w:p>
      <w:pPr>
        <w:ind w:firstLine="619"/>
        <w:spacing w:after="0" w:line="283" w:lineRule="auto"/>
        <w:rPr>
          <w:sz w:val="20"/>
          <w:szCs w:val="20"/>
          <w:color w:val="auto"/>
        </w:rPr>
      </w:pPr>
      <w:r>
        <w:rPr>
          <w:rFonts w:ascii="Times New Roman" w:cs="Times New Roman" w:eastAsia="Times New Roman" w:hAnsi="Times New Roman"/>
          <w:sz w:val="19"/>
          <w:szCs w:val="19"/>
          <w:color w:val="auto"/>
        </w:rPr>
        <w:t>Borrower understands and acknowledges that each of Agent and Lenders is entering into this Amendment in reliance upon, and in partial consideration for, the above representations and warranties, and agrees that such reliance is reasonable and appropriate.</w:t>
      </w:r>
    </w:p>
    <w:p>
      <w:pPr>
        <w:spacing w:after="0" w:line="125" w:lineRule="exact"/>
        <w:rPr>
          <w:sz w:val="20"/>
          <w:szCs w:val="20"/>
          <w:color w:val="auto"/>
        </w:rPr>
      </w:pPr>
    </w:p>
    <w:p>
      <w:pPr>
        <w:jc w:val="both"/>
        <w:ind w:firstLine="622"/>
        <w:spacing w:after="0" w:line="217" w:lineRule="auto"/>
        <w:tabs>
          <w:tab w:leader="none" w:pos="1237"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Limitation</w:t>
      </w:r>
      <w:r>
        <w:rPr>
          <w:rFonts w:ascii="Times New Roman" w:cs="Times New Roman" w:eastAsia="Times New Roman" w:hAnsi="Times New Roman"/>
          <w:sz w:val="19"/>
          <w:szCs w:val="19"/>
          <w:color w:val="auto"/>
        </w:rPr>
        <w:t>. The amendments set forth in this Amendment shall be limited precisely as written and shall not be deemed (a) to be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waiver or modification of any other term or condition of the Loan Agreement or of any other instrument or agreement referred to therein or to prejudice any right or remedy which Agent and/or Lenders may now have or may have in the future under or in connection with the Loan Agreement (as amended hereby) or any instrument or agreement referred to therein; or (b) to be a consent to any future amendment or modification or waiver to any instrument or agreement the execution and delivery of which is consented to hereby. Except as expressly amended hereby, the Loan Agreement shall continue in full force and effect.</w:t>
      </w:r>
    </w:p>
    <w:p>
      <w:pPr>
        <w:spacing w:after="0" w:line="155" w:lineRule="exact"/>
        <w:rPr>
          <w:rFonts w:ascii="Times New Roman" w:cs="Times New Roman" w:eastAsia="Times New Roman" w:hAnsi="Times New Roman"/>
          <w:sz w:val="19"/>
          <w:szCs w:val="19"/>
          <w:b w:val="1"/>
          <w:bCs w:val="1"/>
          <w:color w:val="auto"/>
        </w:rPr>
      </w:pPr>
    </w:p>
    <w:p>
      <w:pPr>
        <w:ind w:left="1240" w:hanging="618"/>
        <w:spacing w:after="0"/>
        <w:tabs>
          <w:tab w:leader="none" w:pos="1240"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Effectiveness</w:t>
      </w:r>
      <w:r>
        <w:rPr>
          <w:rFonts w:ascii="Times New Roman" w:cs="Times New Roman" w:eastAsia="Times New Roman" w:hAnsi="Times New Roman"/>
          <w:sz w:val="19"/>
          <w:szCs w:val="19"/>
          <w:color w:val="auto"/>
        </w:rPr>
        <w:t>. This Amendment shall become effective upon the satisfaction of all of the following conditions precedent:</w:t>
      </w:r>
    </w:p>
    <w:p>
      <w:pPr>
        <w:spacing w:after="0" w:line="167" w:lineRule="exact"/>
        <w:rPr>
          <w:sz w:val="20"/>
          <w:szCs w:val="20"/>
          <w:color w:val="auto"/>
        </w:rPr>
      </w:pPr>
    </w:p>
    <w:p>
      <w:pPr>
        <w:ind w:left="1860"/>
        <w:spacing w:after="0"/>
        <w:tabs>
          <w:tab w:leader="none" w:pos="2440" w:val="left"/>
        </w:tabs>
        <w:rPr>
          <w:sz w:val="20"/>
          <w:szCs w:val="20"/>
          <w:color w:val="auto"/>
        </w:rPr>
      </w:pPr>
      <w:r>
        <w:rPr>
          <w:rFonts w:ascii="Times New Roman" w:cs="Times New Roman" w:eastAsia="Times New Roman" w:hAnsi="Times New Roman"/>
          <w:sz w:val="19"/>
          <w:szCs w:val="19"/>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Amendment Document</w:t>
      </w:r>
      <w:r>
        <w:rPr>
          <w:rFonts w:ascii="Times New Roman" w:cs="Times New Roman" w:eastAsia="Times New Roman" w:hAnsi="Times New Roman"/>
          <w:sz w:val="19"/>
          <w:szCs w:val="19"/>
          <w:color w:val="auto"/>
        </w:rPr>
        <w:t>. Borrower, Agent and Lenders shall have duly executed and delivered this Amendment to</w:t>
      </w:r>
    </w:p>
    <w:p>
      <w:pPr>
        <w:ind w:left="620"/>
        <w:spacing w:after="0"/>
        <w:rPr>
          <w:sz w:val="20"/>
          <w:szCs w:val="20"/>
          <w:color w:val="auto"/>
        </w:rPr>
      </w:pPr>
      <w:r>
        <w:rPr>
          <w:rFonts w:ascii="Times New Roman" w:cs="Times New Roman" w:eastAsia="Times New Roman" w:hAnsi="Times New Roman"/>
          <w:sz w:val="19"/>
          <w:szCs w:val="19"/>
          <w:color w:val="auto"/>
        </w:rPr>
        <w:t>Lenders.</w:t>
      </w:r>
    </w:p>
    <w:p>
      <w:pPr>
        <w:spacing w:after="0" w:line="156" w:lineRule="exact"/>
        <w:rPr>
          <w:sz w:val="20"/>
          <w:szCs w:val="20"/>
          <w:color w:val="auto"/>
        </w:rPr>
      </w:pPr>
    </w:p>
    <w:p>
      <w:pPr>
        <w:ind w:left="1860"/>
        <w:spacing w:after="0"/>
        <w:tabs>
          <w:tab w:leader="none" w:pos="2440" w:val="left"/>
        </w:tabs>
        <w:rPr>
          <w:sz w:val="20"/>
          <w:szCs w:val="20"/>
          <w:color w:val="auto"/>
        </w:rPr>
      </w:pPr>
      <w:r>
        <w:rPr>
          <w:rFonts w:ascii="Times New Roman" w:cs="Times New Roman" w:eastAsia="Times New Roman" w:hAnsi="Times New Roman"/>
          <w:sz w:val="19"/>
          <w:szCs w:val="19"/>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Advance Request</w:t>
      </w:r>
      <w:r>
        <w:rPr>
          <w:rFonts w:ascii="Times New Roman" w:cs="Times New Roman" w:eastAsia="Times New Roman" w:hAnsi="Times New Roman"/>
          <w:sz w:val="19"/>
          <w:szCs w:val="19"/>
          <w:color w:val="auto"/>
        </w:rPr>
        <w:t>. Agent shall have received a duly executed Advance Request with respect to a Tranche 4</w:t>
      </w:r>
    </w:p>
    <w:p>
      <w:pPr>
        <w:ind w:left="620"/>
        <w:spacing w:after="0" w:line="222" w:lineRule="auto"/>
        <w:rPr>
          <w:sz w:val="20"/>
          <w:szCs w:val="20"/>
          <w:color w:val="auto"/>
        </w:rPr>
      </w:pPr>
      <w:r>
        <w:rPr>
          <w:rFonts w:ascii="Times New Roman" w:cs="Times New Roman" w:eastAsia="Times New Roman" w:hAnsi="Times New Roman"/>
          <w:sz w:val="19"/>
          <w:szCs w:val="19"/>
          <w:color w:val="auto"/>
        </w:rPr>
        <w:t>Advance in an amount equal to Fifteen Million Dollars ($15,000,000) to be made on the Fourth Amendment Closing Date at least one (1) Business Day before the Fourth Amendment Closing Date.</w:t>
      </w:r>
    </w:p>
    <w:p>
      <w:pPr>
        <w:spacing w:after="0" w:line="151" w:lineRule="exact"/>
        <w:rPr>
          <w:sz w:val="20"/>
          <w:szCs w:val="20"/>
          <w:color w:val="auto"/>
        </w:rPr>
      </w:pPr>
    </w:p>
    <w:p>
      <w:pPr>
        <w:ind w:left="1860"/>
        <w:spacing w:after="0"/>
        <w:tabs>
          <w:tab w:leader="none" w:pos="2440" w:val="left"/>
        </w:tabs>
        <w:rPr>
          <w:sz w:val="20"/>
          <w:szCs w:val="20"/>
          <w:color w:val="auto"/>
        </w:rPr>
      </w:pPr>
      <w:r>
        <w:rPr>
          <w:rFonts w:ascii="Times New Roman" w:cs="Times New Roman" w:eastAsia="Times New Roman" w:hAnsi="Times New Roman"/>
          <w:sz w:val="19"/>
          <w:szCs w:val="19"/>
          <w:b w:val="1"/>
          <w:bCs w:val="1"/>
          <w:color w:val="auto"/>
        </w:rPr>
        <w:t>5.3</w:t>
      </w:r>
      <w:r>
        <w:rPr>
          <w:sz w:val="20"/>
          <w:szCs w:val="20"/>
          <w:color w:val="auto"/>
        </w:rPr>
        <w:tab/>
      </w:r>
      <w:r>
        <w:rPr>
          <w:rFonts w:ascii="Times New Roman" w:cs="Times New Roman" w:eastAsia="Times New Roman" w:hAnsi="Times New Roman"/>
          <w:sz w:val="19"/>
          <w:szCs w:val="19"/>
          <w:b w:val="1"/>
          <w:bCs w:val="1"/>
          <w:color w:val="auto"/>
        </w:rPr>
        <w:t>Payment of Lender Expenses</w:t>
      </w:r>
      <w:r>
        <w:rPr>
          <w:rFonts w:ascii="Times New Roman" w:cs="Times New Roman" w:eastAsia="Times New Roman" w:hAnsi="Times New Roman"/>
          <w:sz w:val="19"/>
          <w:szCs w:val="19"/>
          <w:color w:val="auto"/>
        </w:rPr>
        <w:t>. Borrower shall have paid (a) to Agent, for the ratable benefit of the Lenders, the</w:t>
      </w:r>
    </w:p>
    <w:p>
      <w:pPr>
        <w:ind w:left="620"/>
        <w:spacing w:after="0" w:line="205" w:lineRule="auto"/>
        <w:rPr>
          <w:sz w:val="20"/>
          <w:szCs w:val="20"/>
          <w:color w:val="auto"/>
        </w:rPr>
      </w:pPr>
      <w:r>
        <w:rPr>
          <w:rFonts w:ascii="Times New Roman" w:cs="Times New Roman" w:eastAsia="Times New Roman" w:hAnsi="Times New Roman"/>
          <w:sz w:val="19"/>
          <w:szCs w:val="19"/>
          <w:color w:val="auto"/>
        </w:rPr>
        <w:t>Tranche 4 Facility Charge in an amount of Seventy-Five Thousand Dollars ($75,000) and (b) all reasonable Lender expenses (including all reasonable attorneys' fees and reasonable expenses) incurred through the date of this Amendment for the documentation and negotiation of</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this Amendment, in each case, to the extent invoiced on or prior to the Fourth Amendment Closing Date.</w:t>
      </w:r>
    </w:p>
    <w:p>
      <w:pPr>
        <w:spacing w:after="0" w:line="157" w:lineRule="exact"/>
        <w:rPr>
          <w:sz w:val="20"/>
          <w:szCs w:val="20"/>
          <w:color w:val="auto"/>
        </w:rPr>
      </w:pPr>
    </w:p>
    <w:p>
      <w:pPr>
        <w:jc w:val="both"/>
        <w:ind w:firstLine="622"/>
        <w:spacing w:after="0" w:line="211" w:lineRule="auto"/>
        <w:tabs>
          <w:tab w:leader="none" w:pos="1237"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color w:val="auto"/>
        </w:rPr>
        <w:t>. In consideration of the agreements of Agent and each Lender contained herein and for other good and valuable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 and all such other persons being hereinafter referred to collectively as the “Releasees” and individually as a “Releasee”),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prior to the execution of this Amendment,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existing prior to the execution of this Amendment which could now be asserted or which may hereafter be discovered shall affect in any manner the final, absolute and unconditional nature of the release set forth above.</w:t>
      </w:r>
    </w:p>
    <w:p>
      <w:pPr>
        <w:spacing w:after="0" w:line="149" w:lineRule="exact"/>
        <w:rPr>
          <w:rFonts w:ascii="Times New Roman" w:cs="Times New Roman" w:eastAsia="Times New Roman" w:hAnsi="Times New Roman"/>
          <w:sz w:val="19"/>
          <w:szCs w:val="19"/>
          <w:b w:val="1"/>
          <w:bCs w:val="1"/>
          <w:color w:val="auto"/>
        </w:rPr>
      </w:pPr>
    </w:p>
    <w:p>
      <w:pPr>
        <w:jc w:val="both"/>
        <w:ind w:firstLine="622"/>
        <w:spacing w:after="0" w:line="223" w:lineRule="auto"/>
        <w:tabs>
          <w:tab w:leader="none" w:pos="1237"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19"/>
          <w:szCs w:val="19"/>
          <w:color w:val="auto"/>
        </w:rPr>
        <w:t>. This Amendment may be signed in any number of counterparts, and by different parties hereto in separate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counterparts, with the same effect as if the signatures to each such counterpart were upon a single instrument. All counterparts shall be deemed an original of this Amendment. This Amendment may be executed by facsimile, portable document format (.pdf) or similar technology signature, and such signature shall constitute an original for all purposes.</w:t>
      </w:r>
    </w:p>
    <w:p>
      <w:pPr>
        <w:sectPr>
          <w:pgSz w:w="11900" w:h="16838" w:orient="portrait"/>
          <w:cols w:equalWidth="0" w:num="1">
            <w:col w:w="11240"/>
          </w:cols>
          <w:pgMar w:left="320" w:top="1356" w:right="339" w:bottom="1440" w:gutter="0" w:footer="0" w:header="0"/>
        </w:sectPr>
      </w:pPr>
    </w:p>
    <w:bookmarkStart w:id="94" w:name="page95"/>
    <w:bookmarkEnd w:id="94"/>
    <w:p>
      <w:pPr>
        <w:ind w:left="-622" w:firstLine="622"/>
        <w:spacing w:after="0" w:line="245" w:lineRule="auto"/>
        <w:tabs>
          <w:tab w:leader="none" w:pos="615"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Incorporation By Reference. </w:t>
      </w:r>
      <w:r>
        <w:rPr>
          <w:rFonts w:ascii="Times New Roman" w:cs="Times New Roman" w:eastAsia="Times New Roman" w:hAnsi="Times New Roman"/>
          <w:sz w:val="19"/>
          <w:szCs w:val="19"/>
          <w:color w:val="auto"/>
        </w:rPr>
        <w:t>The provisions of Section 11 of the Loan Agreement shall be deemed incorporated herein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34" w:lineRule="exact"/>
        <w:rPr>
          <w:rFonts w:ascii="Times New Roman" w:cs="Times New Roman" w:eastAsia="Times New Roman" w:hAnsi="Times New Roman"/>
          <w:sz w:val="19"/>
          <w:szCs w:val="19"/>
          <w:b w:val="1"/>
          <w:bCs w:val="1"/>
          <w:color w:val="auto"/>
        </w:rPr>
      </w:pPr>
    </w:p>
    <w:p>
      <w:pPr>
        <w:jc w:val="both"/>
        <w:ind w:left="-622" w:firstLine="622"/>
        <w:spacing w:after="0" w:line="212" w:lineRule="auto"/>
        <w:tabs>
          <w:tab w:leader="none" w:pos="615"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Reaffirmation</w:t>
      </w:r>
      <w:r>
        <w:rPr>
          <w:rFonts w:ascii="Times New Roman" w:cs="Times New Roman" w:eastAsia="Times New Roman" w:hAnsi="Times New Roman"/>
          <w:sz w:val="19"/>
          <w:szCs w:val="19"/>
          <w:color w:val="auto"/>
        </w:rPr>
        <w:t>. By executing and delivering a counterpart hereof, (i) Borrower hereby agrees that all Advances incurred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shall be secured by the Collateral pursuant to the applicable Loan Documents in accordance with the terms and provisions thereof and (ii) Borrower hereby (A) agrees that, notwithstanding the effectiveness of this Amendment, after giving effect to this Amendment, the Loan Documents continue to be in full force and effect, (B) agrees that all of the Liens and security interests created and arising under the Loan Documents remain in full force and effect on a continuous basis, and the perfected status and priority of each such Lien and security interest continues in full force and effect on a continuous basis, unimpaired, uninterrupted and undischarged, as collateral security for its obligations, liabilities and indebtedness under the Loan Agreement to the extent provided in, and subject to the limitations and qualifications set forth in, such Loan Documents (as amended by this Amendment) and (C) affirms and confirms all of its obligations, liabilities and indebtedness under the Loan Agreement and each other Loan Document, in each case after giving effect to this Amendment, including the pledge of and/or grant of a security interest in its assets as Collateral pursuant to the Loan Documents to secure such Secured Obligations, all as provided in the Loan Documents, and acknowledges and agrees that such obligations, liabilities, guarantee, pledge and grant continue in full force and effect in respect of, and to secure, such Secured Obligations under the Loan Agreement and the other Loan Documents, in each case, to the extent provided in, and subject to the limitations and qualifications set forth in, such Loan Documents (as amended by this Amendment).</w:t>
      </w:r>
    </w:p>
    <w:p>
      <w:pPr>
        <w:spacing w:after="0" w:line="181" w:lineRule="exact"/>
        <w:rPr>
          <w:sz w:val="20"/>
          <w:szCs w:val="20"/>
          <w:color w:val="auto"/>
        </w:rPr>
      </w:pPr>
    </w:p>
    <w:p>
      <w:pPr>
        <w:ind w:left="2478"/>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ectPr>
          <w:pgSz w:w="11900" w:h="16838" w:orient="portrait"/>
          <w:cols w:equalWidth="0" w:num="1">
            <w:col w:w="10618"/>
          </w:cols>
          <w:pgMar w:left="942" w:top="1339"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duly authorized and caused this Amendment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[Signature Page – Fourth Amendment to LSA (Replimune)]</w:t>
      </w:r>
    </w:p>
    <w:p>
      <w:pPr>
        <w:sectPr>
          <w:pgSz w:w="11900" w:h="16838" w:orient="portrait"/>
          <w:cols w:equalWidth="0" w:num="1">
            <w:col w:w="10620"/>
          </w:cols>
          <w:pgMar w:left="940" w:top="121" w:right="339" w:bottom="1440" w:gutter="0" w:footer="0" w:header="0"/>
        </w:sectPr>
      </w:pPr>
    </w:p>
    <w:bookmarkStart w:id="96" w:name="page97"/>
    <w:bookmarkEnd w:id="96"/>
    <w:p>
      <w:pPr>
        <w:ind w:left="3280"/>
        <w:spacing w:after="0"/>
        <w:rPr>
          <w:sz w:val="20"/>
          <w:szCs w:val="20"/>
          <w:color w:val="auto"/>
        </w:rPr>
      </w:pPr>
      <w:r>
        <w:rPr>
          <w:rFonts w:ascii="Times New Roman" w:cs="Times New Roman" w:eastAsia="Times New Roman" w:hAnsi="Times New Roman"/>
          <w:sz w:val="19"/>
          <w:szCs w:val="19"/>
          <w:b w:val="1"/>
          <w:bCs w:val="1"/>
          <w:color w:val="auto"/>
        </w:rPr>
        <w:t>BORROWER:</w:t>
      </w:r>
    </w:p>
    <w:p>
      <w:pPr>
        <w:spacing w:after="0" w:line="2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REPLIMUNE GROUP, INC.</w:t>
      </w:r>
    </w:p>
    <w:p>
      <w:pPr>
        <w:spacing w:after="0" w:line="207" w:lineRule="exact"/>
        <w:rPr>
          <w:sz w:val="20"/>
          <w:szCs w:val="20"/>
          <w:color w:val="auto"/>
        </w:rPr>
      </w:pPr>
    </w:p>
    <w:tbl>
      <w:tblPr>
        <w:tblLayout w:type="fixed"/>
        <w:tblInd w:w="3280" w:type="dxa"/>
        <w:tblCellMar>
          <w:top w:w="0" w:type="dxa"/>
          <w:left w:w="0" w:type="dxa"/>
          <w:bottom w:w="0" w:type="dxa"/>
          <w:right w:w="0" w:type="dxa"/>
        </w:tblCellMar>
      </w:tblP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9"/>
                <w:szCs w:val="19"/>
                <w:color w:val="auto"/>
                <w:w w:val="97"/>
              </w:rPr>
              <w:t>Signature:</w:t>
            </w:r>
          </w:p>
        </w:tc>
        <w:tc>
          <w:tcPr>
            <w:tcW w:w="16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_______________________</w:t>
            </w:r>
          </w:p>
        </w:tc>
      </w:tr>
      <w:tr>
        <w:trPr>
          <w:trHeight w:val="438"/>
        </w:trPr>
        <w:tc>
          <w:tcPr>
            <w:tcW w:w="94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Print Name:</w:t>
            </w:r>
          </w:p>
        </w:tc>
        <w:tc>
          <w:tcPr>
            <w:tcW w:w="2200" w:type="dxa"/>
            <w:vAlign w:val="bottom"/>
          </w:tcPr>
          <w:p>
            <w:pPr>
              <w:jc w:val="right"/>
              <w:ind w:right="1046"/>
              <w:spacing w:after="0"/>
              <w:rPr>
                <w:sz w:val="20"/>
                <w:szCs w:val="20"/>
                <w:color w:val="auto"/>
              </w:rPr>
            </w:pPr>
            <w:r>
              <w:rPr>
                <w:rFonts w:ascii="Times New Roman" w:cs="Times New Roman" w:eastAsia="Times New Roman" w:hAnsi="Times New Roman"/>
                <w:sz w:val="19"/>
                <w:szCs w:val="19"/>
                <w:color w:val="auto"/>
              </w:rPr>
              <w:t>Sushil Patel</w:t>
            </w:r>
          </w:p>
        </w:tc>
      </w:tr>
      <w:tr>
        <w:trPr>
          <w:trHeight w:val="425"/>
        </w:trPr>
        <w:tc>
          <w:tcPr>
            <w:tcW w:w="7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23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645"/>
        </w:trPr>
        <w:tc>
          <w:tcPr>
            <w:tcW w:w="3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REPLIMUNE, INC.</w:t>
            </w:r>
          </w:p>
        </w:tc>
      </w:tr>
      <w:tr>
        <w:trPr>
          <w:trHeight w:val="438"/>
        </w:trPr>
        <w:tc>
          <w:tcPr>
            <w:tcW w:w="780" w:type="dxa"/>
            <w:vAlign w:val="bottom"/>
          </w:tcPr>
          <w:p>
            <w:pPr>
              <w:spacing w:after="0"/>
              <w:rPr>
                <w:sz w:val="20"/>
                <w:szCs w:val="20"/>
                <w:color w:val="auto"/>
              </w:rPr>
            </w:pPr>
            <w:r>
              <w:rPr>
                <w:rFonts w:ascii="Times New Roman" w:cs="Times New Roman" w:eastAsia="Times New Roman" w:hAnsi="Times New Roman"/>
                <w:sz w:val="19"/>
                <w:szCs w:val="19"/>
                <w:color w:val="auto"/>
                <w:w w:val="97"/>
              </w:rPr>
              <w:t>Signature:</w:t>
            </w:r>
          </w:p>
        </w:tc>
        <w:tc>
          <w:tcPr>
            <w:tcW w:w="1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_______________________</w:t>
            </w:r>
          </w:p>
        </w:tc>
      </w:tr>
      <w:tr>
        <w:trPr>
          <w:trHeight w:val="425"/>
        </w:trPr>
        <w:tc>
          <w:tcPr>
            <w:tcW w:w="94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Print Name:</w:t>
            </w:r>
          </w:p>
        </w:tc>
        <w:tc>
          <w:tcPr>
            <w:tcW w:w="2200" w:type="dxa"/>
            <w:vAlign w:val="bottom"/>
          </w:tcPr>
          <w:p>
            <w:pPr>
              <w:jc w:val="right"/>
              <w:ind w:right="1046"/>
              <w:spacing w:after="0"/>
              <w:rPr>
                <w:sz w:val="20"/>
                <w:szCs w:val="20"/>
                <w:color w:val="auto"/>
              </w:rPr>
            </w:pPr>
            <w:r>
              <w:rPr>
                <w:rFonts w:ascii="Times New Roman" w:cs="Times New Roman" w:eastAsia="Times New Roman" w:hAnsi="Times New Roman"/>
                <w:sz w:val="19"/>
                <w:szCs w:val="19"/>
                <w:color w:val="auto"/>
              </w:rPr>
              <w:t>Sushil Patel</w:t>
            </w:r>
          </w:p>
        </w:tc>
      </w:tr>
      <w:tr>
        <w:trPr>
          <w:trHeight w:val="438"/>
        </w:trPr>
        <w:tc>
          <w:tcPr>
            <w:tcW w:w="7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23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632"/>
        </w:trPr>
        <w:tc>
          <w:tcPr>
            <w:tcW w:w="3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REPLIMUNE LIMITED</w:t>
            </w:r>
          </w:p>
        </w:tc>
      </w:tr>
      <w:tr>
        <w:trPr>
          <w:trHeight w:val="438"/>
        </w:trPr>
        <w:tc>
          <w:tcPr>
            <w:tcW w:w="780" w:type="dxa"/>
            <w:vAlign w:val="bottom"/>
          </w:tcPr>
          <w:p>
            <w:pPr>
              <w:spacing w:after="0"/>
              <w:rPr>
                <w:sz w:val="20"/>
                <w:szCs w:val="20"/>
                <w:color w:val="auto"/>
              </w:rPr>
            </w:pPr>
            <w:r>
              <w:rPr>
                <w:rFonts w:ascii="Times New Roman" w:cs="Times New Roman" w:eastAsia="Times New Roman" w:hAnsi="Times New Roman"/>
                <w:sz w:val="19"/>
                <w:szCs w:val="19"/>
                <w:color w:val="auto"/>
                <w:w w:val="97"/>
              </w:rPr>
              <w:t>Signature:</w:t>
            </w:r>
          </w:p>
        </w:tc>
        <w:tc>
          <w:tcPr>
            <w:tcW w:w="1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_______________________</w:t>
            </w:r>
          </w:p>
        </w:tc>
      </w:tr>
      <w:tr>
        <w:trPr>
          <w:trHeight w:val="438"/>
        </w:trPr>
        <w:tc>
          <w:tcPr>
            <w:tcW w:w="94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Print Name:</w:t>
            </w:r>
          </w:p>
        </w:tc>
        <w:tc>
          <w:tcPr>
            <w:tcW w:w="2200" w:type="dxa"/>
            <w:vAlign w:val="bottom"/>
          </w:tcPr>
          <w:p>
            <w:pPr>
              <w:jc w:val="right"/>
              <w:ind w:right="1046"/>
              <w:spacing w:after="0"/>
              <w:rPr>
                <w:sz w:val="20"/>
                <w:szCs w:val="20"/>
                <w:color w:val="auto"/>
              </w:rPr>
            </w:pPr>
            <w:r>
              <w:rPr>
                <w:rFonts w:ascii="Times New Roman" w:cs="Times New Roman" w:eastAsia="Times New Roman" w:hAnsi="Times New Roman"/>
                <w:sz w:val="19"/>
                <w:szCs w:val="19"/>
                <w:color w:val="auto"/>
              </w:rPr>
              <w:t>Sushil Patel</w:t>
            </w:r>
          </w:p>
        </w:tc>
      </w:tr>
      <w:tr>
        <w:trPr>
          <w:trHeight w:val="425"/>
        </w:trPr>
        <w:tc>
          <w:tcPr>
            <w:tcW w:w="7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23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Fourth Amendment to LSA (Replimune)]</w:t>
      </w:r>
    </w:p>
    <w:p>
      <w:pPr>
        <w:sectPr>
          <w:pgSz w:w="11900" w:h="16838" w:orient="portrait"/>
          <w:cols w:equalWidth="0" w:num="1">
            <w:col w:w="9019"/>
          </w:cols>
          <w:pgMar w:left="1440" w:top="1404"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9"/>
          <w:szCs w:val="19"/>
          <w:color w:val="auto"/>
        </w:rPr>
        <w:t>Accepted in Palo Alto, California:</w:t>
      </w:r>
    </w:p>
    <w:p>
      <w:pPr>
        <w:spacing w:after="0" w:line="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AGENT:</w:t>
      </w:r>
    </w:p>
    <w:p>
      <w:pPr>
        <w:spacing w:after="0" w:line="19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HERCULES CAPITAL, INC.</w:t>
      </w:r>
    </w:p>
    <w:p>
      <w:pPr>
        <w:spacing w:after="0" w:line="220" w:lineRule="exact"/>
        <w:rPr>
          <w:sz w:val="20"/>
          <w:szCs w:val="20"/>
          <w:color w:val="auto"/>
        </w:rPr>
      </w:pPr>
    </w:p>
    <w:p>
      <w:pPr>
        <w:ind w:left="4340"/>
        <w:spacing w:after="0"/>
        <w:tabs>
          <w:tab w:leader="none" w:pos="528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8"/>
          <w:szCs w:val="18"/>
          <w:color w:val="auto"/>
        </w:rPr>
        <w:t>_______________________</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Print Name: Seth Meyer</w:t>
      </w: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Title: President</w:t>
      </w: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LENDERS:</w:t>
      </w:r>
    </w:p>
    <w:p>
      <w:pPr>
        <w:spacing w:after="0" w:line="2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HERCULES CAPITAL, INC.</w:t>
      </w:r>
    </w:p>
    <w:p>
      <w:pPr>
        <w:spacing w:after="0" w:line="220" w:lineRule="exact"/>
        <w:rPr>
          <w:sz w:val="20"/>
          <w:szCs w:val="20"/>
          <w:color w:val="auto"/>
        </w:rPr>
      </w:pPr>
    </w:p>
    <w:p>
      <w:pPr>
        <w:ind w:left="4340"/>
        <w:spacing w:after="0"/>
        <w:tabs>
          <w:tab w:leader="none" w:pos="528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8"/>
          <w:szCs w:val="18"/>
          <w:color w:val="auto"/>
        </w:rPr>
        <w:t>_______________________</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Print Name: Seth Meyer</w:t>
      </w: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Title: President</w:t>
      </w:r>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HERCULES PRIVATE CREDIT FUND 1 L.P.</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Hercules Adviser LLC, its Investment Adviser</w:t>
      </w:r>
    </w:p>
    <w:p>
      <w:pPr>
        <w:spacing w:after="0" w:line="220" w:lineRule="exact"/>
        <w:rPr>
          <w:sz w:val="20"/>
          <w:szCs w:val="20"/>
          <w:color w:val="auto"/>
        </w:rPr>
      </w:pPr>
    </w:p>
    <w:p>
      <w:pPr>
        <w:ind w:left="4340"/>
        <w:spacing w:after="0"/>
        <w:tabs>
          <w:tab w:leader="none" w:pos="528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8"/>
          <w:szCs w:val="18"/>
          <w:color w:val="auto"/>
        </w:rPr>
        <w:t>_______________________</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Print Name: Seth Meyer</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HERCULES PRIVATE GLOBAL VENTURE GROWTH FUND I L.P.</w:t>
      </w:r>
    </w:p>
    <w:p>
      <w:pPr>
        <w:spacing w:after="0" w:line="2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Hercules Adviser LLC, its Investment Adviser</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Signature: ______________________</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Name: Seth Meyer</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[Signature Page – Fourth Amendment to LSA (Replimune)]</w:t>
      </w:r>
    </w:p>
    <w:p>
      <w:pPr>
        <w:sectPr>
          <w:pgSz w:w="11900" w:h="16838" w:orient="portrait"/>
          <w:cols w:equalWidth="0" w:num="1">
            <w:col w:w="10139"/>
          </w:cols>
          <w:pgMar w:left="320" w:top="1356"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HERCULES GROWTH LENDING FUND IV LP</w:t>
      </w:r>
    </w:p>
    <w:p>
      <w:pPr>
        <w:spacing w:after="0" w:line="2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By: Hercules Growth Lending Fund GP LLC, its general partner</w:t>
      </w:r>
    </w:p>
    <w:p>
      <w:pPr>
        <w:spacing w:after="0" w:line="20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Signature: ______________________</w:t>
      </w:r>
    </w:p>
    <w:p>
      <w:pPr>
        <w:spacing w:after="0" w:line="2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Name: Seth Meyer</w:t>
      </w:r>
    </w:p>
    <w:p>
      <w:pPr>
        <w:spacing w:after="0" w:line="20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HERCULES EVERGREEN FUND LP</w:t>
      </w:r>
    </w:p>
    <w:p>
      <w:pPr>
        <w:spacing w:after="0" w:line="2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By: Hercules Evergreen Fund GP LLC, its general partner</w:t>
      </w:r>
    </w:p>
    <w:p>
      <w:pPr>
        <w:spacing w:after="0" w:line="20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Signature: ______________________</w:t>
      </w:r>
    </w:p>
    <w:p>
      <w:pPr>
        <w:spacing w:after="0" w:line="2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Name: Seth Meyer</w:t>
      </w:r>
    </w:p>
    <w:p>
      <w:pPr>
        <w:spacing w:after="0" w:line="20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[Signature Page – Fourth Amendment to LSA (Replimune)]</w:t>
      </w:r>
    </w:p>
    <w:p>
      <w:pPr>
        <w:sectPr>
          <w:pgSz w:w="11900" w:h="16838" w:orient="portrait"/>
          <w:cols w:equalWidth="0" w:num="1">
            <w:col w:w="10120"/>
          </w:cols>
          <w:pgMar w:left="1440" w:top="12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ind w:left="340" w:right="1960"/>
        <w:spacing w:after="0" w:line="272" w:lineRule="auto"/>
        <w:rPr>
          <w:sz w:val="20"/>
          <w:szCs w:val="20"/>
          <w:color w:val="auto"/>
        </w:rPr>
      </w:pPr>
      <w:r>
        <w:rPr>
          <w:rFonts w:ascii="Times New Roman" w:cs="Times New Roman" w:eastAsia="Times New Roman" w:hAnsi="Times New Roman"/>
          <w:sz w:val="17"/>
          <w:szCs w:val="17"/>
          <w:b w:val="1"/>
          <w:bCs w:val="1"/>
          <w:color w:val="auto"/>
        </w:rPr>
        <w:t>CERTIFICATION PURSUANT TO RULES 13a-14(a) AND 15d-14(a) UNDER THE SECURITIES EXCHANGE ACT OF 1934, 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Sushil Patel, certify that:</w:t>
      </w:r>
    </w:p>
    <w:p>
      <w:pPr>
        <w:spacing w:after="0" w:line="217" w:lineRule="exact"/>
        <w:rPr>
          <w:sz w:val="20"/>
          <w:szCs w:val="20"/>
          <w:color w:val="auto"/>
        </w:rPr>
      </w:pPr>
    </w:p>
    <w:p>
      <w:pPr>
        <w:ind w:left="1240" w:hanging="618"/>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Replimune Group, Inc.;</w:t>
      </w:r>
    </w:p>
    <w:p>
      <w:pPr>
        <w:spacing w:after="0" w:line="217" w:lineRule="exact"/>
        <w:rPr>
          <w:rFonts w:ascii="Times New Roman" w:cs="Times New Roman" w:eastAsia="Times New Roman" w:hAnsi="Times New Roman"/>
          <w:sz w:val="17"/>
          <w:szCs w:val="17"/>
          <w:color w:val="auto"/>
        </w:rPr>
      </w:pPr>
    </w:p>
    <w:p>
      <w:pPr>
        <w:ind w:firstLine="622"/>
        <w:spacing w:after="0" w:line="287" w:lineRule="auto"/>
        <w:tabs>
          <w:tab w:leader="none" w:pos="123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220" w:firstLine="622"/>
        <w:spacing w:after="0" w:line="287" w:lineRule="auto"/>
        <w:tabs>
          <w:tab w:leader="none" w:pos="123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180" w:firstLine="622"/>
        <w:spacing w:after="0" w:line="270" w:lineRule="auto"/>
        <w:tabs>
          <w:tab w:leader="none" w:pos="123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620" w:right="300" w:firstLine="775"/>
        <w:spacing w:after="0" w:line="270" w:lineRule="auto"/>
        <w:tabs>
          <w:tab w:leader="none" w:pos="1855"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620" w:right="20" w:firstLine="775"/>
        <w:spacing w:after="0" w:line="270" w:lineRule="auto"/>
        <w:tabs>
          <w:tab w:leader="none" w:pos="185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right="120" w:firstLine="775"/>
        <w:spacing w:after="0" w:line="287" w:lineRule="auto"/>
        <w:tabs>
          <w:tab w:leader="none" w:pos="1855"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620" w:right="100" w:firstLine="775"/>
        <w:spacing w:after="0" w:line="270" w:lineRule="auto"/>
        <w:tabs>
          <w:tab w:leader="none" w:pos="185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622"/>
        <w:spacing w:after="0" w:line="287" w:lineRule="auto"/>
        <w:tabs>
          <w:tab w:leader="none" w:pos="9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right="320" w:firstLine="775"/>
        <w:spacing w:after="0" w:line="287" w:lineRule="auto"/>
        <w:tabs>
          <w:tab w:leader="none" w:pos="1855"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right="40" w:firstLine="775"/>
        <w:spacing w:after="0" w:line="287" w:lineRule="auto"/>
        <w:tabs>
          <w:tab w:leader="none" w:pos="185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60"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28, 2026</w:t>
            </w:r>
          </w:p>
        </w:tc>
        <w:tc>
          <w:tcPr>
            <w:tcW w:w="246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By:</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Sushil Patel</w:t>
            </w:r>
          </w:p>
        </w:tc>
      </w:tr>
      <w:tr>
        <w:trPr>
          <w:trHeight w:val="205"/>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Sushil Patel</w:t>
            </w:r>
          </w:p>
        </w:tc>
      </w:tr>
      <w:tr>
        <w:trPr>
          <w:trHeight w:val="219"/>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27"/>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220"/>
          </w:cols>
          <w:pgMar w:left="340" w:top="98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ind w:left="340" w:right="1960"/>
        <w:spacing w:after="0" w:line="272" w:lineRule="auto"/>
        <w:rPr>
          <w:sz w:val="20"/>
          <w:szCs w:val="20"/>
          <w:color w:val="auto"/>
        </w:rPr>
      </w:pPr>
      <w:r>
        <w:rPr>
          <w:rFonts w:ascii="Times New Roman" w:cs="Times New Roman" w:eastAsia="Times New Roman" w:hAnsi="Times New Roman"/>
          <w:sz w:val="17"/>
          <w:szCs w:val="17"/>
          <w:b w:val="1"/>
          <w:bCs w:val="1"/>
          <w:color w:val="auto"/>
        </w:rPr>
        <w:t>CERTIFICATION PURSUANT TO RULES 13a-14(a) AND 15d-14(a) UNDER THE SECURITIES EXCHANGE ACT OF 1934, 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Emily Hill, certify that:</w:t>
      </w:r>
    </w:p>
    <w:p>
      <w:pPr>
        <w:spacing w:after="0" w:line="217" w:lineRule="exact"/>
        <w:rPr>
          <w:sz w:val="20"/>
          <w:szCs w:val="20"/>
          <w:color w:val="auto"/>
        </w:rPr>
      </w:pPr>
    </w:p>
    <w:p>
      <w:pPr>
        <w:ind w:left="1240" w:hanging="618"/>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Replimune Group, Inc.;</w:t>
      </w:r>
    </w:p>
    <w:p>
      <w:pPr>
        <w:spacing w:after="0" w:line="217" w:lineRule="exact"/>
        <w:rPr>
          <w:rFonts w:ascii="Times New Roman" w:cs="Times New Roman" w:eastAsia="Times New Roman" w:hAnsi="Times New Roman"/>
          <w:sz w:val="17"/>
          <w:szCs w:val="17"/>
          <w:color w:val="auto"/>
        </w:rPr>
      </w:pPr>
    </w:p>
    <w:p>
      <w:pPr>
        <w:ind w:firstLine="622"/>
        <w:spacing w:after="0" w:line="287" w:lineRule="auto"/>
        <w:tabs>
          <w:tab w:leader="none" w:pos="123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220" w:firstLine="622"/>
        <w:spacing w:after="0" w:line="287" w:lineRule="auto"/>
        <w:tabs>
          <w:tab w:leader="none" w:pos="123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180" w:firstLine="622"/>
        <w:spacing w:after="0" w:line="270" w:lineRule="auto"/>
        <w:tabs>
          <w:tab w:leader="none" w:pos="123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620" w:right="300" w:firstLine="775"/>
        <w:spacing w:after="0" w:line="270" w:lineRule="auto"/>
        <w:tabs>
          <w:tab w:leader="none" w:pos="1855"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620" w:right="20" w:firstLine="775"/>
        <w:spacing w:after="0" w:line="270" w:lineRule="auto"/>
        <w:tabs>
          <w:tab w:leader="none" w:pos="1852"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right="120" w:firstLine="775"/>
        <w:spacing w:after="0" w:line="287" w:lineRule="auto"/>
        <w:tabs>
          <w:tab w:leader="none" w:pos="1855"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620" w:right="100" w:firstLine="775"/>
        <w:spacing w:after="0" w:line="270" w:lineRule="auto"/>
        <w:tabs>
          <w:tab w:leader="none" w:pos="1852"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140" w:firstLine="622"/>
        <w:spacing w:after="0" w:line="287" w:lineRule="auto"/>
        <w:tabs>
          <w:tab w:leader="none" w:pos="123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right="320" w:firstLine="775"/>
        <w:spacing w:after="0" w:line="287" w:lineRule="auto"/>
        <w:tabs>
          <w:tab w:leader="none" w:pos="1855"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right="40" w:firstLine="775"/>
        <w:spacing w:after="0" w:line="287" w:lineRule="auto"/>
        <w:tabs>
          <w:tab w:leader="none" w:pos="1852"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28, 2026</w:t>
            </w:r>
          </w:p>
        </w:tc>
        <w:tc>
          <w:tcPr>
            <w:tcW w:w="240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By:</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Emily Hill</w:t>
            </w:r>
          </w:p>
        </w:tc>
      </w:tr>
      <w:tr>
        <w:trPr>
          <w:trHeight w:val="209"/>
        </w:trPr>
        <w:tc>
          <w:tcPr>
            <w:tcW w:w="3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Emily Hill</w:t>
            </w:r>
          </w:p>
        </w:tc>
      </w:tr>
      <w:tr>
        <w:trPr>
          <w:trHeight w:val="219"/>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106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Replimune Group, Inc. (the “Company”) for the quarter ended September 30, 2026, as filed with the Securities and Exchange Commission on the date hereof (the “Report”), the undersigned, Sushil Patel, Chief Executive Officer of the Company, hereby certifies, pursuant to 18 U.S.C. Section 1350, as adopted pursuant to Section 906 of the Sarbanes-Oxley Act of 2002, that to the best of his knowledge:</w:t>
      </w:r>
    </w:p>
    <w:p>
      <w:pPr>
        <w:spacing w:after="0" w:line="165" w:lineRule="exact"/>
        <w:rPr>
          <w:sz w:val="20"/>
          <w:szCs w:val="20"/>
          <w:color w:val="auto"/>
        </w:rPr>
      </w:pPr>
    </w:p>
    <w:p>
      <w:pPr>
        <w:ind w:left="1080" w:hanging="458"/>
        <w:spacing w:after="0"/>
        <w:tabs>
          <w:tab w:leader="none" w:pos="10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28, 2026</w:t>
            </w:r>
          </w:p>
        </w:tc>
        <w:tc>
          <w:tcPr>
            <w:tcW w:w="2460" w:type="dxa"/>
            <w:vAlign w:val="bottom"/>
          </w:tcPr>
          <w:p>
            <w:pPr>
              <w:ind w:left="1840"/>
              <w:spacing w:after="0"/>
              <w:rPr>
                <w:sz w:val="20"/>
                <w:szCs w:val="20"/>
                <w:color w:val="auto"/>
              </w:rPr>
            </w:pPr>
            <w:r>
              <w:rPr>
                <w:rFonts w:ascii="Times New Roman" w:cs="Times New Roman" w:eastAsia="Times New Roman" w:hAnsi="Times New Roman"/>
                <w:sz w:val="17"/>
                <w:szCs w:val="17"/>
                <w:color w:val="auto"/>
              </w:rPr>
              <w:t>By:</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Sushil Patel</w:t>
            </w:r>
          </w:p>
        </w:tc>
      </w:tr>
      <w:tr>
        <w:trPr>
          <w:trHeight w:val="205"/>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Sushil Patel</w:t>
            </w:r>
          </w:p>
        </w:tc>
      </w:tr>
      <w:tr>
        <w:trPr>
          <w:trHeight w:val="219"/>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27"/>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240"/>
          </w:cols>
          <w:pgMar w:left="320" w:top="106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30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Replimune Group, Inc. (the “Company”) for the quarter ended September 30, 2026, as filed with the Securities and Exchange Commission on the date hereof (the “Report”), the undersigned, Emily Hill, Chief Financial Officer of the Company, hereby certifies, pursuant to 18 U.S.C. Section 1350, as adopted pursuant to Section 906 of the Sarbanes-Oxley Act of 2002, that to the best of her knowledge:</w:t>
      </w:r>
    </w:p>
    <w:p>
      <w:pPr>
        <w:spacing w:after="0" w:line="165" w:lineRule="exact"/>
        <w:rPr>
          <w:sz w:val="20"/>
          <w:szCs w:val="20"/>
          <w:color w:val="auto"/>
        </w:rPr>
      </w:pPr>
    </w:p>
    <w:p>
      <w:pPr>
        <w:ind w:left="1080" w:hanging="458"/>
        <w:spacing w:after="0"/>
        <w:tabs>
          <w:tab w:leader="none" w:pos="10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28, 2026</w:t>
            </w:r>
          </w:p>
        </w:tc>
        <w:tc>
          <w:tcPr>
            <w:tcW w:w="2400" w:type="dxa"/>
            <w:vAlign w:val="bottom"/>
          </w:tcPr>
          <w:p>
            <w:pPr>
              <w:ind w:left="1840"/>
              <w:spacing w:after="0"/>
              <w:rPr>
                <w:sz w:val="20"/>
                <w:szCs w:val="20"/>
                <w:color w:val="auto"/>
              </w:rPr>
            </w:pPr>
            <w:r>
              <w:rPr>
                <w:rFonts w:ascii="Times New Roman" w:cs="Times New Roman" w:eastAsia="Times New Roman" w:hAnsi="Times New Roman"/>
                <w:sz w:val="17"/>
                <w:szCs w:val="17"/>
                <w:color w:val="auto"/>
              </w:rPr>
              <w:t>By:</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Emily Hill</w:t>
            </w:r>
          </w:p>
        </w:tc>
      </w:tr>
      <w:tr>
        <w:trPr>
          <w:trHeight w:val="205"/>
        </w:trPr>
        <w:tc>
          <w:tcPr>
            <w:tcW w:w="3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Emily Hill</w:t>
            </w:r>
          </w:p>
        </w:tc>
      </w:tr>
      <w:tr>
        <w:trPr>
          <w:trHeight w:val="219"/>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r>
        <w:trPr>
          <w:trHeight w:val="227"/>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4"/>
    </w:lvl>
  </w:abstractNum>
  <w:abstractNum w:abstractNumId="6">
    <w:nsid w:val="1E7FF521"/>
    <w:multiLevelType w:val="hybridMultilevel"/>
    <w:lvl w:ilvl="0">
      <w:lvlJc w:val="left"/>
      <w:lvlText w:val="5"/>
      <w:numFmt w:val="bullet"/>
      <w:start w:val="1"/>
    </w:lvl>
  </w:abstractNum>
  <w:abstractNum w:abstractNumId="7">
    <w:nsid w:val="7C3DBD3D"/>
    <w:multiLevelType w:val="hybridMultilevel"/>
    <w:lvl w:ilvl="0">
      <w:lvlJc w:val="left"/>
      <w:lvlText w:val="%1."/>
      <w:numFmt w:val="decimal"/>
      <w:start w:val="7"/>
    </w:lvl>
  </w:abstractNum>
  <w:abstractNum w:abstractNumId="8">
    <w:nsid w:val="737B8DDC"/>
    <w:multiLevelType w:val="hybridMultilevel"/>
    <w:lvl w:ilvl="0">
      <w:lvlJc w:val="left"/>
      <w:lvlText w:val="8"/>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upperLetter"/>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2"/>
    </w:lvl>
  </w:abstractNum>
  <w:abstractNum w:abstractNumId="44">
    <w:nsid w:val="579478FE"/>
    <w:multiLevelType w:val="hybridMultilevel"/>
    <w:lvl w:ilvl="0">
      <w:lvlJc w:val="left"/>
      <w:lvlText w:val="\ldblquote"/>
      <w:numFmt w:val="bullet"/>
      <w:start w:val="1"/>
    </w:lvl>
  </w:abstractNum>
  <w:abstractNum w:abstractNumId="45">
    <w:nsid w:val="749ABB43"/>
    <w:multiLevelType w:val="hybridMultilevel"/>
    <w:lvl w:ilvl="0">
      <w:lvlJc w:val="left"/>
      <w:lvlText w:val="\ldblquote"/>
      <w:numFmt w:val="bullet"/>
      <w:start w:val="1"/>
    </w:lvl>
  </w:abstractNum>
  <w:abstractNum w:abstractNumId="46">
    <w:nsid w:val="3DC240FB"/>
    <w:multiLevelType w:val="hybridMultilevel"/>
    <w:lvl w:ilvl="0">
      <w:lvlJc w:val="left"/>
      <w:lvlText w:val="%1."/>
      <w:numFmt w:val="decimal"/>
      <w:start w:val="3"/>
    </w:lvl>
  </w:abstractNum>
  <w:abstractNum w:abstractNumId="47">
    <w:nsid w:val="1BA026FA"/>
    <w:multiLevelType w:val="hybridMultilevel"/>
    <w:lvl w:ilvl="0">
      <w:lvlJc w:val="left"/>
      <w:lvlText w:val="%1."/>
      <w:numFmt w:val="decimal"/>
      <w:start w:val="4"/>
    </w:lvl>
  </w:abstractNum>
  <w:abstractNum w:abstractNumId="48">
    <w:nsid w:val="79A1DEAA"/>
    <w:multiLevelType w:val="hybridMultilevel"/>
    <w:lvl w:ilvl="0">
      <w:lvlJc w:val="left"/>
      <w:lvlText w:val="%1."/>
      <w:numFmt w:val="decimal"/>
      <w:start w:val="6"/>
    </w:lvl>
  </w:abstractNum>
  <w:abstractNum w:abstractNumId="49">
    <w:nsid w:val="75C6C33A"/>
    <w:multiLevelType w:val="hybridMultilevel"/>
    <w:lvl w:ilvl="0">
      <w:lvlJc w:val="left"/>
      <w:lvlText w:val="%1."/>
      <w:numFmt w:val="decimal"/>
      <w:start w:val="8"/>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94" Type="http://schemas.openxmlformats.org/officeDocument/2006/relationships/hyperlink" Target="https://www.sec.gov/Archives/edgar/data/1737953/000110465926108243/tm2625488d1_ex3-1.htm" TargetMode="External"/><Relationship Id="rId95" Type="http://schemas.openxmlformats.org/officeDocument/2006/relationships/hyperlink" Target="https://www.sec.gov/Archives/edgar/data/1737953/000110465926093512/tm2622780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2026-10-28T06:28:58Z</dcterms:created>
  <dcterms:modified xsi:type="dcterms:W3CDTF">2026-10-28T06:28:58Z</dcterms:modified>
</cp:coreProperties>
</file>