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June 29, 2026</w:t>
      </w:r>
    </w:p>
    <w:p>
      <w:pPr>
        <w:spacing w:after="0" w:line="23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185420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Replimune Group,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64" w:right="339" w:bottom="1440" w:gutter="0" w:footer="0" w:header="0"/>
        </w:sectPr>
      </w:pPr>
    </w:p>
    <w:p>
      <w:pPr>
        <w:spacing w:after="0" w:line="196"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0"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7"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82-2082553</w:t>
      </w:r>
    </w:p>
    <w:p>
      <w:pPr>
        <w:spacing w:after="0" w:line="3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7"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b w:val="1"/>
          <w:bCs w:val="1"/>
          <w:color w:val="auto"/>
        </w:rPr>
        <w:t>Identification Number)</w:t>
      </w:r>
    </w:p>
    <w:p>
      <w:pPr>
        <w:spacing w:after="0" w:line="200" w:lineRule="exact"/>
        <w:rPr>
          <w:sz w:val="24"/>
          <w:szCs w:val="24"/>
          <w:color w:val="auto"/>
        </w:rPr>
      </w:pPr>
    </w:p>
    <w:p>
      <w:pPr>
        <w:sectPr>
          <w:pgSz w:w="11900" w:h="16838" w:orient="portrait"/>
          <w:cols w:equalWidth="0" w:num="2">
            <w:col w:w="6400" w:space="720"/>
            <w:col w:w="4120"/>
          </w:cols>
          <w:pgMar w:left="320" w:top="464" w:right="339" w:bottom="1440" w:gutter="0" w:footer="0" w:header="0"/>
          <w:type w:val="continuous"/>
        </w:sectPr>
      </w:pP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500 Unicorn Park Drive</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303</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Woburn, MA 01801</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Replimune Group, Inc. 2018 Omnibus Incentive Compensation Plan</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Replimune Group, Inc. Employee Stock Purchase Plan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(Full Title of the Plans)</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Sushil Patel</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500 Unicorn Park Drive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303</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Woburn, MA 01801</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(781) 222-9600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Please send copies of all communications to:</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Thurston J. Hamlette</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Morgan, Lewis &amp; Bockius LLP</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101 Park Ave.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10178</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309-6000</w:t>
      </w:r>
    </w:p>
    <w:p>
      <w:pPr>
        <w:spacing w:after="0" w:line="202"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100" w:type="dxa"/>
        <w:tblCellMar>
          <w:top w:w="0" w:type="dxa"/>
          <w:left w:w="0" w:type="dxa"/>
          <w:bottom w:w="0" w:type="dxa"/>
          <w:right w:w="0" w:type="dxa"/>
        </w:tblCellMar>
      </w:tblPr>
      <w:tr>
        <w:trPr>
          <w:trHeight w:val="301"/>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87"/>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87"/>
        </w:trPr>
        <w:tc>
          <w:tcPr>
            <w:tcW w:w="1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9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67" w:lineRule="exact"/>
        <w:rPr>
          <w:sz w:val="24"/>
          <w:szCs w:val="24"/>
          <w:color w:val="auto"/>
        </w:rPr>
      </w:pPr>
    </w:p>
    <w:p>
      <w:pPr>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177165</wp:posOffset>
            </wp:positionV>
            <wp:extent cx="71335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482600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This Registration Statement on Form S-8 is being filed for the purpose of registering (i) an additional 3,871,003 shares of common stock of Replimune Group, Inc. (the “Registrant”) to be issued pursuant to the Replimune Group, Inc. 2018 Omnibus Incentive Compensation Plan (the “2018 Plan”) pursuant to certain provisions of the 2018 Plan that provide for an automatic annual increase in the number of shares of common stock authorized for issuance under the 2018 Plan, and (ii) an additional 697,224 shares of common stock of the Registrant to be issued pursuant to the Replimune Group, Inc. Employee Stock Purchase Plan (the “ESPP”) pursuant to certain provisions of the ESPP that provide for an automatic annual increase in the number of shares of common stock authorized for issuance under the ESPP.</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4"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The documents containing the information required in Part I of this Registration Statement have been or will be sent or given to the participating employee as specified in Rule 428(b)(1) of the Securities Act of 1933, as amended (the “Securities Act”), in accordance with the rules and regulations of the Securities and Exchange Commission (the “Commission”). Such documents are not being filed with the Commission either as part of this Registration Statement or as prospectuses or prospectus supplements pursuant to Rule 424 of the Securities Act. These documents and the documents incorporated by reference into this Registration Statement pursuant to Item 3 of Part II of this Registration Statement, taken together, constitute a prospectus that meets the requirements of Section 10(a) of the Securities Act.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documents filed by the Registrant with the Commission are incorporated herein by reference:</w:t>
      </w:r>
    </w:p>
    <w:p>
      <w:pPr>
        <w:spacing w:after="0" w:line="220" w:lineRule="exact"/>
        <w:rPr>
          <w:sz w:val="20"/>
          <w:szCs w:val="20"/>
          <w:color w:val="auto"/>
        </w:rPr>
      </w:pPr>
    </w:p>
    <w:p>
      <w:pPr>
        <w:ind w:left="1280" w:hanging="632"/>
        <w:spacing w:after="0" w:line="276" w:lineRule="auto"/>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w:t>
      </w:r>
      <w:hyperlink r:id="rId13">
        <w:r>
          <w:rPr>
            <w:rFonts w:ascii="Times New Roman" w:cs="Times New Roman" w:eastAsia="Times New Roman" w:hAnsi="Times New Roman"/>
            <w:sz w:val="18"/>
            <w:szCs w:val="18"/>
            <w:u w:val="single" w:color="auto"/>
            <w:color w:val="0000EE"/>
          </w:rPr>
          <w:t>Annual Report on Form 10-K for the fiscal year ended March 31, 2026 filed with the Commission on June 29,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“Annual Report”); and</w:t>
      </w:r>
    </w:p>
    <w:p>
      <w:pPr>
        <w:spacing w:after="0" w:line="164" w:lineRule="exact"/>
        <w:rPr>
          <w:rFonts w:ascii="Times New Roman" w:cs="Times New Roman" w:eastAsia="Times New Roman" w:hAnsi="Times New Roman"/>
          <w:sz w:val="18"/>
          <w:szCs w:val="18"/>
          <w:color w:val="auto"/>
        </w:rPr>
      </w:pPr>
    </w:p>
    <w:p>
      <w:pPr>
        <w:jc w:val="both"/>
        <w:ind w:left="1280" w:hanging="632"/>
        <w:spacing w:after="0" w:line="257" w:lineRule="auto"/>
        <w:tabs>
          <w:tab w:leader="none" w:pos="1280" w:val="left"/>
        </w:tabs>
        <w:numPr>
          <w:ilvl w:val="0"/>
          <w:numId w:val="1"/>
        </w:numPr>
        <w:rPr>
          <w:rFonts w:ascii="Times New Roman" w:cs="Times New Roman" w:eastAsia="Times New Roman" w:hAnsi="Times New Roman"/>
          <w:sz w:val="18"/>
          <w:szCs w:val="18"/>
          <w:color w:val="000000"/>
        </w:rPr>
      </w:pPr>
      <w:hyperlink r:id="rId14">
        <w:r>
          <w:rPr>
            <w:rFonts w:ascii="Times New Roman" w:cs="Times New Roman" w:eastAsia="Times New Roman" w:hAnsi="Times New Roman"/>
            <w:sz w:val="18"/>
            <w:szCs w:val="18"/>
            <w:color w:val="auto"/>
          </w:rPr>
          <w:t xml:space="preserve">The description of the Registrant’s common stock contained in the Registrant’s Registration Statement on </w:t>
        </w:r>
        <w:r>
          <w:rPr>
            <w:rFonts w:ascii="Times New Roman" w:cs="Times New Roman" w:eastAsia="Times New Roman" w:hAnsi="Times New Roman"/>
            <w:sz w:val="18"/>
            <w:szCs w:val="18"/>
            <w:u w:val="single" w:color="auto"/>
            <w:color w:val="0000EE"/>
          </w:rPr>
          <w:t>Form 8-A filed with the</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EE"/>
          </w:rPr>
          <w:t>Commission on July 17, 2018</w:t>
        </w:r>
        <w:r>
          <w:rPr>
            <w:rFonts w:ascii="Times New Roman" w:cs="Times New Roman" w:eastAsia="Times New Roman" w:hAnsi="Times New Roman"/>
            <w:sz w:val="18"/>
            <w:szCs w:val="18"/>
            <w:color w:val="000000"/>
          </w:rPr>
          <w:t>, as updated by “Description of the Registrant’s Securities registered pursuant to Section 12 of the Securities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and Exchange Act of 1934” as filed as </w:t>
      </w:r>
      <w:hyperlink r:id="rId15">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to the Annual Report, and any amendment or report filed for the purposes of updating such description.</w:t>
      </w:r>
    </w:p>
    <w:p>
      <w:pPr>
        <w:spacing w:after="0" w:line="181" w:lineRule="exact"/>
        <w:rPr>
          <w:rFonts w:ascii="Times New Roman" w:cs="Times New Roman" w:eastAsia="Times New Roman" w:hAnsi="Times New Roman"/>
          <w:sz w:val="18"/>
          <w:szCs w:val="18"/>
          <w:color w:val="auto"/>
        </w:rPr>
      </w:pPr>
    </w:p>
    <w:p>
      <w:pPr>
        <w:jc w:val="both"/>
        <w:ind w:firstLine="641"/>
        <w:spacing w:after="0" w:line="268" w:lineRule="auto"/>
        <w:rPr>
          <w:sz w:val="20"/>
          <w:szCs w:val="20"/>
          <w:color w:val="auto"/>
        </w:rPr>
      </w:pPr>
      <w:r>
        <w:rPr>
          <w:rFonts w:ascii="Times New Roman" w:cs="Times New Roman" w:eastAsia="Times New Roman" w:hAnsi="Times New Roman"/>
          <w:sz w:val="17"/>
          <w:szCs w:val="17"/>
          <w:color w:val="auto"/>
        </w:rPr>
        <w:t>All reports and other documents filed by the Registrant after the date hereof pursuant to Sections 13(a), 13(c), 14 and 15(d) of the Securities Exchange Act of 1934, as amended (the “Exchange Act”), prior to the filing of a post-effective amendment which indicates that all securities offered hereby have been sold or which deregisters all securities then remaining unsold, shall be deemed to be incorporated by reference herein and to be part hereof from the date of filing of such reports and documents, except as to any portion of any reports or other documents furnished under Items 2.02 or 7.01 of Form 8-K that is not deemed filed under such provisions.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7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4" w:lineRule="exact"/>
        <w:rPr>
          <w:rFonts w:ascii="Times New Roman" w:cs="Times New Roman" w:eastAsia="Times New Roman" w:hAnsi="Times New Roman"/>
          <w:sz w:val="18"/>
          <w:szCs w:val="18"/>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Names Experts and Counsel.</w:t>
      </w:r>
    </w:p>
    <w:p>
      <w:pPr>
        <w:spacing w:after="0" w:line="224" w:lineRule="exact"/>
        <w:rPr>
          <w:rFonts w:ascii="Times New Roman" w:cs="Times New Roman" w:eastAsia="Times New Roman" w:hAnsi="Times New Roman"/>
          <w:sz w:val="18"/>
          <w:szCs w:val="18"/>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4" w:lineRule="exact"/>
        <w:rPr>
          <w:rFonts w:ascii="Times New Roman" w:cs="Times New Roman" w:eastAsia="Times New Roman" w:hAnsi="Times New Roman"/>
          <w:sz w:val="18"/>
          <w:szCs w:val="18"/>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Section 145 of the Delaware General Corporation Law (“DGCL”) authorizes a corporation’s board of directors to grant, and authorizes a court to award, indemnity to officers, directors and other corporate agents.</w:t>
      </w:r>
    </w:p>
    <w:p>
      <w:pPr>
        <w:spacing w:after="0" w:line="37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 w:name="page3"/>
    <w:bookmarkEnd w:id="2"/>
    <w:p>
      <w:pPr>
        <w:jc w:val="both"/>
        <w:ind w:right="20" w:firstLine="641"/>
        <w:spacing w:after="0" w:line="262" w:lineRule="auto"/>
        <w:rPr>
          <w:sz w:val="20"/>
          <w:szCs w:val="20"/>
          <w:color w:val="auto"/>
        </w:rPr>
      </w:pPr>
      <w:r>
        <w:rPr>
          <w:rFonts w:ascii="Times New Roman" w:cs="Times New Roman" w:eastAsia="Times New Roman" w:hAnsi="Times New Roman"/>
          <w:sz w:val="18"/>
          <w:szCs w:val="18"/>
          <w:color w:val="auto"/>
        </w:rPr>
        <w:t>As permitted by Delaware law, our third amended and restated certificate of incorporation provides that, to the fullest extent permitted by Delaware law, no director will be personally liable to us or our investors for monetary damages for breach of fiduciary duty as a director. Pursuant to Delaware law, such protection would not be available for liability:</w:t>
      </w:r>
    </w:p>
    <w:p>
      <w:pPr>
        <w:spacing w:after="0" w:line="177" w:lineRule="exact"/>
        <w:rPr>
          <w:sz w:val="20"/>
          <w:szCs w:val="20"/>
          <w:color w:val="auto"/>
        </w:rPr>
      </w:pPr>
    </w:p>
    <w:p>
      <w:pPr>
        <w:ind w:left="1280" w:hanging="632"/>
        <w:spacing w:after="0"/>
        <w:tabs>
          <w:tab w:leader="none" w:pos="128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 any breach of a duty of loyalty to us or our investors;</w:t>
      </w:r>
    </w:p>
    <w:p>
      <w:pPr>
        <w:spacing w:after="0" w:line="219" w:lineRule="exact"/>
        <w:rPr>
          <w:rFonts w:ascii="Arial" w:cs="Arial" w:eastAsia="Arial" w:hAnsi="Arial"/>
          <w:sz w:val="18"/>
          <w:szCs w:val="18"/>
          <w:b w:val="1"/>
          <w:bCs w:val="1"/>
          <w:color w:val="auto"/>
        </w:rPr>
      </w:pPr>
    </w:p>
    <w:p>
      <w:pPr>
        <w:ind w:left="1280" w:hanging="632"/>
        <w:spacing w:after="0"/>
        <w:tabs>
          <w:tab w:leader="none" w:pos="128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219" w:lineRule="exact"/>
        <w:rPr>
          <w:rFonts w:ascii="Arial" w:cs="Arial" w:eastAsia="Arial" w:hAnsi="Arial"/>
          <w:sz w:val="18"/>
          <w:szCs w:val="18"/>
          <w:b w:val="1"/>
          <w:bCs w:val="1"/>
          <w:color w:val="auto"/>
        </w:rPr>
      </w:pPr>
    </w:p>
    <w:p>
      <w:pPr>
        <w:ind w:left="1280" w:hanging="632"/>
        <w:spacing w:after="0"/>
        <w:tabs>
          <w:tab w:leader="none" w:pos="128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 any transaction from which the director derived an improper benefit; or</w:t>
      </w:r>
    </w:p>
    <w:p>
      <w:pPr>
        <w:spacing w:after="0" w:line="219" w:lineRule="exact"/>
        <w:rPr>
          <w:rFonts w:ascii="Arial" w:cs="Arial" w:eastAsia="Arial" w:hAnsi="Arial"/>
          <w:sz w:val="18"/>
          <w:szCs w:val="18"/>
          <w:b w:val="1"/>
          <w:bCs w:val="1"/>
          <w:color w:val="auto"/>
        </w:rPr>
      </w:pPr>
    </w:p>
    <w:p>
      <w:pPr>
        <w:ind w:left="1280" w:hanging="632"/>
        <w:spacing w:after="0" w:line="276" w:lineRule="auto"/>
        <w:tabs>
          <w:tab w:leader="none" w:pos="128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 an act or omission for which the liability of a director is expressly provided by an applicable statute, including unlawful payments of dividends or unlawful stock repurchases or redemptions as provided in Section 174 of the DGCL.</w:t>
      </w:r>
    </w:p>
    <w:p>
      <w:pPr>
        <w:spacing w:after="0" w:line="164"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also provides that if Delaware law is amended after the approval by our investors of the amended and restated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177"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Our amended and restated bylaws further provide that we must indemnify our directors and officers to the fullest extent permitted by Delaware law. Our amended and restated bylaws also authorize us to indemnify any of our employees or agents and permit us to secure insurance on behalf of any officer, director, employee or agent for any liability arising out of his or her action in that capacity, whether or not Delaware law would otherwise permit indemnification.</w:t>
      </w:r>
    </w:p>
    <w:p>
      <w:pPr>
        <w:spacing w:after="0" w:line="182"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In addition, our amended and restated bylaws provide that we are required to advance expenses to our directors and officers as incurred in connection with legal proceedings against them for which they may be indemnified and that the rights conferred in the amended and restated bylaws are not exclusive.</w:t>
      </w:r>
    </w:p>
    <w:p>
      <w:pPr>
        <w:spacing w:after="0" w:line="177"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would require us to indemnify each director and officer to the fullest extent permitted by Delaware law, our third amended and restated certificate of incorporation and our amended and restated bylaws, for expenses such as, among other things, attorneys’ fees, judgments, fines and settlement amounts incurred by the director or executive officer in any action or proceeding, including any action by or in our right, arising out of the person’s services as our director or executive officer or as the director or executive officer of any subsidiary of ours or any other company or enterprise to which the person provides services at our request. We have obtained and intend to maintain directors’ and officers’ liability insurance.</w:t>
      </w:r>
    </w:p>
    <w:p>
      <w:pPr>
        <w:spacing w:after="0" w:line="187"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The Commission has taken the position that personal liability of directors for violation of the federal securities laws cannot be limited and that indemnification by us for any such violation is unenforceable. The limitation of liability and indemnification provisions in our third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exhibits to this registration statement are listed in the below Exhibit Index and are incorporated by reference herein.</w:t>
      </w:r>
    </w:p>
    <w:p>
      <w:pPr>
        <w:spacing w:after="0" w:line="150" w:lineRule="exact"/>
        <w:rPr>
          <w:sz w:val="20"/>
          <w:szCs w:val="20"/>
          <w:color w:val="auto"/>
        </w:rPr>
      </w:pPr>
    </w:p>
    <w:tbl>
      <w:tblPr>
        <w:tblLayout w:type="fixed"/>
        <w:tblInd w:w="100" w:type="dxa"/>
        <w:tblCellMar>
          <w:top w:w="0" w:type="dxa"/>
          <w:left w:w="0" w:type="dxa"/>
          <w:bottom w:w="0" w:type="dxa"/>
          <w:right w:w="0" w:type="dxa"/>
        </w:tblCellMar>
      </w:tblPr>
      <w:tr>
        <w:trPr>
          <w:trHeight w:val="237"/>
        </w:trPr>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1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8"/>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6"/>
        </w:trPr>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80" w:type="dxa"/>
            <w:vAlign w:val="bottom"/>
          </w:tcPr>
          <w:p>
            <w:pPr>
              <w:spacing w:after="0"/>
              <w:rPr>
                <w:sz w:val="20"/>
                <w:szCs w:val="20"/>
                <w:color w:val="auto"/>
              </w:rPr>
            </w:pPr>
          </w:p>
        </w:tc>
        <w:tc>
          <w:tcPr>
            <w:tcW w:w="388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2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Incorporated by Reference</w:t>
            </w:r>
          </w:p>
        </w:tc>
        <w:tc>
          <w:tcPr>
            <w:tcW w:w="960" w:type="dxa"/>
            <w:vAlign w:val="bottom"/>
          </w:tcPr>
          <w:p>
            <w:pPr>
              <w:jc w:val="center"/>
              <w:ind w:left="151"/>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07"/>
        </w:trPr>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60" w:type="dxa"/>
            <w:vAlign w:val="bottom"/>
          </w:tcPr>
          <w:p>
            <w:pPr>
              <w:jc w:val="center"/>
              <w:ind w:left="151"/>
              <w:spacing w:after="0"/>
              <w:rPr>
                <w:sz w:val="20"/>
                <w:szCs w:val="20"/>
                <w:color w:val="auto"/>
              </w:rPr>
            </w:pPr>
            <w:r>
              <w:rPr>
                <w:rFonts w:ascii="Times New Roman" w:cs="Times New Roman" w:eastAsia="Times New Roman" w:hAnsi="Times New Roman"/>
                <w:sz w:val="18"/>
                <w:szCs w:val="18"/>
                <w:b w:val="1"/>
                <w:bCs w:val="1"/>
                <w:u w:val="single" w:color="auto"/>
                <w:color w:val="auto"/>
                <w:w w:val="99"/>
              </w:rPr>
              <w:t>Herewith</w:t>
            </w:r>
          </w:p>
        </w:tc>
      </w:tr>
    </w:tbl>
    <w:p>
      <w:pPr>
        <w:spacing w:after="0" w:line="1" w:lineRule="exact"/>
        <w:rPr>
          <w:sz w:val="20"/>
          <w:szCs w:val="20"/>
          <w:color w:val="auto"/>
        </w:rPr>
      </w:pPr>
    </w:p>
    <w:p>
      <w:pPr>
        <w:sectPr>
          <w:pgSz w:w="11900" w:h="16838" w:orient="portrait"/>
          <w:cols w:equalWidth="0" w:num="1">
            <w:col w:w="11240"/>
          </w:cols>
          <w:pgMar w:left="320" w:top="896" w:right="339" w:bottom="1440" w:gutter="0" w:footer="0" w:header="0"/>
        </w:sectPr>
      </w:pPr>
    </w:p>
    <w:tbl>
      <w:tblPr>
        <w:tblLayout w:type="fixed"/>
        <w:tblInd w:w="100" w:type="dxa"/>
        <w:tblCellMar>
          <w:top w:w="0" w:type="dxa"/>
          <w:left w:w="0" w:type="dxa"/>
          <w:bottom w:w="0" w:type="dxa"/>
          <w:right w:w="0" w:type="dxa"/>
        </w:tblCellMar>
      </w:tblPr>
      <w:tr>
        <w:trPr>
          <w:trHeight w:val="167"/>
        </w:trPr>
        <w:tc>
          <w:tcPr>
            <w:tcW w:w="220" w:type="dxa"/>
            <w:vAlign w:val="bottom"/>
            <w:tcBorders>
              <w:bottom w:val="single" w:sz="8" w:color="0000EE"/>
            </w:tcBorders>
          </w:tcPr>
          <w:p>
            <w:pPr>
              <w:spacing w:after="0" w:line="167" w:lineRule="exact"/>
              <w:rPr>
                <w:rFonts w:ascii="Times New Roman" w:cs="Times New Roman" w:eastAsia="Times New Roman" w:hAnsi="Times New Roman"/>
                <w:sz w:val="18"/>
                <w:szCs w:val="18"/>
                <w:color w:val="0000EE"/>
                <w:w w:val="88"/>
              </w:rPr>
            </w:pPr>
            <w:hyperlink r:id="rId17">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w:t>
              </w:r>
            </w:hyperlink>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320" w:type="dxa"/>
            <w:vAlign w:val="bottom"/>
            <w:tcBorders>
              <w:bottom w:val="single" w:sz="8" w:color="0000EE"/>
            </w:tcBorders>
            <w:gridSpan w:val="9"/>
          </w:tcPr>
          <w:p>
            <w:pPr>
              <w:spacing w:after="0" w:line="167" w:lineRule="exact"/>
              <w:rPr>
                <w:rFonts w:ascii="Times New Roman" w:cs="Times New Roman" w:eastAsia="Times New Roman" w:hAnsi="Times New Roman"/>
                <w:sz w:val="18"/>
                <w:szCs w:val="18"/>
                <w:color w:val="0000EE"/>
                <w:w w:val="98"/>
              </w:rPr>
            </w:pPr>
            <w:hyperlink r:id="rId17">
              <w:r>
                <w:rPr>
                  <w:rFonts w:ascii="Times New Roman" w:cs="Times New Roman" w:eastAsia="Times New Roman" w:hAnsi="Times New Roman"/>
                  <w:sz w:val="18"/>
                  <w:szCs w:val="18"/>
                  <w:color w:val="0000EE"/>
                  <w:w w:val="98"/>
                </w:rPr>
                <w:t>Third Amended and Restated Certificate of Incorporation of the Registrant</w:t>
              </w:r>
            </w:hyperlink>
          </w:p>
        </w:tc>
        <w:tc>
          <w:tcPr>
            <w:tcW w:w="740" w:type="dxa"/>
            <w:vAlign w:val="bottom"/>
            <w:gridSpan w:val="3"/>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r>
      <w:tr>
        <w:trPr>
          <w:trHeight w:val="194"/>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80" w:type="dxa"/>
            <w:vAlign w:val="bottom"/>
            <w:gridSpan w:val="11"/>
          </w:tcPr>
          <w:p>
            <w:pPr>
              <w:spacing w:after="0" w:line="194" w:lineRule="exact"/>
              <w:rPr>
                <w:rFonts w:ascii="Times New Roman" w:cs="Times New Roman" w:eastAsia="Times New Roman" w:hAnsi="Times New Roman"/>
                <w:sz w:val="18"/>
                <w:szCs w:val="18"/>
                <w:color w:val="0000EE"/>
                <w:w w:val="98"/>
              </w:rPr>
            </w:pPr>
            <w:hyperlink r:id="rId17">
              <w:r>
                <w:rPr>
                  <w:rFonts w:ascii="Times New Roman" w:cs="Times New Roman" w:eastAsia="Times New Roman" w:hAnsi="Times New Roman"/>
                  <w:sz w:val="18"/>
                  <w:szCs w:val="18"/>
                  <w:color w:val="0000EE"/>
                  <w:w w:val="98"/>
                </w:rPr>
                <w:t>(conformed to include the Certificate of Amendment to the Third Amended and</w:t>
              </w:r>
            </w:hyperlink>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6"/>
          </w:tcPr>
          <w:p>
            <w:pPr>
              <w:jc w:val="center"/>
              <w:ind w:right="140"/>
              <w:spacing w:after="0" w:line="194" w:lineRule="exact"/>
              <w:rPr>
                <w:rFonts w:ascii="Times New Roman" w:cs="Times New Roman" w:eastAsia="Times New Roman" w:hAnsi="Times New Roman"/>
                <w:sz w:val="18"/>
                <w:szCs w:val="18"/>
                <w:color w:val="0000EE"/>
                <w:w w:val="97"/>
              </w:rPr>
            </w:pPr>
            <w:hyperlink r:id="rId17">
              <w:r>
                <w:rPr>
                  <w:rFonts w:ascii="Times New Roman" w:cs="Times New Roman" w:eastAsia="Times New Roman" w:hAnsi="Times New Roman"/>
                  <w:sz w:val="18"/>
                  <w:szCs w:val="18"/>
                  <w:color w:val="0000EE"/>
                  <w:w w:val="97"/>
                </w:rPr>
                <w:t>10-K</w:t>
              </w:r>
            </w:hyperlink>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3"/>
          </w:tcPr>
          <w:p>
            <w:pPr>
              <w:jc w:val="center"/>
              <w:ind w:right="200"/>
              <w:spacing w:after="0" w:line="194" w:lineRule="exact"/>
              <w:rPr>
                <w:rFonts w:ascii="Times New Roman" w:cs="Times New Roman" w:eastAsia="Times New Roman" w:hAnsi="Times New Roman"/>
                <w:sz w:val="18"/>
                <w:szCs w:val="18"/>
                <w:color w:val="0000EE"/>
                <w:w w:val="98"/>
              </w:rPr>
            </w:pPr>
            <w:hyperlink r:id="rId17">
              <w:r>
                <w:rPr>
                  <w:rFonts w:ascii="Times New Roman" w:cs="Times New Roman" w:eastAsia="Times New Roman" w:hAnsi="Times New Roman"/>
                  <w:sz w:val="18"/>
                  <w:szCs w:val="18"/>
                  <w:color w:val="0000EE"/>
                  <w:w w:val="98"/>
                </w:rPr>
                <w:t>June 3, 2020</w:t>
              </w:r>
            </w:hyperlink>
          </w:p>
        </w:tc>
        <w:tc>
          <w:tcPr>
            <w:tcW w:w="640" w:type="dxa"/>
            <w:vAlign w:val="bottom"/>
            <w:gridSpan w:val="3"/>
          </w:tcPr>
          <w:p>
            <w:pPr>
              <w:jc w:val="right"/>
              <w:spacing w:after="0" w:line="194"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240" w:type="dxa"/>
            <w:vAlign w:val="bottom"/>
          </w:tcPr>
          <w:p>
            <w:pPr>
              <w:spacing w:after="0"/>
              <w:rPr>
                <w:sz w:val="16"/>
                <w:szCs w:val="16"/>
                <w:color w:val="auto"/>
              </w:rPr>
            </w:pPr>
          </w:p>
        </w:tc>
      </w:tr>
      <w:tr>
        <w:trPr>
          <w:trHeight w:val="194"/>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80" w:type="dxa"/>
            <w:vAlign w:val="bottom"/>
            <w:tcBorders>
              <w:top w:val="single" w:sz="8" w:color="0000EE"/>
            </w:tcBorders>
            <w:gridSpan w:val="11"/>
          </w:tcPr>
          <w:p>
            <w:pPr>
              <w:spacing w:after="0" w:line="194"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Restated Certificate of Incorporation filed on September 9, 2019).</w:t>
              </w:r>
            </w:hyperlink>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40" w:type="dxa"/>
            <w:vAlign w:val="bottom"/>
          </w:tcPr>
          <w:p>
            <w:pPr>
              <w:spacing w:after="0"/>
              <w:rPr>
                <w:sz w:val="16"/>
                <w:szCs w:val="16"/>
                <w:color w:val="auto"/>
              </w:rPr>
            </w:pPr>
          </w:p>
        </w:tc>
      </w:tr>
      <w:tr>
        <w:trPr>
          <w:trHeight w:val="194"/>
        </w:trPr>
        <w:tc>
          <w:tcPr>
            <w:tcW w:w="220" w:type="dxa"/>
            <w:vAlign w:val="bottom"/>
          </w:tcPr>
          <w:p>
            <w:pPr>
              <w:spacing w:after="0" w:line="194" w:lineRule="exact"/>
              <w:rPr>
                <w:rFonts w:ascii="Times New Roman" w:cs="Times New Roman" w:eastAsia="Times New Roman" w:hAnsi="Times New Roman"/>
                <w:sz w:val="18"/>
                <w:szCs w:val="18"/>
                <w:color w:val="0000EE"/>
                <w:w w:val="88"/>
              </w:rPr>
            </w:pPr>
            <w:hyperlink r:id="rId18">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2</w:t>
              </w:r>
            </w:hyperlink>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560" w:type="dxa"/>
            <w:vAlign w:val="bottom"/>
            <w:tcBorders>
              <w:top w:val="single" w:sz="8" w:color="0000EE"/>
            </w:tcBorders>
            <w:gridSpan w:val="4"/>
          </w:tcPr>
          <w:p>
            <w:pPr>
              <w:spacing w:after="0" w:line="194" w:lineRule="exact"/>
              <w:rPr>
                <w:rFonts w:ascii="Times New Roman" w:cs="Times New Roman" w:eastAsia="Times New Roman" w:hAnsi="Times New Roman"/>
                <w:sz w:val="18"/>
                <w:szCs w:val="18"/>
                <w:color w:val="0000EE"/>
                <w:w w:val="98"/>
              </w:rPr>
            </w:pPr>
            <w:hyperlink r:id="rId18">
              <w:r>
                <w:rPr>
                  <w:rFonts w:ascii="Times New Roman" w:cs="Times New Roman" w:eastAsia="Times New Roman" w:hAnsi="Times New Roman"/>
                  <w:sz w:val="18"/>
                  <w:szCs w:val="18"/>
                  <w:color w:val="0000EE"/>
                  <w:w w:val="98"/>
                </w:rPr>
                <w:t>Amended and Restated By-laws of the Registrant.</w:t>
              </w:r>
            </w:hyperlink>
          </w:p>
        </w:tc>
        <w:tc>
          <w:tcPr>
            <w:tcW w:w="1120" w:type="dxa"/>
            <w:vAlign w:val="bottom"/>
            <w:tcBorders>
              <w:top w:val="single" w:sz="8" w:color="0000EE"/>
            </w:tcBorders>
            <w:gridSpan w:val="2"/>
          </w:tcPr>
          <w:p>
            <w:pPr>
              <w:spacing w:after="0"/>
              <w:rPr>
                <w:sz w:val="16"/>
                <w:szCs w:val="16"/>
                <w:color w:val="auto"/>
              </w:rPr>
            </w:pPr>
          </w:p>
        </w:tc>
        <w:tc>
          <w:tcPr>
            <w:tcW w:w="1380" w:type="dxa"/>
            <w:vAlign w:val="bottom"/>
            <w:gridSpan w:val="6"/>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jc w:val="center"/>
              <w:spacing w:after="0" w:line="194"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8-K</w:t>
              </w:r>
            </w:hyperlink>
          </w:p>
        </w:tc>
        <w:tc>
          <w:tcPr>
            <w:tcW w:w="220" w:type="dxa"/>
            <w:vAlign w:val="bottom"/>
            <w:gridSpan w:val="3"/>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5"/>
          </w:tcPr>
          <w:p>
            <w:pPr>
              <w:jc w:val="center"/>
              <w:spacing w:after="0" w:line="194" w:lineRule="exact"/>
              <w:rPr>
                <w:rFonts w:ascii="Times New Roman" w:cs="Times New Roman" w:eastAsia="Times New Roman" w:hAnsi="Times New Roman"/>
                <w:sz w:val="18"/>
                <w:szCs w:val="18"/>
                <w:color w:val="0000EE"/>
                <w:w w:val="98"/>
              </w:rPr>
            </w:pPr>
            <w:hyperlink r:id="rId18">
              <w:r>
                <w:rPr>
                  <w:rFonts w:ascii="Times New Roman" w:cs="Times New Roman" w:eastAsia="Times New Roman" w:hAnsi="Times New Roman"/>
                  <w:sz w:val="18"/>
                  <w:szCs w:val="18"/>
                  <w:color w:val="0000EE"/>
                  <w:w w:val="98"/>
                </w:rPr>
                <w:t>July 24, 2018</w:t>
              </w:r>
            </w:hyperlink>
          </w:p>
        </w:tc>
        <w:tc>
          <w:tcPr>
            <w:tcW w:w="640" w:type="dxa"/>
            <w:vAlign w:val="bottom"/>
            <w:gridSpan w:val="3"/>
          </w:tcPr>
          <w:p>
            <w:pPr>
              <w:jc w:val="right"/>
              <w:spacing w:after="0" w:line="194"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240" w:type="dxa"/>
            <w:vAlign w:val="bottom"/>
          </w:tcPr>
          <w:p>
            <w:pPr>
              <w:spacing w:after="0"/>
              <w:rPr>
                <w:sz w:val="16"/>
                <w:szCs w:val="16"/>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4"/>
        </w:trPr>
        <w:tc>
          <w:tcPr>
            <w:tcW w:w="220" w:type="dxa"/>
            <w:vAlign w:val="bottom"/>
          </w:tcPr>
          <w:p>
            <w:pPr>
              <w:spacing w:after="0" w:line="194" w:lineRule="exact"/>
              <w:rPr>
                <w:rFonts w:ascii="Times New Roman" w:cs="Times New Roman" w:eastAsia="Times New Roman" w:hAnsi="Times New Roman"/>
                <w:sz w:val="18"/>
                <w:szCs w:val="18"/>
                <w:color w:val="0000EE"/>
                <w:w w:val="88"/>
              </w:rPr>
            </w:pPr>
            <w:hyperlink r:id="rId19">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3</w:t>
              </w:r>
            </w:hyperlink>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0" w:type="dxa"/>
            <w:vAlign w:val="bottom"/>
            <w:gridSpan w:val="5"/>
          </w:tcPr>
          <w:p>
            <w:pPr>
              <w:spacing w:after="0" w:line="194" w:lineRule="exact"/>
              <w:rPr>
                <w:rFonts w:ascii="Times New Roman" w:cs="Times New Roman" w:eastAsia="Times New Roman" w:hAnsi="Times New Roman"/>
                <w:sz w:val="18"/>
                <w:szCs w:val="18"/>
                <w:color w:val="0000EE"/>
                <w:w w:val="98"/>
              </w:rPr>
            </w:pPr>
            <w:hyperlink r:id="rId19">
              <w:r>
                <w:rPr>
                  <w:rFonts w:ascii="Times New Roman" w:cs="Times New Roman" w:eastAsia="Times New Roman" w:hAnsi="Times New Roman"/>
                  <w:sz w:val="18"/>
                  <w:szCs w:val="18"/>
                  <w:color w:val="0000EE"/>
                  <w:w w:val="98"/>
                </w:rPr>
                <w:t>Form of Common Stock Certificate of the Registrant.</w:t>
              </w:r>
            </w:hyperlink>
          </w:p>
        </w:tc>
        <w:tc>
          <w:tcPr>
            <w:tcW w:w="2260" w:type="dxa"/>
            <w:vAlign w:val="bottom"/>
            <w:gridSpan w:val="7"/>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5"/>
          </w:tcPr>
          <w:p>
            <w:pPr>
              <w:jc w:val="center"/>
              <w:spacing w:after="0" w:line="194"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S-1/A</w:t>
              </w:r>
            </w:hyperlink>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5"/>
          </w:tcPr>
          <w:p>
            <w:pPr>
              <w:jc w:val="center"/>
              <w:spacing w:after="0" w:line="194" w:lineRule="exact"/>
              <w:rPr>
                <w:rFonts w:ascii="Times New Roman" w:cs="Times New Roman" w:eastAsia="Times New Roman" w:hAnsi="Times New Roman"/>
                <w:sz w:val="18"/>
                <w:szCs w:val="18"/>
                <w:color w:val="0000EE"/>
                <w:w w:val="98"/>
              </w:rPr>
            </w:pPr>
            <w:hyperlink r:id="rId19">
              <w:r>
                <w:rPr>
                  <w:rFonts w:ascii="Times New Roman" w:cs="Times New Roman" w:eastAsia="Times New Roman" w:hAnsi="Times New Roman"/>
                  <w:sz w:val="18"/>
                  <w:szCs w:val="18"/>
                  <w:color w:val="0000EE"/>
                  <w:w w:val="98"/>
                </w:rPr>
                <w:t>July 10, 2018</w:t>
              </w:r>
            </w:hyperlink>
          </w:p>
        </w:tc>
        <w:tc>
          <w:tcPr>
            <w:tcW w:w="640" w:type="dxa"/>
            <w:vAlign w:val="bottom"/>
            <w:gridSpan w:val="3"/>
          </w:tcPr>
          <w:p>
            <w:pPr>
              <w:jc w:val="right"/>
              <w:spacing w:after="0" w:line="194"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240" w:type="dxa"/>
            <w:vAlign w:val="bottom"/>
          </w:tcPr>
          <w:p>
            <w:pPr>
              <w:spacing w:after="0"/>
              <w:rPr>
                <w:sz w:val="16"/>
                <w:szCs w:val="16"/>
                <w:color w:val="auto"/>
              </w:rPr>
            </w:pPr>
          </w:p>
        </w:tc>
      </w:tr>
      <w:tr>
        <w:trPr>
          <w:trHeight w:val="194"/>
        </w:trPr>
        <w:tc>
          <w:tcPr>
            <w:tcW w:w="220" w:type="dxa"/>
            <w:vAlign w:val="bottom"/>
            <w:tcBorders>
              <w:top w:val="single" w:sz="8" w:color="0000EE"/>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100" w:type="dxa"/>
            <w:vAlign w:val="bottom"/>
            <w:tcBorders>
              <w:top w:val="single" w:sz="8" w:color="0000EE"/>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97"/>
              </w:rPr>
              <w:t>Opinion of Morgan, Lewis &amp; Bockius LLP.</w:t>
            </w:r>
          </w:p>
        </w:tc>
        <w:tc>
          <w:tcPr>
            <w:tcW w:w="700" w:type="dxa"/>
            <w:vAlign w:val="bottom"/>
            <w:tcBorders>
              <w:top w:val="single" w:sz="8" w:color="0000EE"/>
            </w:tcBorders>
            <w:gridSpan w:val="2"/>
          </w:tcPr>
          <w:p>
            <w:pPr>
              <w:spacing w:after="0"/>
              <w:rPr>
                <w:sz w:val="16"/>
                <w:szCs w:val="16"/>
                <w:color w:val="auto"/>
              </w:rPr>
            </w:pPr>
          </w:p>
        </w:tc>
        <w:tc>
          <w:tcPr>
            <w:tcW w:w="2260" w:type="dxa"/>
            <w:vAlign w:val="bottom"/>
            <w:gridSpan w:val="7"/>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9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40" w:type="dxa"/>
            <w:vAlign w:val="bottom"/>
          </w:tcPr>
          <w:p>
            <w:pPr>
              <w:spacing w:after="0"/>
              <w:rPr>
                <w:sz w:val="16"/>
                <w:szCs w:val="16"/>
                <w:color w:val="auto"/>
              </w:rPr>
            </w:pPr>
          </w:p>
        </w:tc>
      </w:tr>
      <w:tr>
        <w:trPr>
          <w:trHeight w:val="194"/>
        </w:trPr>
        <w:tc>
          <w:tcPr>
            <w:tcW w:w="32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1</w:t>
            </w:r>
          </w:p>
        </w:tc>
        <w:tc>
          <w:tcPr>
            <w:tcW w:w="600" w:type="dxa"/>
            <w:vAlign w:val="bottom"/>
          </w:tcPr>
          <w:p>
            <w:pPr>
              <w:spacing w:after="0"/>
              <w:rPr>
                <w:sz w:val="16"/>
                <w:szCs w:val="16"/>
                <w:color w:val="auto"/>
              </w:rPr>
            </w:pPr>
          </w:p>
        </w:tc>
        <w:tc>
          <w:tcPr>
            <w:tcW w:w="5120" w:type="dxa"/>
            <w:vAlign w:val="bottom"/>
            <w:tcBorders>
              <w:bottom w:val="single" w:sz="8" w:color="0000EE"/>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EE"/>
                <w:w w:val="97"/>
              </w:rPr>
              <w:t>Consent of PricewaterhouseCoopers LLP, independent registered public</w:t>
            </w:r>
          </w:p>
        </w:tc>
        <w:tc>
          <w:tcPr>
            <w:tcW w:w="940" w:type="dxa"/>
            <w:vAlign w:val="bottom"/>
            <w:gridSpan w:val="4"/>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94"/>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7"/>
              </w:rPr>
              <w:t>accounting firm.</w:t>
            </w:r>
          </w:p>
        </w:tc>
        <w:tc>
          <w:tcPr>
            <w:tcW w:w="4880" w:type="dxa"/>
            <w:vAlign w:val="bottom"/>
            <w:gridSpan w:val="10"/>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94"/>
        </w:trPr>
        <w:tc>
          <w:tcPr>
            <w:tcW w:w="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2</w:t>
            </w:r>
          </w:p>
        </w:tc>
        <w:tc>
          <w:tcPr>
            <w:tcW w:w="600" w:type="dxa"/>
            <w:vAlign w:val="bottom"/>
          </w:tcPr>
          <w:p>
            <w:pPr>
              <w:spacing w:after="0"/>
              <w:rPr>
                <w:sz w:val="16"/>
                <w:szCs w:val="16"/>
                <w:color w:val="auto"/>
              </w:rPr>
            </w:pPr>
          </w:p>
        </w:tc>
        <w:tc>
          <w:tcPr>
            <w:tcW w:w="606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EE"/>
              </w:rPr>
              <w:t>Consent of Morgan, Lewis &amp; Bockius LLP (included in Exhibit 5.1).</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4"/>
        </w:trPr>
        <w:tc>
          <w:tcPr>
            <w:tcW w:w="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88"/>
              </w:rPr>
              <w:t>24.</w:t>
            </w:r>
            <w:r>
              <w:rPr>
                <w:rFonts w:ascii="Times New Roman" w:cs="Times New Roman" w:eastAsia="Times New Roman" w:hAnsi="Times New Roman"/>
                <w:sz w:val="18"/>
                <w:szCs w:val="18"/>
                <w:u w:val="single" w:color="auto"/>
                <w:color w:val="0000EE"/>
                <w:w w:val="88"/>
              </w:rPr>
              <w:t>1</w:t>
            </w:r>
          </w:p>
        </w:tc>
        <w:tc>
          <w:tcPr>
            <w:tcW w:w="600" w:type="dxa"/>
            <w:vAlign w:val="bottom"/>
          </w:tcPr>
          <w:p>
            <w:pPr>
              <w:spacing w:after="0"/>
              <w:rPr>
                <w:sz w:val="16"/>
                <w:szCs w:val="16"/>
                <w:color w:val="auto"/>
              </w:rPr>
            </w:pPr>
          </w:p>
        </w:tc>
        <w:tc>
          <w:tcPr>
            <w:tcW w:w="606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EE"/>
              </w:rPr>
              <w:t>Power of Attorney (incorporated by reference to the signature page hereto).</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94"/>
        </w:trPr>
        <w:tc>
          <w:tcPr>
            <w:tcW w:w="320" w:type="dxa"/>
            <w:vAlign w:val="bottom"/>
            <w:tcBorders>
              <w:top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107</w:t>
            </w:r>
          </w:p>
        </w:tc>
        <w:tc>
          <w:tcPr>
            <w:tcW w:w="600" w:type="dxa"/>
            <w:vAlign w:val="bottom"/>
          </w:tcPr>
          <w:p>
            <w:pPr>
              <w:spacing w:after="0"/>
              <w:rPr>
                <w:sz w:val="16"/>
                <w:szCs w:val="16"/>
                <w:color w:val="auto"/>
              </w:rPr>
            </w:pPr>
          </w:p>
        </w:tc>
        <w:tc>
          <w:tcPr>
            <w:tcW w:w="5360" w:type="dxa"/>
            <w:vAlign w:val="bottom"/>
            <w:tcBorders>
              <w:top w:val="single" w:sz="8" w:color="0000EE"/>
            </w:tcBorders>
            <w:gridSpan w:val="10"/>
          </w:tcPr>
          <w:p>
            <w:pPr>
              <w:spacing w:after="0" w:line="194" w:lineRule="exact"/>
              <w:rPr>
                <w:sz w:val="20"/>
                <w:szCs w:val="20"/>
                <w:color w:val="auto"/>
              </w:rPr>
            </w:pPr>
            <w:r>
              <w:rPr>
                <w:rFonts w:ascii="Times New Roman" w:cs="Times New Roman" w:eastAsia="Times New Roman" w:hAnsi="Times New Roman"/>
                <w:sz w:val="18"/>
                <w:szCs w:val="18"/>
                <w:color w:val="0000EE"/>
              </w:rPr>
              <w:t>Filing Fee Table</w:t>
            </w:r>
          </w:p>
        </w:tc>
        <w:tc>
          <w:tcPr>
            <w:tcW w:w="70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448"/>
        </w:trPr>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35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140" w:space="520"/>
            <w:col w:w="580"/>
          </w:cols>
          <w:pgMar w:left="320" w:top="896"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4" w:lineRule="exact"/>
        <w:rPr>
          <w:sz w:val="20"/>
          <w:szCs w:val="20"/>
          <w:color w:val="auto"/>
        </w:rPr>
      </w:pPr>
    </w:p>
    <w:p>
      <w:pPr>
        <w:ind w:left="640" w:hanging="63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0" w:lineRule="exact"/>
        <w:rPr>
          <w:rFonts w:ascii="Times New Roman" w:cs="Times New Roman" w:eastAsia="Times New Roman" w:hAnsi="Times New Roman"/>
          <w:sz w:val="18"/>
          <w:szCs w:val="18"/>
          <w:color w:val="auto"/>
        </w:rPr>
      </w:pPr>
    </w:p>
    <w:p>
      <w:pPr>
        <w:ind w:left="1280" w:hanging="632"/>
        <w:spacing w:after="0"/>
        <w:tabs>
          <w:tab w:leader="none" w:pos="12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0" w:lineRule="exact"/>
        <w:rPr>
          <w:rFonts w:ascii="Times New Roman" w:cs="Times New Roman" w:eastAsia="Times New Roman" w:hAnsi="Times New Roman"/>
          <w:sz w:val="18"/>
          <w:szCs w:val="18"/>
          <w:color w:val="auto"/>
        </w:rPr>
      </w:pPr>
    </w:p>
    <w:p>
      <w:pPr>
        <w:ind w:left="1940" w:hanging="651"/>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r>
        <w:rPr>
          <w:rFonts w:ascii="Times New Roman" w:cs="Times New Roman" w:eastAsia="Times New Roman" w:hAnsi="Times New Roman"/>
          <w:sz w:val="1"/>
          <w:szCs w:val="1"/>
          <w:color w:val="auto"/>
        </w:rPr>
        <w:drawing>
          <wp:inline distT="0" distB="0" distL="0" distR="0">
            <wp:extent cx="135890" cy="336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5890" cy="33655"/>
                    </a:xfrm>
                    <a:prstGeom prst="rect">
                      <a:avLst/>
                    </a:prstGeom>
                    <a:noFill/>
                    <a:ln>
                      <a:noFill/>
                    </a:ln>
                  </pic:spPr>
                </pic:pic>
              </a:graphicData>
            </a:graphic>
          </wp:inline>
        </w:drawing>
      </w:r>
    </w:p>
    <w:p>
      <w:pPr>
        <w:spacing w:after="0" w:line="220" w:lineRule="exact"/>
        <w:rPr>
          <w:rFonts w:ascii="Times New Roman" w:cs="Times New Roman" w:eastAsia="Times New Roman" w:hAnsi="Times New Roman"/>
          <w:sz w:val="18"/>
          <w:szCs w:val="18"/>
          <w:color w:val="auto"/>
        </w:rPr>
      </w:pPr>
    </w:p>
    <w:p>
      <w:pPr>
        <w:jc w:val="both"/>
        <w:ind w:left="1940" w:hanging="651"/>
        <w:spacing w:after="0" w:line="252" w:lineRule="auto"/>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940" w:hanging="651"/>
        <w:spacing w:after="0" w:line="277" w:lineRule="auto"/>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sz w:val="20"/>
          <w:szCs w:val="20"/>
          <w:color w:val="auto"/>
        </w:rPr>
      </w:pPr>
    </w:p>
    <w:p>
      <w:pPr>
        <w:jc w:val="both"/>
        <w:ind w:left="1280"/>
        <w:spacing w:after="0" w:line="263"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176" w:lineRule="exact"/>
        <w:rPr>
          <w:sz w:val="20"/>
          <w:szCs w:val="20"/>
          <w:color w:val="auto"/>
        </w:rPr>
      </w:pPr>
    </w:p>
    <w:p>
      <w:pPr>
        <w:jc w:val="both"/>
        <w:ind w:left="1280" w:hanging="632"/>
        <w:spacing w:after="0" w:line="262" w:lineRule="auto"/>
        <w:tabs>
          <w:tab w:leader="none" w:pos="12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7" w:lineRule="exact"/>
        <w:rPr>
          <w:rFonts w:ascii="Times New Roman" w:cs="Times New Roman" w:eastAsia="Times New Roman" w:hAnsi="Times New Roman"/>
          <w:sz w:val="18"/>
          <w:szCs w:val="18"/>
          <w:color w:val="auto"/>
        </w:rPr>
      </w:pPr>
    </w:p>
    <w:p>
      <w:pPr>
        <w:ind w:left="1280" w:hanging="632"/>
        <w:spacing w:after="0" w:line="277" w:lineRule="auto"/>
        <w:tabs>
          <w:tab w:leader="none" w:pos="12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rFonts w:ascii="Times New Roman" w:cs="Times New Roman" w:eastAsia="Times New Roman" w:hAnsi="Times New Roman"/>
          <w:sz w:val="18"/>
          <w:szCs w:val="18"/>
          <w:color w:val="auto"/>
        </w:rPr>
      </w:pPr>
    </w:p>
    <w:p>
      <w:pPr>
        <w:jc w:val="both"/>
        <w:ind w:left="640" w:hanging="633"/>
        <w:spacing w:after="0" w:line="255"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2" w:lineRule="exact"/>
        <w:rPr>
          <w:rFonts w:ascii="Times New Roman" w:cs="Times New Roman" w:eastAsia="Times New Roman" w:hAnsi="Times New Roman"/>
          <w:sz w:val="18"/>
          <w:szCs w:val="18"/>
          <w:color w:val="auto"/>
        </w:rPr>
      </w:pPr>
    </w:p>
    <w:p>
      <w:pPr>
        <w:jc w:val="both"/>
        <w:ind w:left="640" w:hanging="633"/>
        <w:spacing w:after="0" w:line="25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such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 of Woburn, Commonwealth of Massachusetts on June 29, 2026.</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238"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Sushil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15875</wp:posOffset>
            </wp:positionV>
            <wp:extent cx="32740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3274060" cy="8255"/>
                    </a:xfrm>
                    <a:prstGeom prst="rect">
                      <a:avLst/>
                    </a:prstGeom>
                    <a:noFill/>
                  </pic:spPr>
                </pic:pic>
              </a:graphicData>
            </a:graphic>
          </wp:anchor>
        </w:drawing>
      </w:r>
    </w:p>
    <w:p>
      <w:pPr>
        <w:spacing w:after="0" w:line="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Sushil Patel</w:t>
      </w:r>
    </w:p>
    <w:p>
      <w:pPr>
        <w:spacing w:after="0" w:line="2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does hereby constitute and appoint Sushil Patel and Shawn Glidden, and each of them, with full power of substitution and full power to act without the other, his or her true and lawful attorneys-in-fact and agents to act for him or her in his or her name, place and stead, in any and all capacities, to sign any and all amendments (including post-effective amendments) to this registration statement, and to file this registration statement,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order to effectuate the same as fully, to all intents and purposes, as they or he or she might or could do in person, hereby ratifying and confirming all that said attorneys-in-fact and agents, or any of them, may lawfully do or cause to be done by virtue hereof.</w:t>
      </w:r>
    </w:p>
    <w:p>
      <w:pPr>
        <w:spacing w:after="0" w:line="11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 indicated.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Date</w:t>
            </w:r>
          </w:p>
        </w:tc>
      </w:tr>
      <w:tr>
        <w:trPr>
          <w:trHeight w:val="427"/>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Sushil Patel</w:t>
            </w:r>
          </w:p>
        </w:tc>
        <w:tc>
          <w:tcPr>
            <w:tcW w:w="4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29, 2026</w:t>
            </w:r>
          </w:p>
        </w:tc>
      </w:tr>
      <w:tr>
        <w:trPr>
          <w:trHeight w:val="22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Sushil Patel</w:t>
            </w:r>
          </w:p>
        </w:tc>
        <w:tc>
          <w:tcPr>
            <w:tcW w:w="4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420" w:type="dxa"/>
            <w:vAlign w:val="bottom"/>
          </w:tcPr>
          <w:p>
            <w:pPr>
              <w:spacing w:after="0"/>
              <w:rPr>
                <w:sz w:val="19"/>
                <w:szCs w:val="19"/>
                <w:color w:val="auto"/>
              </w:rPr>
            </w:pPr>
          </w:p>
        </w:tc>
      </w:tr>
      <w:tr>
        <w:trPr>
          <w:trHeight w:val="40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Emily Hill</w:t>
            </w:r>
          </w:p>
        </w:tc>
        <w:tc>
          <w:tcPr>
            <w:tcW w:w="4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Chief Financial Officer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29, 2026</w:t>
            </w:r>
          </w:p>
        </w:tc>
      </w:tr>
      <w:tr>
        <w:trPr>
          <w:trHeight w:val="22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Emily Hill</w:t>
            </w:r>
          </w:p>
        </w:tc>
        <w:tc>
          <w:tcPr>
            <w:tcW w:w="4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3420" w:type="dxa"/>
            <w:vAlign w:val="bottom"/>
          </w:tcPr>
          <w:p>
            <w:pPr>
              <w:spacing w:after="0"/>
              <w:rPr>
                <w:sz w:val="19"/>
                <w:szCs w:val="19"/>
                <w:color w:val="auto"/>
              </w:rPr>
            </w:pPr>
          </w:p>
        </w:tc>
      </w:tr>
      <w:tr>
        <w:trPr>
          <w:trHeight w:val="40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Schwendenman</w:t>
            </w:r>
          </w:p>
        </w:tc>
        <w:tc>
          <w:tcPr>
            <w:tcW w:w="4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Chief Accounting Officer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29, 2026</w:t>
            </w:r>
          </w:p>
        </w:tc>
      </w:tr>
      <w:tr>
        <w:trPr>
          <w:trHeight w:val="22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Andrew Schwendenman</w:t>
            </w:r>
          </w:p>
        </w:tc>
        <w:tc>
          <w:tcPr>
            <w:tcW w:w="4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3420" w:type="dxa"/>
            <w:vAlign w:val="bottom"/>
          </w:tcPr>
          <w:p>
            <w:pPr>
              <w:spacing w:after="0"/>
              <w:rPr>
                <w:sz w:val="19"/>
                <w:szCs w:val="19"/>
                <w:color w:val="auto"/>
              </w:rPr>
            </w:pPr>
          </w:p>
        </w:tc>
      </w:tr>
      <w:tr>
        <w:trPr>
          <w:trHeight w:val="40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Philip Astley-Sparke</w:t>
            </w:r>
          </w:p>
        </w:tc>
        <w:tc>
          <w:tcPr>
            <w:tcW w:w="4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29, 2026</w:t>
            </w:r>
          </w:p>
        </w:tc>
      </w:tr>
      <w:tr>
        <w:trPr>
          <w:trHeight w:val="22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Philip Astley-Sparke</w:t>
            </w:r>
          </w:p>
        </w:tc>
        <w:tc>
          <w:tcPr>
            <w:tcW w:w="444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0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Kapil Dhingra</w:t>
            </w:r>
          </w:p>
        </w:tc>
        <w:tc>
          <w:tcPr>
            <w:tcW w:w="4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29, 2026</w:t>
            </w:r>
          </w:p>
        </w:tc>
      </w:tr>
      <w:tr>
        <w:trPr>
          <w:trHeight w:val="22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Kapil Dhingra</w:t>
            </w:r>
          </w:p>
        </w:tc>
        <w:tc>
          <w:tcPr>
            <w:tcW w:w="444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0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Madhavan Balachandran</w:t>
            </w:r>
          </w:p>
        </w:tc>
        <w:tc>
          <w:tcPr>
            <w:tcW w:w="4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29, 2026</w:t>
            </w:r>
          </w:p>
        </w:tc>
      </w:tr>
      <w:tr>
        <w:trPr>
          <w:trHeight w:val="22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Madhavan Balachandran</w:t>
            </w:r>
          </w:p>
        </w:tc>
        <w:tc>
          <w:tcPr>
            <w:tcW w:w="444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0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Christy Oliger</w:t>
            </w:r>
          </w:p>
        </w:tc>
        <w:tc>
          <w:tcPr>
            <w:tcW w:w="4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29, 2026</w:t>
            </w:r>
          </w:p>
        </w:tc>
      </w:tr>
      <w:tr>
        <w:trPr>
          <w:trHeight w:val="22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Christy Oliger</w:t>
            </w:r>
          </w:p>
        </w:tc>
        <w:tc>
          <w:tcPr>
            <w:tcW w:w="444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0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Paolo Pucci</w:t>
            </w:r>
          </w:p>
        </w:tc>
        <w:tc>
          <w:tcPr>
            <w:tcW w:w="4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29, 2026</w:t>
            </w:r>
          </w:p>
        </w:tc>
      </w:tr>
      <w:tr>
        <w:trPr>
          <w:trHeight w:val="22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Paolo Pucci</w:t>
            </w:r>
          </w:p>
        </w:tc>
        <w:tc>
          <w:tcPr>
            <w:tcW w:w="444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0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Slattery</w:t>
            </w:r>
          </w:p>
        </w:tc>
        <w:tc>
          <w:tcPr>
            <w:tcW w:w="4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29, 2026</w:t>
            </w:r>
          </w:p>
        </w:tc>
      </w:tr>
      <w:tr>
        <w:trPr>
          <w:trHeight w:val="22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Joseph Slattery</w:t>
            </w:r>
          </w:p>
        </w:tc>
        <w:tc>
          <w:tcPr>
            <w:tcW w:w="444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0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Veleka Peeples-Dyer</w:t>
            </w:r>
          </w:p>
        </w:tc>
        <w:tc>
          <w:tcPr>
            <w:tcW w:w="4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29, 2026</w:t>
            </w:r>
          </w:p>
        </w:tc>
      </w:tr>
      <w:tr>
        <w:trPr>
          <w:trHeight w:val="22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Veleka Peeples-Dyer</w:t>
            </w:r>
          </w:p>
        </w:tc>
        <w:tc>
          <w:tcPr>
            <w:tcW w:w="444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0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Dieter Weinand</w:t>
            </w:r>
          </w:p>
        </w:tc>
        <w:tc>
          <w:tcPr>
            <w:tcW w:w="4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29, 2026</w:t>
            </w:r>
          </w:p>
        </w:tc>
      </w:tr>
      <w:tr>
        <w:trPr>
          <w:trHeight w:val="22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Dieter Weinand</w:t>
            </w:r>
          </w:p>
        </w:tc>
        <w:tc>
          <w:tcPr>
            <w:tcW w:w="444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0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Goller</w:t>
            </w:r>
          </w:p>
        </w:tc>
        <w:tc>
          <w:tcPr>
            <w:tcW w:w="4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29, 2026</w:t>
            </w:r>
          </w:p>
        </w:tc>
      </w:tr>
      <w:tr>
        <w:trPr>
          <w:trHeight w:val="22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Michael Goller</w:t>
            </w:r>
          </w:p>
        </w:tc>
        <w:tc>
          <w:tcPr>
            <w:tcW w:w="444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35"/>
        </w:trPr>
        <w:tc>
          <w:tcPr>
            <w:tcW w:w="33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8"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2120900" cy="339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2120900" cy="33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Replimune Group,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Unicorn Park Drive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303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Woburn, MA 01801</w:t>
      </w:r>
    </w:p>
    <w:p>
      <w:pPr>
        <w:spacing w:after="0" w:line="20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Replimune Group, Inc., Registration Statement on Form S-8 Filed on June 29,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acted as counsel to Replimune Group,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its filing of a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the date hereof. The Registration Statement relates to the offer and sale of 4,568,227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common stock, par value $0.001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comprised of (i) 3,871,003 shares of Common Stock issuable under the Company’s 2018 Omnibus Incentive Compensation Plan (the “</w:t>
      </w:r>
      <w:r>
        <w:rPr>
          <w:rFonts w:ascii="Times New Roman" w:cs="Times New Roman" w:eastAsia="Times New Roman" w:hAnsi="Times New Roman"/>
          <w:sz w:val="18"/>
          <w:szCs w:val="18"/>
          <w:u w:val="single" w:color="auto"/>
          <w:color w:val="auto"/>
        </w:rPr>
        <w:t>2018 Plan</w:t>
      </w:r>
      <w:r>
        <w:rPr>
          <w:rFonts w:ascii="Times New Roman" w:cs="Times New Roman" w:eastAsia="Times New Roman" w:hAnsi="Times New Roman"/>
          <w:sz w:val="18"/>
          <w:szCs w:val="18"/>
          <w:color w:val="auto"/>
        </w:rPr>
        <w:t>”) and (ii) 697,224 shares of Common Stock issuable under the Company’s Employee Stock Purchase Plan (the “</w:t>
      </w:r>
      <w:r>
        <w:rPr>
          <w:rFonts w:ascii="Times New Roman" w:cs="Times New Roman" w:eastAsia="Times New Roman" w:hAnsi="Times New Roman"/>
          <w:sz w:val="18"/>
          <w:szCs w:val="18"/>
          <w:u w:val="single" w:color="auto"/>
          <w:color w:val="auto"/>
        </w:rPr>
        <w:t>ESPP</w:t>
      </w:r>
      <w:r>
        <w:rPr>
          <w:rFonts w:ascii="Times New Roman" w:cs="Times New Roman" w:eastAsia="Times New Roman" w:hAnsi="Times New Roman"/>
          <w:sz w:val="18"/>
          <w:szCs w:val="18"/>
          <w:color w:val="auto"/>
        </w:rPr>
        <w:t>” and, together with the 2018 Plan, the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this opinion letter, we have examined the Registration Statement and originals, or copies certified or otherwise identified to our satisfaction, of (i) the Third Amended and Restated Certificate of Incorporation of the Company, as amended to date, (ii) the Amended and Restated Bylaws of the Company, as amended to date, (iii) certain resolutions of the Company’s Board of Directors and the committees thereof relating to the Registration Statement, (iv) the Plans and (v) such other documents, records and other instruments as we have deemed appropriate for purposes of the opinions set forth herein.</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we are of the opinion, as of the date hereof, that the Shares have been duly authorized by the Company and, when issued by the Company in accordance with the provisions of the Plans, as applicable, will be validly issued, fully paid, and non-assessable.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expressed herein are limited to the Federal laws of the United States and the Delaware General Corporation Law.</w:t>
      </w:r>
    </w:p>
    <w:p>
      <w:pPr>
        <w:spacing w:after="0" w:line="22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We hereby consent to the use of this opinion as Exhibit 5.1 to the Registration Statement. In giving such consent, we do not hereby admit that we are acting within the category of persons whose consent is required under Section 7 of the Act or the rules or regulations of the Commission thereunder.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MORGAN, LEWIS &amp; BOCKIUS LLP</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480" w:type="dxa"/>
            <w:vAlign w:val="bottom"/>
          </w:tcPr>
          <w:p>
            <w:pPr>
              <w:ind w:left="6760"/>
              <w:spacing w:after="0"/>
              <w:rPr>
                <w:sz w:val="20"/>
                <w:szCs w:val="20"/>
                <w:color w:val="auto"/>
              </w:rPr>
            </w:pPr>
            <w:r>
              <w:rPr>
                <w:rFonts w:ascii="Times New Roman" w:cs="Times New Roman" w:eastAsia="Times New Roman" w:hAnsi="Times New Roman"/>
                <w:sz w:val="18"/>
                <w:szCs w:val="18"/>
                <w:b w:val="1"/>
                <w:bCs w:val="1"/>
                <w:color w:val="auto"/>
              </w:rPr>
              <w:t xml:space="preserve">Morgan, Lewis &amp; Bockius </w:t>
            </w:r>
            <w:r>
              <w:rPr>
                <w:rFonts w:ascii="Times New Roman" w:cs="Times New Roman" w:eastAsia="Times New Roman" w:hAnsi="Times New Roman"/>
                <w:sz w:val="12"/>
                <w:szCs w:val="12"/>
                <w:b w:val="1"/>
                <w:bCs w:val="1"/>
                <w:color w:val="auto"/>
              </w:rPr>
              <w:t>llp</w:t>
            </w:r>
          </w:p>
        </w:tc>
        <w:tc>
          <w:tcPr>
            <w:tcW w:w="1760" w:type="dxa"/>
            <w:vAlign w:val="bottom"/>
          </w:tcPr>
          <w:p>
            <w:pPr>
              <w:spacing w:after="0"/>
              <w:rPr>
                <w:sz w:val="20"/>
                <w:szCs w:val="20"/>
                <w:color w:val="auto"/>
              </w:rPr>
            </w:pPr>
          </w:p>
        </w:tc>
      </w:tr>
      <w:tr>
        <w:trPr>
          <w:trHeight w:val="409"/>
        </w:trPr>
        <w:tc>
          <w:tcPr>
            <w:tcW w:w="948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101 Park Avenue</w:t>
            </w:r>
          </w:p>
        </w:tc>
        <w:tc>
          <w:tcPr>
            <w:tcW w:w="1760" w:type="dxa"/>
            <w:vAlign w:val="bottom"/>
          </w:tcPr>
          <w:p>
            <w:pPr>
              <w:spacing w:after="0"/>
              <w:rPr>
                <w:sz w:val="24"/>
                <w:szCs w:val="24"/>
                <w:color w:val="auto"/>
              </w:rPr>
            </w:pPr>
          </w:p>
        </w:tc>
      </w:tr>
      <w:tr>
        <w:trPr>
          <w:trHeight w:val="254"/>
        </w:trPr>
        <w:tc>
          <w:tcPr>
            <w:tcW w:w="948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New York, New York 10178-0060</w:t>
            </w:r>
          </w:p>
        </w:tc>
        <w:tc>
          <w:tcPr>
            <w:tcW w:w="17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+1.212.309.6000</w:t>
            </w:r>
          </w:p>
        </w:tc>
      </w:tr>
      <w:tr>
        <w:trPr>
          <w:trHeight w:val="273"/>
        </w:trPr>
        <w:tc>
          <w:tcPr>
            <w:tcW w:w="948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United States</w:t>
            </w:r>
          </w:p>
        </w:tc>
        <w:tc>
          <w:tcPr>
            <w:tcW w:w="17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+1.212.309.6001</w:t>
            </w:r>
          </w:p>
        </w:tc>
      </w:tr>
      <w:tr>
        <w:trPr>
          <w:trHeight w:val="667"/>
        </w:trPr>
        <w:tc>
          <w:tcPr>
            <w:tcW w:w="9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6069330</wp:posOffset>
            </wp:positionH>
            <wp:positionV relativeFrom="paragraph">
              <wp:posOffset>-754380</wp:posOffset>
            </wp:positionV>
            <wp:extent cx="118745" cy="127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8745" cy="127000"/>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-593090</wp:posOffset>
            </wp:positionV>
            <wp:extent cx="118745" cy="127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8745" cy="12700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Replimune Group, Inc. of our report dated June 29, 2026 relating to the financial statements, which appears in Replimune Group, Inc.’s Annual Report on Form 10-K for the year ended March 31, 2026.</w:t>
      </w:r>
    </w:p>
    <w:p>
      <w:pPr>
        <w:spacing w:after="0" w:line="1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Florham Park, New Jersey</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427990</wp:posOffset>
            </wp:positionV>
            <wp:extent cx="7133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7" w:name="page8"/>
    <w:bookmarkEnd w:id="7"/>
    <w:p>
      <w:pPr>
        <w:ind w:left="232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470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160"/>
        <w:spacing w:after="0"/>
        <w:rPr>
          <w:sz w:val="20"/>
          <w:szCs w:val="20"/>
          <w:color w:val="auto"/>
        </w:rPr>
      </w:pPr>
      <w:r>
        <w:rPr>
          <w:rFonts w:ascii="Arial" w:cs="Arial" w:eastAsia="Arial" w:hAnsi="Arial"/>
          <w:sz w:val="36"/>
          <w:szCs w:val="36"/>
          <w:b w:val="1"/>
          <w:bCs w:val="1"/>
          <w:color w:val="auto"/>
        </w:rPr>
        <w:t>Replimune Group, Inc.</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3,871,003</w:t>
            </w:r>
          </w:p>
        </w:tc>
        <w:tc>
          <w:tcPr>
            <w:tcW w:w="20" w:type="dxa"/>
            <w:vAlign w:val="bottom"/>
          </w:tcPr>
          <w:p>
            <w:pPr>
              <w:spacing w:after="0"/>
              <w:rPr>
                <w:sz w:val="10"/>
                <w:szCs w:val="1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$ 10.81</w:t>
            </w:r>
          </w:p>
        </w:tc>
        <w:tc>
          <w:tcPr>
            <w:tcW w:w="2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$ 5,778.87</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41,845,542.43</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$0.01 per</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2</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$0.001</w:t>
            </w:r>
          </w:p>
        </w:tc>
        <w:tc>
          <w:tcPr>
            <w:tcW w:w="40" w:type="dxa"/>
            <w:vAlign w:val="bottom"/>
          </w:tcPr>
          <w:p>
            <w:pPr>
              <w:spacing w:after="0"/>
              <w:rPr>
                <w:sz w:val="20"/>
                <w:szCs w:val="20"/>
                <w:color w:val="auto"/>
              </w:rPr>
            </w:pPr>
          </w:p>
        </w:tc>
        <w:tc>
          <w:tcPr>
            <w:tcW w:w="118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0"/>
                <w:szCs w:val="20"/>
                <w:color w:val="auto"/>
              </w:rPr>
            </w:pPr>
          </w:p>
        </w:tc>
        <w:tc>
          <w:tcPr>
            <w:tcW w:w="11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697,224</w:t>
            </w:r>
          </w:p>
        </w:tc>
        <w:tc>
          <w:tcPr>
            <w:tcW w:w="20" w:type="dxa"/>
            <w:vAlign w:val="bottom"/>
          </w:tcPr>
          <w:p>
            <w:pPr>
              <w:spacing w:after="0"/>
              <w:rPr>
                <w:sz w:val="20"/>
                <w:szCs w:val="20"/>
                <w:color w:val="auto"/>
              </w:rPr>
            </w:pPr>
          </w:p>
        </w:tc>
        <w:tc>
          <w:tcPr>
            <w:tcW w:w="13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$ 9.19</w:t>
            </w:r>
          </w:p>
        </w:tc>
        <w:tc>
          <w:tcPr>
            <w:tcW w:w="20" w:type="dxa"/>
            <w:vAlign w:val="bottom"/>
          </w:tcPr>
          <w:p>
            <w:pPr>
              <w:spacing w:after="0"/>
              <w:rPr>
                <w:sz w:val="20"/>
                <w:szCs w:val="20"/>
                <w:color w:val="auto"/>
              </w:rPr>
            </w:pPr>
          </w:p>
        </w:tc>
        <w:tc>
          <w:tcPr>
            <w:tcW w:w="152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$ 6,407,488.56</w:t>
            </w:r>
          </w:p>
        </w:tc>
        <w:tc>
          <w:tcPr>
            <w:tcW w:w="40" w:type="dxa"/>
            <w:vAlign w:val="bottom"/>
          </w:tcPr>
          <w:p>
            <w:pPr>
              <w:spacing w:after="0"/>
              <w:rPr>
                <w:sz w:val="20"/>
                <w:szCs w:val="20"/>
                <w:color w:val="auto"/>
              </w:rPr>
            </w:pPr>
          </w:p>
        </w:tc>
        <w:tc>
          <w:tcPr>
            <w:tcW w:w="104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50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$ 884.87</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$ 6,663.74</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48,253,030.99</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$ 6,663.74</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260" w:right="360" w:firstLine="2"/>
        <w:spacing w:after="0" w:line="245" w:lineRule="auto"/>
        <w:tabs>
          <w:tab w:leader="none" w:pos="581" w:val="left"/>
        </w:tabs>
        <w:numPr>
          <w:ilvl w:val="0"/>
          <w:numId w:val="6"/>
        </w:numPr>
        <w:rPr>
          <w:rFonts w:ascii="Arial" w:cs="Arial" w:eastAsia="Arial" w:hAnsi="Arial"/>
          <w:sz w:val="21"/>
          <w:szCs w:val="21"/>
          <w:color w:val="auto"/>
        </w:rPr>
      </w:pPr>
      <w:r>
        <w:rPr>
          <w:rFonts w:ascii="Arial" w:cs="Arial" w:eastAsia="Arial" w:hAnsi="Arial"/>
          <w:sz w:val="21"/>
          <w:szCs w:val="21"/>
          <w:color w:val="auto"/>
        </w:rPr>
        <w:t>Pursuant to Rule 416(a) under the Securities Act of 1933, as amended (the "Securities Act"), this Registration Statement on Form S-8 shall also cover any additional shares of common stock, $0.001 par value per share ("Common Stock"), of Replimune Group, Inc. (the "Registrant"), that become issuable under the Replimune Group, Inc. 2018 Omnibus Incentive Compensation Plan (the "2018 Plan") by reason of any stock dividend, stock split, recapitalization or similar transaction effected without the Registrant's receipt of consideration which would increase the number of outstanding shares of Common Stock.</w:t>
      </w:r>
    </w:p>
    <w:p>
      <w:pPr>
        <w:spacing w:after="0" w:line="197" w:lineRule="exact"/>
        <w:rPr>
          <w:rFonts w:ascii="Arial" w:cs="Arial" w:eastAsia="Arial" w:hAnsi="Arial"/>
          <w:sz w:val="21"/>
          <w:szCs w:val="21"/>
          <w:color w:val="auto"/>
        </w:rPr>
      </w:pPr>
    </w:p>
    <w:p>
      <w:pPr>
        <w:ind w:left="260" w:right="520" w:firstLine="2"/>
        <w:spacing w:after="0" w:line="258" w:lineRule="auto"/>
        <w:tabs>
          <w:tab w:leader="none" w:pos="581" w:val="left"/>
        </w:tabs>
        <w:numPr>
          <w:ilvl w:val="0"/>
          <w:numId w:val="6"/>
        </w:numPr>
        <w:rPr>
          <w:rFonts w:ascii="Arial" w:cs="Arial" w:eastAsia="Arial" w:hAnsi="Arial"/>
          <w:sz w:val="21"/>
          <w:szCs w:val="21"/>
          <w:color w:val="auto"/>
        </w:rPr>
      </w:pPr>
      <w:r>
        <w:rPr>
          <w:rFonts w:ascii="Arial" w:cs="Arial" w:eastAsia="Arial" w:hAnsi="Arial"/>
          <w:sz w:val="21"/>
          <w:szCs w:val="21"/>
          <w:color w:val="auto"/>
        </w:rPr>
        <w:t>Represents additional shares of Common Stock authorized for issuance under the 2018 Plan pursuant to certain provisions of the 2018 Plan that provide for an automatic annual increase in the number of shares of Common Stock authorized for issuance under the 2018 Plan.</w:t>
      </w:r>
    </w:p>
    <w:p>
      <w:pPr>
        <w:spacing w:after="0" w:line="183" w:lineRule="exact"/>
        <w:rPr>
          <w:rFonts w:ascii="Arial" w:cs="Arial" w:eastAsia="Arial" w:hAnsi="Arial"/>
          <w:sz w:val="21"/>
          <w:szCs w:val="21"/>
          <w:color w:val="auto"/>
        </w:rPr>
      </w:pPr>
    </w:p>
    <w:p>
      <w:pPr>
        <w:ind w:left="260" w:right="40" w:firstLine="2"/>
        <w:spacing w:after="0" w:line="258" w:lineRule="auto"/>
        <w:tabs>
          <w:tab w:leader="none" w:pos="569" w:val="left"/>
        </w:tabs>
        <w:numPr>
          <w:ilvl w:val="0"/>
          <w:numId w:val="6"/>
        </w:numPr>
        <w:rPr>
          <w:rFonts w:ascii="Arial" w:cs="Arial" w:eastAsia="Arial" w:hAnsi="Arial"/>
          <w:sz w:val="21"/>
          <w:szCs w:val="21"/>
          <w:color w:val="auto"/>
        </w:rPr>
      </w:pPr>
      <w:r>
        <w:rPr>
          <w:rFonts w:ascii="Arial" w:cs="Arial" w:eastAsia="Arial" w:hAnsi="Arial"/>
          <w:sz w:val="21"/>
          <w:szCs w:val="21"/>
          <w:color w:val="auto"/>
        </w:rPr>
        <w:t>Estimated in accordance with Rule 457(c) and Rule 457(h) promulgated under the Securities Act solely for the purpose of calculating the registration fee based on the average of the high and low prices of the Common Stock as reported on the Nasdaq Global Select Market on 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69215</wp:posOffset>
            </wp:positionV>
            <wp:extent cx="6387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84" w:lineRule="exact"/>
        <w:rPr>
          <w:sz w:val="20"/>
          <w:szCs w:val="20"/>
          <w:color w:val="auto"/>
        </w:rPr>
      </w:pPr>
    </w:p>
    <w:p>
      <w:pPr>
        <w:ind w:left="40"/>
        <w:spacing w:after="0"/>
        <w:rPr>
          <w:sz w:val="20"/>
          <w:szCs w:val="20"/>
          <w:color w:val="auto"/>
        </w:rPr>
      </w:pPr>
      <w:r>
        <w:rPr>
          <w:rFonts w:ascii="Arial" w:cs="Arial" w:eastAsia="Arial" w:hAnsi="Arial"/>
          <w:sz w:val="13"/>
          <w:szCs w:val="13"/>
          <w:color w:val="auto"/>
        </w:rPr>
        <w:t>2</w:t>
      </w:r>
    </w:p>
    <w:p>
      <w:pPr>
        <w:spacing w:after="0" w:line="318" w:lineRule="exact"/>
        <w:rPr>
          <w:sz w:val="20"/>
          <w:szCs w:val="20"/>
          <w:color w:val="auto"/>
        </w:rPr>
      </w:pPr>
    </w:p>
    <w:p>
      <w:pPr>
        <w:ind w:left="260" w:right="260" w:firstLine="2"/>
        <w:spacing w:after="0" w:line="248" w:lineRule="auto"/>
        <w:tabs>
          <w:tab w:leader="none" w:pos="581" w:val="left"/>
        </w:tabs>
        <w:numPr>
          <w:ilvl w:val="0"/>
          <w:numId w:val="7"/>
        </w:numPr>
        <w:rPr>
          <w:rFonts w:ascii="Arial" w:cs="Arial" w:eastAsia="Arial" w:hAnsi="Arial"/>
          <w:sz w:val="21"/>
          <w:szCs w:val="21"/>
          <w:color w:val="auto"/>
        </w:rPr>
      </w:pPr>
      <w:r>
        <w:rPr>
          <w:rFonts w:ascii="Arial" w:cs="Arial" w:eastAsia="Arial" w:hAnsi="Arial"/>
          <w:sz w:val="21"/>
          <w:szCs w:val="21"/>
          <w:color w:val="auto"/>
        </w:rPr>
        <w:t>Pursuant to Rule 416(a) under the Securities Act, this Registration Statement on Form S-8 shall also cover any additional shares of Common Stock of the Registrant that become issuable under the Replimune Group, Inc. Employee Stock Purchase Plan (the "ESPP") by reason of any stock dividend, stock split, recapitalization or similar transaction effected without the Registrant's receipt of consideration which would increase the number of outstanding shares of Common Stock.</w:t>
      </w:r>
    </w:p>
    <w:p>
      <w:pPr>
        <w:spacing w:after="0" w:line="195" w:lineRule="exact"/>
        <w:rPr>
          <w:rFonts w:ascii="Arial" w:cs="Arial" w:eastAsia="Arial" w:hAnsi="Arial"/>
          <w:sz w:val="21"/>
          <w:szCs w:val="21"/>
          <w:color w:val="auto"/>
        </w:rPr>
      </w:pPr>
    </w:p>
    <w:p>
      <w:pPr>
        <w:ind w:left="260" w:right="80" w:firstLine="2"/>
        <w:spacing w:after="0" w:line="258" w:lineRule="auto"/>
        <w:tabs>
          <w:tab w:leader="none" w:pos="581" w:val="left"/>
        </w:tabs>
        <w:numPr>
          <w:ilvl w:val="0"/>
          <w:numId w:val="7"/>
        </w:numPr>
        <w:rPr>
          <w:rFonts w:ascii="Arial" w:cs="Arial" w:eastAsia="Arial" w:hAnsi="Arial"/>
          <w:sz w:val="21"/>
          <w:szCs w:val="21"/>
          <w:color w:val="auto"/>
        </w:rPr>
      </w:pPr>
      <w:r>
        <w:rPr>
          <w:rFonts w:ascii="Arial" w:cs="Arial" w:eastAsia="Arial" w:hAnsi="Arial"/>
          <w:sz w:val="21"/>
          <w:szCs w:val="21"/>
          <w:color w:val="auto"/>
        </w:rPr>
        <w:t>Represents additional shares of Common Stock authorized for issuance under the ESPP pursuant to certain provisions of the ESPP that provide for an automatic annual increase in the number of shares of Common Stock authorized for issuance under the ESPP.</w:t>
      </w:r>
    </w:p>
    <w:p>
      <w:pPr>
        <w:spacing w:after="0" w:line="183" w:lineRule="exact"/>
        <w:rPr>
          <w:rFonts w:ascii="Arial" w:cs="Arial" w:eastAsia="Arial" w:hAnsi="Arial"/>
          <w:sz w:val="21"/>
          <w:szCs w:val="21"/>
          <w:color w:val="auto"/>
        </w:rPr>
      </w:pPr>
    </w:p>
    <w:p>
      <w:pPr>
        <w:ind w:left="260" w:right="40" w:firstLine="2"/>
        <w:spacing w:after="0" w:line="252" w:lineRule="auto"/>
        <w:tabs>
          <w:tab w:leader="none" w:pos="569" w:val="left"/>
        </w:tabs>
        <w:numPr>
          <w:ilvl w:val="0"/>
          <w:numId w:val="7"/>
        </w:numPr>
        <w:rPr>
          <w:rFonts w:ascii="Arial" w:cs="Arial" w:eastAsia="Arial" w:hAnsi="Arial"/>
          <w:sz w:val="21"/>
          <w:szCs w:val="21"/>
          <w:color w:val="auto"/>
        </w:rPr>
      </w:pPr>
      <w:r>
        <w:rPr>
          <w:rFonts w:ascii="Arial" w:cs="Arial" w:eastAsia="Arial" w:hAnsi="Arial"/>
          <w:sz w:val="21"/>
          <w:szCs w:val="21"/>
          <w:color w:val="auto"/>
        </w:rPr>
        <w:t>Estimated in accordance with Rule 457(c) and Rule 457(h) promulgated under the Securities Act solely for the purpose of calculating the registration fee based on the average of the high and low prices of the Common Stock as reported on the Nasdaq Global Select Market on June 26, 2026, multiplied by 85%, which is the percentage of the price per share applicable to purchases under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72390</wp:posOffset>
            </wp:positionV>
            <wp:extent cx="6387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ectPr>
          <w:pgSz w:w="11900" w:h="16838" w:orient="portrait"/>
          <w:cols w:equalWidth="0" w:num="1">
            <w:col w:w="10100"/>
          </w:cols>
          <w:pgMar w:left="900" w:top="142" w:right="899" w:bottom="385" w:gutter="0" w:footer="0" w:header="0"/>
        </w:sectPr>
      </w:pPr>
    </w:p>
    <w:bookmarkStart w:id="8" w:name="page9"/>
    <w:bookmarkEnd w:id="8"/>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78"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1"/>
                <w:szCs w:val="21"/>
                <w:color w:val="auto"/>
              </w:rPr>
            </w:pPr>
          </w:p>
        </w:tc>
        <w:tc>
          <w:tcPr>
            <w:tcW w:w="76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78"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3D1B58BA"/>
    <w:multiLevelType w:val="hybridMultilevel"/>
    <w:lvl w:ilvl="0">
      <w:lvlJc w:val="left"/>
      <w:lvlText w:val="%1"/>
      <w:numFmt w:val="lowerLetter"/>
      <w:start w:val="1"/>
    </w:lvl>
    <w:lvl w:ilvl="1">
      <w:lvlJc w:val="left"/>
      <w:lvlText w:val="(%2)"/>
      <w:numFmt w:val="decimal"/>
      <w:start w:val="2"/>
    </w:lvl>
  </w:abstractNum>
  <w:abstractNum w:abstractNumId="4">
    <w:nsid w:val="507ED7AB"/>
    <w:multiLevelType w:val="hybridMultilevel"/>
    <w:lvl w:ilvl="0">
      <w:lvlJc w:val="left"/>
      <w:lvlText w:val="(%1)"/>
      <w:numFmt w:val="lowerLetter"/>
      <w:start w:val="2"/>
    </w:lvl>
    <w:lvl w:ilvl="1">
      <w:lvlJc w:val="left"/>
      <w:lvlText w:val="%2"/>
      <w:numFmt w:val="decimal"/>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jpe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jpeg"/><Relationship Id="rId25" Type="http://schemas.openxmlformats.org/officeDocument/2006/relationships/image" Target="media/image12.jpeg"/><Relationship Id="rId26" Type="http://schemas.openxmlformats.org/officeDocument/2006/relationships/image" Target="media/image13.jpe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13" Type="http://schemas.openxmlformats.org/officeDocument/2006/relationships/hyperlink" Target="http://www.sec.gov/ix?doc=/Archives/edgar/data/1737953/000162828026045886/repl-20260331.htm" TargetMode="External"/><Relationship Id="rId14" Type="http://schemas.openxmlformats.org/officeDocument/2006/relationships/hyperlink" Target="https://www.sec.gov/Archives/edgar/data/1737953/000110465918045503/a18-9667_128a12b.htm" TargetMode="External"/><Relationship Id="rId15" Type="http://schemas.openxmlformats.org/officeDocument/2006/relationships/hyperlink" Target="https://www.sec.gov/Archives/edgar/data/1737953/000162828026045886/exhibit43descriptionofsecu.htm" TargetMode="External"/><Relationship Id="rId17" Type="http://schemas.openxmlformats.org/officeDocument/2006/relationships/hyperlink" Target="https://www.sec.gov/Archives/edgar/data/1737953/000104746920003318/a2241747zex-3_1.htm" TargetMode="External"/><Relationship Id="rId18" Type="http://schemas.openxmlformats.org/officeDocument/2006/relationships/hyperlink" Target="https://www.sec.gov/Archives/edgar/data/1737953/000110465918046742/a18-17646_2ex3d2.htm" TargetMode="External"/><Relationship Id="rId19" Type="http://schemas.openxmlformats.org/officeDocument/2006/relationships/hyperlink" Target="https://www.sec.gov/Archives/edgar/data/1737953/000104746918004923/a2236169z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2026-06-29T08:20:00Z</dcterms:created>
  <dcterms:modified xsi:type="dcterms:W3CDTF">2026-06-29T08:20:00Z</dcterms:modified>
</cp:coreProperties>
</file>