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037-2_4seq1.xml.htm"/>
      <w:bookmarkStart w:id="1" w:name="kstm2623037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Xynos Konstantinos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REPLIMUNE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UNICORN PARK DRIVE, SUITE 303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WOBURN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Replimune Group, Inc.</w:t>
              </w:r>
            </w:hyperlink>
            <w:r>
              <w:rPr/>
              <w:t xml:space="preserve"> [ </w:t>
            </w:r>
            <w:r>
              <w:rPr>
                <w:rFonts w:ascii="Times;serif" w:hAnsi="Times;serif"/>
                <w:color w:val="0000FF"/>
                <w:sz w:val="24"/>
                <w:shd w:fill="FFFFFF" w:val="clear"/>
              </w:rPr>
              <w:t>REPL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11,447</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12.97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224,215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the Issuer's common stock (the "Shares") sold to cover tax withholding obligations in connection with the vesting of the Reporting Person's performance-based restricted stock units (the "PSUs"). The transaction reported herein was made in accordance with the irrevocable "sell to cover" provision set forth in the award agreements under which the PSUs were granted and does not represent a discretionary sale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Shawn Glidden,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241" TargetMode="External"/><Relationship Id="rId5" Type="http://schemas.openxmlformats.org/officeDocument/2006/relationships/hyperlink" Target="http://www.sec.gov/cgi-bin/browse-edgar?action=getcompany&amp;CIK=00017379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3496</Characters>
  <CharactersWithSpaces>4065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