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037-4_4seq1.xml.htm"/>
      <w:bookmarkStart w:id="1" w:name="kstm2623037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Sushil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REPLIMUNE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UNICORN PARK DRIVE, SUITE 303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Replimune Group, Inc.</w:t>
              </w:r>
            </w:hyperlink>
            <w:r>
              <w:rPr/>
              <w:t xml:space="preserve"> [ </w:t>
            </w:r>
            <w:r>
              <w:rPr>
                <w:rFonts w:ascii="Times;serif" w:hAnsi="Times;serif"/>
                <w:color w:val="0000FF"/>
                <w:sz w:val="24"/>
                <w:shd w:fill="FFFFFF" w:val="clear"/>
              </w:rPr>
              <w:t>REPL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39,341</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708,151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(the "Shares") sold to cover tax withholding obligations in connection with the vesting of the Reporting Person's performance-based restricted stock units (the "PSUs"). The transaction reported herein was made in accordance with the irrevocable "sell to cover" provision set forth in the award agreements under which the PSUs were granted and does not represent a discretionary sale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Shawn Glidden,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609" TargetMode="External"/><Relationship Id="rId5" Type="http://schemas.openxmlformats.org/officeDocument/2006/relationships/hyperlink" Target="http://www.sec.gov/cgi-bin/browse-edgar?action=getcompany&amp;CIK=0001737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3492</Characters>
  <CharactersWithSpaces>4061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