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60" w:before="0" w:after="0"/>
        <w:ind w:left="0" w:right="0" w:hanging="0"/>
        <w:jc w:val="left"/>
        <w:rPr/>
      </w:pPr>
      <w:hyperlink w:anchor="TOC">
        <w:bookmarkStart w:id="0" w:name="tm2621843-1_s3asr.htm"/>
        <w:bookmarkStart w:id="1" w:name="kstm26218431_s3asr"/>
        <w:bookmarkEnd w:id="0"/>
        <w:bookmarkEnd w:id="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557" w:after="437"/>
        <w:ind w:left="540" w:right="0" w:hanging="0"/>
        <w:jc w:val="center"/>
        <w:rPr>
          <w:rFonts w:ascii="Times New Roman;Times;serif" w:hAnsi="Times New Roman;Times;serif"/>
          <w:b/>
          <w:i w:val="false"/>
          <w:caps w:val="false"/>
          <w:smallCaps w:val="false"/>
          <w:color w:val="000000"/>
          <w:sz w:val="18"/>
        </w:rPr>
      </w:pPr>
      <w:r>
        <w:rPr>
          <w:rFonts w:ascii="Times New Roman;Times;serif" w:hAnsi="Times New Roman;Times;serif"/>
          <w:b/>
          <w:i w:val="false"/>
          <w:caps w:val="false"/>
          <w:smallCaps w:val="false"/>
          <w:color w:val="000000"/>
          <w:spacing w:val="-4"/>
          <w:sz w:val="18"/>
        </w:rPr>
        <w:t>As filed with the Securities and Exchange Commission on August 14, 2026</w:t>
      </w:r>
      <w:r>
        <w:rPr>
          <w:rFonts w:ascii="Times New Roman;Times;serif" w:hAnsi="Times New Roman;Times;serif"/>
          <w:b/>
          <w:i w:val="false"/>
          <w:caps w:val="false"/>
          <w:smallCaps w:val="false"/>
          <w:color w:val="000000"/>
          <w:spacing w:val="4"/>
          <w:sz w:val="18"/>
        </w:rPr>
        <w:t xml:space="preserve"> </w:t>
      </w:r>
    </w:p>
    <w:p>
      <w:pPr>
        <w:pStyle w:val="TextBody"/>
        <w:bidi w:val="0"/>
        <w:spacing w:lineRule="atLeast" w:line="200" w:before="24" w:after="283"/>
        <w:jc w:val="right"/>
        <w:rPr>
          <w:rFonts w:ascii="Times New Roman;Times;serif" w:hAnsi="Times New Roman;Times;serif"/>
          <w:b/>
          <w:i w:val="false"/>
          <w:caps w:val="false"/>
          <w:smallCaps w:val="false"/>
          <w:color w:val="000000"/>
          <w:sz w:val="18"/>
        </w:rPr>
      </w:pPr>
      <w:r>
        <w:rPr>
          <w:rFonts w:ascii="Times New Roman;Times;serif" w:hAnsi="Times New Roman;Times;serif"/>
          <w:b/>
          <w:i w:val="false"/>
          <w:caps w:val="false"/>
          <w:smallCaps w:val="false"/>
          <w:color w:val="000000"/>
          <w:spacing w:val="-4"/>
          <w:sz w:val="18"/>
        </w:rPr>
        <w:t>Registration Statement No. 333-     </w:t>
      </w:r>
      <w:r>
        <w:rPr>
          <w:rFonts w:ascii="Times New Roman;Times;serif" w:hAnsi="Times New Roman;Times;serif"/>
          <w:b/>
          <w:i w:val="false"/>
          <w:caps w:val="false"/>
          <w:smallCaps w:val="false"/>
          <w:color w:val="000000"/>
          <w:sz w:val="18"/>
        </w:rPr>
        <w:t>​</w:t>
      </w:r>
    </w:p>
    <w:p>
      <w:pPr>
        <w:pStyle w:val="TextBody"/>
        <w:bidi w:val="0"/>
        <w:spacing w:before="32" w:after="283"/>
        <w:ind w:left="540" w:right="0" w:hanging="0"/>
        <w:jc w:val="left"/>
        <w:rPr>
          <w:caps w:val="false"/>
          <w:smallCaps w:val="false"/>
          <w:color w:val="000000"/>
          <w:bdr w:val="single" w:sz="16" w:space="1" w:color="000000"/>
        </w:rPr>
      </w:pPr>
      <w:r>
        <w:rPr>
          <w:caps w:val="false"/>
          <w:smallCaps w:val="false"/>
          <w:color w:val="000000"/>
          <w:bdr w:val="single" w:sz="16" w:space="1" w:color="000000"/>
        </w:rPr>
        <w:t>​</w:t>
      </w:r>
    </w:p>
    <w:p>
      <w:pPr>
        <w:pStyle w:val="TextBody"/>
        <w:bidi w:val="0"/>
        <w:spacing w:before="42" w:after="283"/>
        <w:ind w:left="540"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340" w:before="82" w:after="283"/>
        <w:jc w:val="center"/>
        <w:rPr>
          <w:rFonts w:ascii="Times New Roman;Times;serif" w:hAnsi="Times New Roman;Times;serif"/>
          <w:b/>
          <w:i w:val="false"/>
          <w:caps w:val="false"/>
          <w:smallCaps w:val="false"/>
          <w:color w:val="000000"/>
          <w:sz w:val="32"/>
        </w:rPr>
      </w:pPr>
      <w:r>
        <w:rPr>
          <w:rFonts w:ascii="Times New Roman;Times;serif" w:hAnsi="Times New Roman;Times;serif"/>
          <w:b/>
          <w:i w:val="false"/>
          <w:caps w:val="false"/>
          <w:smallCaps w:val="false"/>
          <w:color w:val="000000"/>
          <w:spacing w:val="-6"/>
          <w:sz w:val="32"/>
        </w:rPr>
        <w:t xml:space="preserve">UNITED STATES </w:t>
      </w:r>
      <w:r>
        <w:rPr>
          <w:rFonts w:ascii="Times New Roman;Times;serif" w:hAnsi="Times New Roman;Times;serif"/>
          <w:b/>
          <w:i w:val="false"/>
          <w:caps w:val="false"/>
          <w:smallCaps w:val="false"/>
          <w:color w:val="000000"/>
          <w:sz w:val="32"/>
        </w:rPr>
        <w:br/>
      </w:r>
      <w:r>
        <w:rPr>
          <w:rFonts w:ascii="Times New Roman;Times;serif" w:hAnsi="Times New Roman;Times;serif"/>
          <w:b/>
          <w:i w:val="false"/>
          <w:caps w:val="false"/>
          <w:smallCaps w:val="false"/>
          <w:color w:val="000000"/>
          <w:spacing w:val="-6"/>
          <w:sz w:val="32"/>
        </w:rPr>
        <w:t xml:space="preserve">SECURITIES AND EXCHANGE COMMISSION </w:t>
      </w:r>
      <w:r>
        <w:rPr>
          <w:rFonts w:ascii="Times New Roman;Times;serif" w:hAnsi="Times New Roman;Times;serif"/>
          <w:b/>
          <w:i w:val="false"/>
          <w:caps w:val="false"/>
          <w:smallCaps w:val="false"/>
          <w:color w:val="000000"/>
          <w:sz w:val="32"/>
        </w:rPr>
        <w:br/>
      </w:r>
      <w:r>
        <w:rPr>
          <w:rFonts w:ascii="Times New Roman;Times;serif" w:hAnsi="Times New Roman;Times;serif"/>
          <w:b/>
          <w:i w:val="false"/>
          <w:caps w:val="false"/>
          <w:smallCaps w:val="false"/>
          <w:color w:val="000000"/>
          <w:spacing w:val="-4"/>
          <w:sz w:val="18"/>
        </w:rPr>
        <w:t>Washington, D.C. 20549</w:t>
      </w:r>
      <w:r>
        <w:rPr>
          <w:rFonts w:ascii="Times New Roman;Times;serif" w:hAnsi="Times New Roman;Times;serif"/>
          <w:b/>
          <w:i w:val="false"/>
          <w:caps w:val="false"/>
          <w:smallCaps w:val="false"/>
          <w:color w:val="000000"/>
          <w:spacing w:val="6"/>
          <w:sz w:val="32"/>
        </w:rPr>
        <w:t xml:space="preserve"> </w:t>
      </w:r>
    </w:p>
    <w:p>
      <w:pPr>
        <w:pStyle w:val="TextBody"/>
        <w:bidi w:val="0"/>
        <w:spacing w:before="134"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340" w:before="122" w:after="283"/>
        <w:jc w:val="center"/>
        <w:rPr>
          <w:rFonts w:ascii="Times New Roman;Times;serif" w:hAnsi="Times New Roman;Times;serif"/>
          <w:b/>
          <w:i w:val="false"/>
          <w:caps w:val="false"/>
          <w:smallCaps w:val="false"/>
          <w:color w:val="000000"/>
          <w:sz w:val="32"/>
        </w:rPr>
      </w:pPr>
      <w:r>
        <w:rPr>
          <w:rFonts w:ascii="Times New Roman;Times;serif" w:hAnsi="Times New Roman;Times;serif"/>
          <w:b/>
          <w:i w:val="false"/>
          <w:caps w:val="false"/>
          <w:smallCaps w:val="false"/>
          <w:color w:val="000000"/>
          <w:spacing w:val="-6"/>
          <w:sz w:val="32"/>
        </w:rPr>
        <w:t>FORM S-3</w:t>
      </w:r>
      <w:r>
        <w:rPr>
          <w:rFonts w:ascii="Times New Roman;Times;serif" w:hAnsi="Times New Roman;Times;serif"/>
          <w:b/>
          <w:i w:val="false"/>
          <w:caps w:val="false"/>
          <w:smallCaps w:val="false"/>
          <w:color w:val="000000"/>
          <w:spacing w:val="6"/>
          <w:sz w:val="32"/>
        </w:rPr>
        <w:t xml:space="preserve"> </w:t>
      </w:r>
    </w:p>
    <w:p>
      <w:pPr>
        <w:pStyle w:val="TextBody"/>
        <w:bidi w:val="0"/>
        <w:spacing w:lineRule="atLeast" w:line="200" w:before="60" w:after="283"/>
        <w:jc w:val="center"/>
        <w:rPr>
          <w:rFonts w:ascii="Times New Roman;Times;serif" w:hAnsi="Times New Roman;Times;serif"/>
          <w:b/>
          <w:i w:val="false"/>
          <w:caps w:val="false"/>
          <w:smallCaps w:val="false"/>
          <w:color w:val="000000"/>
          <w:sz w:val="18"/>
        </w:rPr>
      </w:pPr>
      <w:r>
        <w:rPr>
          <w:rFonts w:ascii="Times New Roman;Times;serif" w:hAnsi="Times New Roman;Times;serif"/>
          <w:b/>
          <w:i w:val="false"/>
          <w:caps w:val="false"/>
          <w:smallCaps w:val="false"/>
          <w:color w:val="000000"/>
          <w:spacing w:val="-4"/>
          <w:sz w:val="18"/>
        </w:rPr>
        <w:t xml:space="preserve">REGISTRATION STATEMENT </w:t>
      </w:r>
      <w:r>
        <w:rPr>
          <w:rFonts w:ascii="Times New Roman;Times;serif" w:hAnsi="Times New Roman;Times;serif"/>
          <w:b/>
          <w:i w:val="false"/>
          <w:caps w:val="false"/>
          <w:smallCaps w:val="false"/>
          <w:color w:val="000000"/>
          <w:sz w:val="18"/>
        </w:rPr>
        <w:br/>
      </w:r>
      <w:r>
        <w:rPr>
          <w:rFonts w:ascii="Times New Roman;Times;serif" w:hAnsi="Times New Roman;Times;serif"/>
          <w:b/>
          <w:i w:val="false"/>
          <w:caps w:val="false"/>
          <w:smallCaps w:val="false"/>
          <w:color w:val="000000"/>
          <w:spacing w:val="-4"/>
          <w:sz w:val="18"/>
        </w:rPr>
        <w:t xml:space="preserve">UNDER THE </w:t>
      </w:r>
      <w:r>
        <w:rPr>
          <w:rFonts w:ascii="Times New Roman;Times;serif" w:hAnsi="Times New Roman;Times;serif"/>
          <w:b/>
          <w:i w:val="false"/>
          <w:caps w:val="false"/>
          <w:smallCaps w:val="false"/>
          <w:color w:val="000000"/>
          <w:sz w:val="18"/>
        </w:rPr>
        <w:br/>
      </w:r>
      <w:r>
        <w:rPr>
          <w:rFonts w:ascii="Times New Roman;Times;serif" w:hAnsi="Times New Roman;Times;serif"/>
          <w:b/>
          <w:i w:val="false"/>
          <w:caps w:val="false"/>
          <w:smallCaps w:val="false"/>
          <w:color w:val="000000"/>
          <w:spacing w:val="-4"/>
          <w:sz w:val="18"/>
        </w:rPr>
        <w:t>SECURITIES ACT OF 1933</w:t>
      </w:r>
      <w:r>
        <w:rPr>
          <w:rFonts w:ascii="Times New Roman;Times;serif" w:hAnsi="Times New Roman;Times;serif"/>
          <w:b/>
          <w:i w:val="false"/>
          <w:caps w:val="false"/>
          <w:smallCaps w:val="false"/>
          <w:color w:val="000000"/>
          <w:spacing w:val="4"/>
          <w:sz w:val="18"/>
        </w:rPr>
        <w:t xml:space="preserve"> </w:t>
      </w:r>
    </w:p>
    <w:p>
      <w:pPr>
        <w:pStyle w:val="TextBody"/>
        <w:bidi w:val="0"/>
        <w:spacing w:before="114"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340" w:before="122" w:after="283"/>
        <w:jc w:val="center"/>
        <w:rPr>
          <w:rFonts w:ascii="Times New Roman;Times;serif" w:hAnsi="Times New Roman;Times;serif"/>
          <w:b/>
          <w:i w:val="false"/>
          <w:caps w:val="false"/>
          <w:smallCaps w:val="false"/>
          <w:color w:val="000000"/>
          <w:sz w:val="32"/>
        </w:rPr>
      </w:pPr>
      <w:r>
        <w:rPr>
          <w:rFonts w:ascii="Times New Roman;Times;serif" w:hAnsi="Times New Roman;Times;serif"/>
          <w:b/>
          <w:i w:val="false"/>
          <w:caps w:val="false"/>
          <w:smallCaps w:val="false"/>
          <w:color w:val="000000"/>
          <w:spacing w:val="-6"/>
          <w:sz w:val="32"/>
        </w:rPr>
        <w:t>REPLIMUNE GROUP, INC.</w:t>
      </w:r>
      <w:r>
        <w:rPr>
          <w:rFonts w:ascii="Times New Roman;Times;serif" w:hAnsi="Times New Roman;Times;serif"/>
          <w:b/>
          <w:i w:val="false"/>
          <w:caps w:val="false"/>
          <w:smallCaps w:val="false"/>
          <w:color w:val="000000"/>
          <w:spacing w:val="6"/>
          <w:sz w:val="32"/>
        </w:rPr>
        <w:t xml:space="preserve"> </w:t>
      </w:r>
    </w:p>
    <w:p>
      <w:pPr>
        <w:pStyle w:val="TextBody"/>
        <w:bidi w:val="0"/>
        <w:spacing w:lineRule="atLeast" w:line="180" w:before="24" w:after="283"/>
        <w:jc w:val="center"/>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(Exact Name of Registrant as Specified in Its Charter) </w:t>
      </w:r>
    </w:p>
    <w:tbl>
      <w:tblPr>
        <w:tblW w:w="6009" w:type="dxa"/>
        <w:jc w:val="left"/>
        <w:tblInd w:w="540" w:type="dxa"/>
        <w:tblLayout w:type="fixed"/>
        <w:tblCellMar>
          <w:top w:w="0" w:type="dxa"/>
          <w:left w:w="0" w:type="dxa"/>
          <w:bottom w:w="0" w:type="dxa"/>
          <w:right w:w="0" w:type="dxa"/>
        </w:tblCellMar>
      </w:tblPr>
      <w:tblGrid>
        <w:gridCol w:w="124"/>
        <w:gridCol w:w="3133"/>
        <w:gridCol w:w="109"/>
        <w:gridCol w:w="109"/>
        <w:gridCol w:w="2380"/>
        <w:gridCol w:w="154"/>
      </w:tblGrid>
      <w:tr>
        <w:trPr/>
        <w:tc>
          <w:tcPr>
            <w:tcW w:w="124" w:type="dxa"/>
            <w:tcBorders/>
            <w:vAlign w:val="center"/>
          </w:tcPr>
          <w:p>
            <w:pPr>
              <w:pStyle w:val="TableContents"/>
              <w:bidi w:val="0"/>
              <w:spacing w:before="0" w:after="283"/>
              <w:jc w:val="left"/>
              <w:rPr/>
            </w:pPr>
            <w:r>
              <w:rPr/>
              <w:t>​</w:t>
            </w:r>
          </w:p>
        </w:tc>
        <w:tc>
          <w:tcPr>
            <w:tcW w:w="3133" w:type="dxa"/>
            <w:tcBorders/>
            <w:vAlign w:val="center"/>
          </w:tcPr>
          <w:p>
            <w:pPr>
              <w:pStyle w:val="TableContents"/>
              <w:bidi w:val="0"/>
              <w:spacing w:before="0" w:after="0"/>
              <w:jc w:val="center"/>
              <w:rPr>
                <w:b/>
                <w:sz w:val="18"/>
              </w:rPr>
            </w:pPr>
            <w:r>
              <w:rPr>
                <w:b/>
                <w:spacing w:val="-4"/>
                <w:sz w:val="18"/>
              </w:rPr>
              <w:t>Delaware</w:t>
            </w:r>
            <w:r>
              <w:rPr>
                <w:b/>
                <w:sz w:val="18"/>
              </w:rPr>
              <w:t xml:space="preserve"> </w:t>
            </w:r>
          </w:p>
          <w:p>
            <w:pPr>
              <w:pStyle w:val="TableContents"/>
              <w:bidi w:val="0"/>
              <w:spacing w:lineRule="atLeast" w:line="180" w:before="36" w:after="283"/>
              <w:jc w:val="center"/>
              <w:rPr/>
            </w:pPr>
            <w:r>
              <w:rPr>
                <w:spacing w:val="3"/>
              </w:rPr>
              <w:t xml:space="preserve">(State or Other Jurisdiction of </w:t>
            </w:r>
            <w:r>
              <w:rPr/>
              <w:br/>
            </w:r>
            <w:r>
              <w:rPr>
                <w:spacing w:val="3"/>
              </w:rPr>
              <w:t>Incorporation or Organization)</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380" w:type="dxa"/>
            <w:tcBorders/>
            <w:vAlign w:val="center"/>
          </w:tcPr>
          <w:p>
            <w:pPr>
              <w:pStyle w:val="TableContents"/>
              <w:bidi w:val="0"/>
              <w:spacing w:before="0" w:after="0"/>
              <w:jc w:val="center"/>
              <w:rPr>
                <w:b/>
                <w:sz w:val="18"/>
              </w:rPr>
            </w:pPr>
            <w:r>
              <w:rPr>
                <w:b/>
                <w:spacing w:val="-4"/>
                <w:sz w:val="18"/>
              </w:rPr>
              <w:t>82-2082553</w:t>
            </w:r>
            <w:r>
              <w:rPr>
                <w:b/>
                <w:sz w:val="18"/>
              </w:rPr>
              <w:t xml:space="preserve"> </w:t>
            </w:r>
          </w:p>
          <w:p>
            <w:pPr>
              <w:pStyle w:val="TableContents"/>
              <w:bidi w:val="0"/>
              <w:spacing w:lineRule="atLeast" w:line="180" w:before="36" w:after="283"/>
              <w:jc w:val="center"/>
              <w:rPr/>
            </w:pPr>
            <w:r>
              <w:rPr>
                <w:spacing w:val="3"/>
              </w:rPr>
              <w:t xml:space="preserve">(I.R.S. Employer </w:t>
            </w:r>
            <w:r>
              <w:rPr/>
              <w:br/>
            </w:r>
            <w:r>
              <w:rPr>
                <w:spacing w:val="3"/>
              </w:rPr>
              <w:t>Identification Number)</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00" w:before="218" w:after="283"/>
        <w:ind w:left="540" w:right="0" w:hanging="0"/>
        <w:jc w:val="center"/>
        <w:rPr>
          <w:rFonts w:ascii="Times New Roman;Times;serif" w:hAnsi="Times New Roman;Times;serif"/>
          <w:b/>
          <w:i w:val="false"/>
          <w:caps w:val="false"/>
          <w:smallCaps w:val="false"/>
          <w:color w:val="000000"/>
          <w:sz w:val="18"/>
        </w:rPr>
      </w:pPr>
      <w:r>
        <w:rPr>
          <w:rFonts w:ascii="Times New Roman;Times;serif" w:hAnsi="Times New Roman;Times;serif"/>
          <w:b/>
          <w:i w:val="false"/>
          <w:caps w:val="false"/>
          <w:smallCaps w:val="false"/>
          <w:color w:val="000000"/>
          <w:spacing w:val="-4"/>
          <w:sz w:val="18"/>
        </w:rPr>
        <w:t xml:space="preserve">500 Unicorn Park Drive Suite 303 </w:t>
      </w:r>
      <w:r>
        <w:rPr>
          <w:rFonts w:ascii="Times New Roman;Times;serif" w:hAnsi="Times New Roman;Times;serif"/>
          <w:b/>
          <w:i w:val="false"/>
          <w:caps w:val="false"/>
          <w:smallCaps w:val="false"/>
          <w:color w:val="000000"/>
          <w:sz w:val="18"/>
        </w:rPr>
        <w:br/>
      </w:r>
      <w:r>
        <w:rPr>
          <w:rFonts w:ascii="Times New Roman;Times;serif" w:hAnsi="Times New Roman;Times;serif"/>
          <w:b/>
          <w:i w:val="false"/>
          <w:caps w:val="false"/>
          <w:smallCaps w:val="false"/>
          <w:color w:val="000000"/>
          <w:spacing w:val="-4"/>
          <w:sz w:val="18"/>
        </w:rPr>
        <w:t xml:space="preserve">Woburn, MA 01801 </w:t>
      </w:r>
      <w:r>
        <w:rPr>
          <w:rFonts w:ascii="Times New Roman;Times;serif" w:hAnsi="Times New Roman;Times;serif"/>
          <w:b/>
          <w:i w:val="false"/>
          <w:caps w:val="false"/>
          <w:smallCaps w:val="false"/>
          <w:color w:val="000000"/>
          <w:sz w:val="18"/>
        </w:rPr>
        <w:br/>
      </w:r>
      <w:r>
        <w:rPr>
          <w:rFonts w:ascii="Times New Roman;Times;serif" w:hAnsi="Times New Roman;Times;serif"/>
          <w:b/>
          <w:i w:val="false"/>
          <w:caps w:val="false"/>
          <w:smallCaps w:val="false"/>
          <w:color w:val="000000"/>
          <w:spacing w:val="-4"/>
          <w:sz w:val="18"/>
        </w:rPr>
        <w:t>(781) 222-9600</w:t>
      </w:r>
      <w:r>
        <w:rPr>
          <w:rFonts w:ascii="Times New Roman;Times;serif" w:hAnsi="Times New Roman;Times;serif"/>
          <w:b/>
          <w:i w:val="false"/>
          <w:caps w:val="false"/>
          <w:smallCaps w:val="false"/>
          <w:color w:val="000000"/>
          <w:spacing w:val="4"/>
          <w:sz w:val="18"/>
        </w:rPr>
        <w:t xml:space="preserve"> </w:t>
      </w:r>
    </w:p>
    <w:p>
      <w:pPr>
        <w:pStyle w:val="TextBody"/>
        <w:bidi w:val="0"/>
        <w:spacing w:lineRule="atLeast" w:line="180" w:before="24" w:after="283"/>
        <w:jc w:val="center"/>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(Address, Including Zip Code, and Telephone Number, Including Area Code, of Registrant’s Principal Executive Offices) </w:t>
      </w:r>
    </w:p>
    <w:p>
      <w:pPr>
        <w:pStyle w:val="TextBody"/>
        <w:bidi w:val="0"/>
        <w:spacing w:before="112"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00" w:before="122" w:after="283"/>
        <w:jc w:val="center"/>
        <w:rPr>
          <w:rFonts w:ascii="Times New Roman;Times;serif" w:hAnsi="Times New Roman;Times;serif"/>
          <w:b/>
          <w:i w:val="false"/>
          <w:caps w:val="false"/>
          <w:smallCaps w:val="false"/>
          <w:color w:val="000000"/>
          <w:sz w:val="18"/>
        </w:rPr>
      </w:pPr>
      <w:r>
        <w:rPr>
          <w:rFonts w:ascii="Times New Roman;Times;serif" w:hAnsi="Times New Roman;Times;serif"/>
          <w:b/>
          <w:i w:val="false"/>
          <w:caps w:val="false"/>
          <w:smallCaps w:val="false"/>
          <w:color w:val="000000"/>
          <w:spacing w:val="-4"/>
          <w:sz w:val="18"/>
        </w:rPr>
        <w:t xml:space="preserve">Sushil Patel </w:t>
      </w:r>
      <w:r>
        <w:rPr>
          <w:rFonts w:ascii="Times New Roman;Times;serif" w:hAnsi="Times New Roman;Times;serif"/>
          <w:b/>
          <w:i w:val="false"/>
          <w:caps w:val="false"/>
          <w:smallCaps w:val="false"/>
          <w:color w:val="000000"/>
          <w:sz w:val="18"/>
        </w:rPr>
        <w:br/>
      </w:r>
      <w:r>
        <w:rPr>
          <w:rFonts w:ascii="Times New Roman;Times;serif" w:hAnsi="Times New Roman;Times;serif"/>
          <w:b/>
          <w:i w:val="false"/>
          <w:caps w:val="false"/>
          <w:smallCaps w:val="false"/>
          <w:color w:val="000000"/>
          <w:spacing w:val="-4"/>
          <w:sz w:val="18"/>
        </w:rPr>
        <w:t xml:space="preserve">Chief Executive Officer </w:t>
      </w:r>
      <w:r>
        <w:rPr>
          <w:rFonts w:ascii="Times New Roman;Times;serif" w:hAnsi="Times New Roman;Times;serif"/>
          <w:b/>
          <w:i w:val="false"/>
          <w:caps w:val="false"/>
          <w:smallCaps w:val="false"/>
          <w:color w:val="000000"/>
          <w:sz w:val="18"/>
        </w:rPr>
        <w:br/>
      </w:r>
      <w:r>
        <w:rPr>
          <w:rFonts w:ascii="Times New Roman;Times;serif" w:hAnsi="Times New Roman;Times;serif"/>
          <w:b/>
          <w:i w:val="false"/>
          <w:caps w:val="false"/>
          <w:smallCaps w:val="false"/>
          <w:color w:val="000000"/>
          <w:spacing w:val="-4"/>
          <w:sz w:val="18"/>
        </w:rPr>
        <w:t xml:space="preserve">Replimune Group, Inc. </w:t>
      </w:r>
      <w:r>
        <w:rPr>
          <w:rFonts w:ascii="Times New Roman;Times;serif" w:hAnsi="Times New Roman;Times;serif"/>
          <w:b/>
          <w:i w:val="false"/>
          <w:caps w:val="false"/>
          <w:smallCaps w:val="false"/>
          <w:color w:val="000000"/>
          <w:sz w:val="18"/>
        </w:rPr>
        <w:br/>
      </w:r>
      <w:r>
        <w:rPr>
          <w:rFonts w:ascii="Times New Roman;Times;serif" w:hAnsi="Times New Roman;Times;serif"/>
          <w:b/>
          <w:i w:val="false"/>
          <w:caps w:val="false"/>
          <w:smallCaps w:val="false"/>
          <w:color w:val="000000"/>
          <w:spacing w:val="-4"/>
          <w:sz w:val="18"/>
        </w:rPr>
        <w:t xml:space="preserve">500 Unicorn Park Drive </w:t>
      </w:r>
      <w:r>
        <w:rPr>
          <w:rFonts w:ascii="Times New Roman;Times;serif" w:hAnsi="Times New Roman;Times;serif"/>
          <w:b/>
          <w:i w:val="false"/>
          <w:caps w:val="false"/>
          <w:smallCaps w:val="false"/>
          <w:color w:val="000000"/>
          <w:sz w:val="18"/>
        </w:rPr>
        <w:br/>
      </w:r>
      <w:r>
        <w:rPr>
          <w:rFonts w:ascii="Times New Roman;Times;serif" w:hAnsi="Times New Roman;Times;serif"/>
          <w:b/>
          <w:i w:val="false"/>
          <w:caps w:val="false"/>
          <w:smallCaps w:val="false"/>
          <w:color w:val="000000"/>
          <w:spacing w:val="-4"/>
          <w:sz w:val="18"/>
        </w:rPr>
        <w:t xml:space="preserve">Suite 303 </w:t>
      </w:r>
      <w:r>
        <w:rPr>
          <w:rFonts w:ascii="Times New Roman;Times;serif" w:hAnsi="Times New Roman;Times;serif"/>
          <w:b/>
          <w:i w:val="false"/>
          <w:caps w:val="false"/>
          <w:smallCaps w:val="false"/>
          <w:color w:val="000000"/>
          <w:sz w:val="18"/>
        </w:rPr>
        <w:br/>
      </w:r>
      <w:r>
        <w:rPr>
          <w:rFonts w:ascii="Times New Roman;Times;serif" w:hAnsi="Times New Roman;Times;serif"/>
          <w:b/>
          <w:i w:val="false"/>
          <w:caps w:val="false"/>
          <w:smallCaps w:val="false"/>
          <w:color w:val="000000"/>
          <w:spacing w:val="-4"/>
          <w:sz w:val="18"/>
        </w:rPr>
        <w:t xml:space="preserve">Woburn, MA 01801 </w:t>
      </w:r>
      <w:r>
        <w:rPr>
          <w:rFonts w:ascii="Times New Roman;Times;serif" w:hAnsi="Times New Roman;Times;serif"/>
          <w:b/>
          <w:i w:val="false"/>
          <w:caps w:val="false"/>
          <w:smallCaps w:val="false"/>
          <w:color w:val="000000"/>
          <w:sz w:val="18"/>
        </w:rPr>
        <w:br/>
      </w:r>
      <w:r>
        <w:rPr>
          <w:rFonts w:ascii="Times New Roman;Times;serif" w:hAnsi="Times New Roman;Times;serif"/>
          <w:b/>
          <w:i w:val="false"/>
          <w:caps w:val="false"/>
          <w:smallCaps w:val="false"/>
          <w:color w:val="000000"/>
          <w:spacing w:val="-4"/>
          <w:sz w:val="18"/>
        </w:rPr>
        <w:t>(781) 222-9600</w:t>
      </w:r>
      <w:r>
        <w:rPr>
          <w:rFonts w:ascii="Times New Roman;Times;serif" w:hAnsi="Times New Roman;Times;serif"/>
          <w:b/>
          <w:i w:val="false"/>
          <w:caps w:val="false"/>
          <w:smallCaps w:val="false"/>
          <w:color w:val="000000"/>
          <w:spacing w:val="4"/>
          <w:sz w:val="18"/>
        </w:rPr>
        <w:t xml:space="preserve"> </w:t>
      </w:r>
    </w:p>
    <w:p>
      <w:pPr>
        <w:pStyle w:val="TextBody"/>
        <w:bidi w:val="0"/>
        <w:spacing w:lineRule="atLeast" w:line="180" w:before="24" w:after="283"/>
        <w:jc w:val="center"/>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(Name, Address, Including Zip Code, and Telephone Number, Including Area Code, of Agent for Service) </w:t>
      </w:r>
    </w:p>
    <w:p>
      <w:pPr>
        <w:pStyle w:val="TextBody"/>
        <w:bidi w:val="0"/>
        <w:spacing w:before="112"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00" w:before="122" w:after="283"/>
        <w:jc w:val="center"/>
        <w:rPr>
          <w:rFonts w:ascii="Times New Roman;Times;serif" w:hAnsi="Times New Roman;Times;serif"/>
          <w:b/>
          <w:i w:val="false"/>
          <w:caps w:val="false"/>
          <w:smallCaps w:val="false"/>
          <w:color w:val="000000"/>
          <w:sz w:val="18"/>
        </w:rPr>
      </w:pPr>
      <w:r>
        <w:rPr>
          <w:rFonts w:ascii="Times New Roman;Times;serif" w:hAnsi="Times New Roman;Times;serif"/>
          <w:b/>
          <w:i w:val="false"/>
          <w:caps w:val="false"/>
          <w:smallCaps w:val="false"/>
          <w:color w:val="000000"/>
          <w:spacing w:val="-4"/>
          <w:sz w:val="18"/>
        </w:rPr>
        <w:t>With copies to:</w:t>
      </w:r>
      <w:r>
        <w:rPr>
          <w:rFonts w:ascii="Times New Roman;Times;serif" w:hAnsi="Times New Roman;Times;serif"/>
          <w:b/>
          <w:i w:val="false"/>
          <w:caps w:val="false"/>
          <w:smallCaps w:val="false"/>
          <w:color w:val="000000"/>
          <w:spacing w:val="4"/>
          <w:sz w:val="18"/>
        </w:rPr>
        <w:t xml:space="preserve"> </w:t>
      </w:r>
    </w:p>
    <w:p>
      <w:pPr>
        <w:pStyle w:val="TextBody"/>
        <w:bidi w:val="0"/>
        <w:spacing w:lineRule="atLeast" w:line="200" w:before="60" w:after="283"/>
        <w:jc w:val="center"/>
        <w:rPr>
          <w:rFonts w:ascii="Times New Roman;Times;serif" w:hAnsi="Times New Roman;Times;serif"/>
          <w:b/>
          <w:i w:val="false"/>
          <w:caps w:val="false"/>
          <w:smallCaps w:val="false"/>
          <w:color w:val="000000"/>
          <w:sz w:val="18"/>
        </w:rPr>
      </w:pPr>
      <w:r>
        <w:rPr>
          <w:rFonts w:ascii="Times New Roman;Times;serif" w:hAnsi="Times New Roman;Times;serif"/>
          <w:b/>
          <w:i w:val="false"/>
          <w:caps w:val="false"/>
          <w:smallCaps w:val="false"/>
          <w:color w:val="000000"/>
          <w:spacing w:val="-4"/>
          <w:sz w:val="18"/>
        </w:rPr>
        <w:t xml:space="preserve">Timothy J. Corbett </w:t>
      </w:r>
      <w:r>
        <w:rPr>
          <w:rFonts w:ascii="Times New Roman;Times;serif" w:hAnsi="Times New Roman;Times;serif"/>
          <w:b/>
          <w:i w:val="false"/>
          <w:caps w:val="false"/>
          <w:smallCaps w:val="false"/>
          <w:color w:val="000000"/>
          <w:sz w:val="18"/>
        </w:rPr>
        <w:br/>
      </w:r>
      <w:r>
        <w:rPr>
          <w:rFonts w:ascii="Times New Roman;Times;serif" w:hAnsi="Times New Roman;Times;serif"/>
          <w:b/>
          <w:i w:val="false"/>
          <w:caps w:val="false"/>
          <w:smallCaps w:val="false"/>
          <w:color w:val="000000"/>
          <w:spacing w:val="-4"/>
          <w:sz w:val="18"/>
        </w:rPr>
        <w:t xml:space="preserve">Thurston J. Hamlette </w:t>
      </w:r>
      <w:r>
        <w:rPr>
          <w:rFonts w:ascii="Times New Roman;Times;serif" w:hAnsi="Times New Roman;Times;serif"/>
          <w:b/>
          <w:i w:val="false"/>
          <w:caps w:val="false"/>
          <w:smallCaps w:val="false"/>
          <w:color w:val="000000"/>
          <w:sz w:val="18"/>
        </w:rPr>
        <w:br/>
      </w:r>
      <w:r>
        <w:rPr>
          <w:rFonts w:ascii="Times New Roman;Times;serif" w:hAnsi="Times New Roman;Times;serif"/>
          <w:b/>
          <w:i w:val="false"/>
          <w:caps w:val="false"/>
          <w:smallCaps w:val="false"/>
          <w:color w:val="000000"/>
          <w:spacing w:val="-4"/>
          <w:sz w:val="18"/>
        </w:rPr>
        <w:t xml:space="preserve">Morgan, Lewis &amp; Bockius LLP </w:t>
      </w:r>
      <w:r>
        <w:rPr>
          <w:rFonts w:ascii="Times New Roman;Times;serif" w:hAnsi="Times New Roman;Times;serif"/>
          <w:b/>
          <w:i w:val="false"/>
          <w:caps w:val="false"/>
          <w:smallCaps w:val="false"/>
          <w:color w:val="000000"/>
          <w:sz w:val="18"/>
        </w:rPr>
        <w:br/>
      </w:r>
      <w:r>
        <w:rPr>
          <w:rFonts w:ascii="Times New Roman;Times;serif" w:hAnsi="Times New Roman;Times;serif"/>
          <w:b/>
          <w:i w:val="false"/>
          <w:caps w:val="false"/>
          <w:smallCaps w:val="false"/>
          <w:color w:val="000000"/>
          <w:spacing w:val="-4"/>
          <w:sz w:val="18"/>
        </w:rPr>
        <w:t xml:space="preserve">101 Park Ave. </w:t>
      </w:r>
      <w:r>
        <w:rPr>
          <w:rFonts w:ascii="Times New Roman;Times;serif" w:hAnsi="Times New Roman;Times;serif"/>
          <w:b/>
          <w:i w:val="false"/>
          <w:caps w:val="false"/>
          <w:smallCaps w:val="false"/>
          <w:color w:val="000000"/>
          <w:sz w:val="18"/>
        </w:rPr>
        <w:br/>
      </w:r>
      <w:r>
        <w:rPr>
          <w:rFonts w:ascii="Times New Roman;Times;serif" w:hAnsi="Times New Roman;Times;serif"/>
          <w:b/>
          <w:i w:val="false"/>
          <w:caps w:val="false"/>
          <w:smallCaps w:val="false"/>
          <w:color w:val="000000"/>
          <w:spacing w:val="-4"/>
          <w:sz w:val="18"/>
        </w:rPr>
        <w:t xml:space="preserve">New York, NY 10178 </w:t>
      </w:r>
      <w:r>
        <w:rPr>
          <w:rFonts w:ascii="Times New Roman;Times;serif" w:hAnsi="Times New Roman;Times;serif"/>
          <w:b/>
          <w:i w:val="false"/>
          <w:caps w:val="false"/>
          <w:smallCaps w:val="false"/>
          <w:color w:val="000000"/>
          <w:sz w:val="18"/>
        </w:rPr>
        <w:br/>
      </w:r>
      <w:r>
        <w:rPr>
          <w:rFonts w:ascii="Times New Roman;Times;serif" w:hAnsi="Times New Roman;Times;serif"/>
          <w:b/>
          <w:i w:val="false"/>
          <w:caps w:val="false"/>
          <w:smallCaps w:val="false"/>
          <w:color w:val="000000"/>
          <w:spacing w:val="-4"/>
          <w:sz w:val="18"/>
        </w:rPr>
        <w:t>(212) 309-6000</w:t>
      </w:r>
      <w:r>
        <w:rPr>
          <w:rFonts w:ascii="Times New Roman;Times;serif" w:hAnsi="Times New Roman;Times;serif"/>
          <w:b/>
          <w:i w:val="false"/>
          <w:caps w:val="false"/>
          <w:smallCaps w:val="false"/>
          <w:color w:val="000000"/>
          <w:spacing w:val="4"/>
          <w:sz w:val="18"/>
        </w:rPr>
        <w:t xml:space="preserve"> </w:t>
      </w:r>
    </w:p>
    <w:p>
      <w:pPr>
        <w:pStyle w:val="TextBody"/>
        <w:bidi w:val="0"/>
        <w:spacing w:before="114"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00" w:before="122" w:after="283"/>
        <w:ind w:left="540" w:right="0" w:firstLine="400"/>
        <w:jc w:val="left"/>
        <w:rPr>
          <w:rFonts w:ascii="Times New Roman;Times;serif" w:hAnsi="Times New Roman;Times;serif"/>
          <w:b w:val="false"/>
          <w:i w:val="false"/>
          <w:caps w:val="false"/>
          <w:smallCaps w:val="false"/>
          <w:color w:val="000000"/>
          <w:sz w:val="18"/>
        </w:rPr>
      </w:pPr>
      <w:r>
        <w:rPr>
          <w:rFonts w:ascii="Times New Roman;Times;serif" w:hAnsi="Times New Roman;Times;serif"/>
          <w:b w:val="false"/>
          <w:i w:val="false"/>
          <w:caps w:val="false"/>
          <w:smallCaps w:val="false"/>
          <w:color w:val="000000"/>
          <w:spacing w:val="4"/>
          <w:sz w:val="18"/>
        </w:rPr>
        <w:t xml:space="preserve">Approximate date of commencement of proposed sale to the public: </w:t>
      </w:r>
      <w:r>
        <w:rPr>
          <w:rFonts w:ascii="Times New Roman;Times;serif" w:hAnsi="Times New Roman;Times;serif"/>
          <w:b/>
          <w:i w:val="false"/>
          <w:caps w:val="false"/>
          <w:smallCaps w:val="false"/>
          <w:color w:val="000000"/>
          <w:spacing w:val="-4"/>
          <w:sz w:val="18"/>
        </w:rPr>
        <w:t>From time to time on or after the effective date of this Registration Statement</w:t>
      </w:r>
      <w:r>
        <w:rPr>
          <w:rFonts w:ascii="Times New Roman;Times;serif" w:hAnsi="Times New Roman;Times;serif"/>
          <w:b w:val="false"/>
          <w:i w:val="false"/>
          <w:caps w:val="false"/>
          <w:smallCaps w:val="false"/>
          <w:color w:val="000000"/>
          <w:spacing w:val="4"/>
          <w:sz w:val="18"/>
        </w:rPr>
        <w:t xml:space="preserve">. </w:t>
      </w:r>
    </w:p>
    <w:p>
      <w:pPr>
        <w:pStyle w:val="TextBody"/>
        <w:bidi w:val="0"/>
        <w:spacing w:lineRule="atLeast" w:line="200" w:before="60" w:after="283"/>
        <w:ind w:left="540" w:right="0" w:firstLine="400"/>
        <w:jc w:val="left"/>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If the only securities being registered on this Form are being offered pursuant to dividend or interest reinvestment plans, please check the following box. ☐ </w:t>
      </w:r>
    </w:p>
    <w:p>
      <w:pPr>
        <w:pStyle w:val="TextBody"/>
        <w:bidi w:val="0"/>
        <w:spacing w:lineRule="atLeast" w:line="200" w:before="60" w:after="283"/>
        <w:ind w:left="540" w:right="0" w:firstLine="400"/>
        <w:jc w:val="left"/>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 </w:t>
      </w:r>
    </w:p>
    <w:p>
      <w:pPr>
        <w:pStyle w:val="TextBody"/>
        <w:bidi w:val="0"/>
        <w:spacing w:lineRule="atLeast" w:line="200" w:before="60" w:after="283"/>
        <w:ind w:left="540" w:right="0" w:firstLine="400"/>
        <w:jc w:val="left"/>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 </w:t>
      </w:r>
    </w:p>
    <w:p>
      <w:pPr>
        <w:pStyle w:val="TextBody"/>
        <w:bidi w:val="0"/>
        <w:spacing w:lineRule="atLeast" w:line="200" w:before="60" w:after="283"/>
        <w:ind w:left="540" w:right="0" w:firstLine="400"/>
        <w:jc w:val="left"/>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If this Form is a post-effective amendment filed pursuant to Rule 462(c) under the Securities Act, check the following box and list the Securities Act registration statement number of the earlier effective registration statement for the same offering. ☐ </w:t>
      </w:r>
    </w:p>
    <w:p>
      <w:pPr>
        <w:pStyle w:val="TextBody"/>
        <w:bidi w:val="0"/>
        <w:spacing w:lineRule="atLeast" w:line="200" w:before="60" w:after="283"/>
        <w:ind w:left="540" w:right="0" w:firstLine="400"/>
        <w:jc w:val="left"/>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If this Form is a registration statement pursuant to General Instruction I.D. or a post-effective amendment thereto that shall become effective upon filing with the Commission pursuant to Rule 462(e) under the Securities Act, check the following box. ☒ </w:t>
      </w:r>
    </w:p>
    <w:p>
      <w:pPr>
        <w:pStyle w:val="TextBody"/>
        <w:bidi w:val="0"/>
        <w:spacing w:lineRule="atLeast" w:line="200" w:before="60" w:after="283"/>
        <w:ind w:left="540" w:right="0" w:firstLine="400"/>
        <w:jc w:val="left"/>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 </w:t>
      </w:r>
    </w:p>
    <w:p>
      <w:pPr>
        <w:pStyle w:val="TextBody"/>
        <w:bidi w:val="0"/>
        <w:spacing w:lineRule="atLeast" w:line="200" w:before="60" w:after="283"/>
        <w:ind w:left="540" w:right="0" w:firstLine="400"/>
        <w:jc w:val="left"/>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6855" w:type="dxa"/>
        <w:jc w:val="left"/>
        <w:tblInd w:w="540" w:type="dxa"/>
        <w:tblLayout w:type="fixed"/>
        <w:tblCellMar>
          <w:top w:w="0" w:type="dxa"/>
          <w:left w:w="0" w:type="dxa"/>
          <w:bottom w:w="0" w:type="dxa"/>
          <w:right w:w="0" w:type="dxa"/>
        </w:tblCellMar>
      </w:tblPr>
      <w:tblGrid>
        <w:gridCol w:w="124"/>
        <w:gridCol w:w="2338"/>
        <w:gridCol w:w="109"/>
        <w:gridCol w:w="109"/>
        <w:gridCol w:w="376"/>
        <w:gridCol w:w="109"/>
        <w:gridCol w:w="109"/>
        <w:gridCol w:w="2833"/>
        <w:gridCol w:w="109"/>
        <w:gridCol w:w="109"/>
        <w:gridCol w:w="376"/>
        <w:gridCol w:w="154"/>
      </w:tblGrid>
      <w:tr>
        <w:trPr/>
        <w:tc>
          <w:tcPr>
            <w:tcW w:w="124" w:type="dxa"/>
            <w:tcBorders/>
            <w:vAlign w:val="center"/>
          </w:tcPr>
          <w:p>
            <w:pPr>
              <w:pStyle w:val="TableContents"/>
              <w:bidi w:val="0"/>
              <w:spacing w:before="0" w:after="283"/>
              <w:jc w:val="left"/>
              <w:rPr/>
            </w:pPr>
            <w:r>
              <w:rPr/>
              <w:t>​</w:t>
            </w:r>
          </w:p>
        </w:tc>
        <w:tc>
          <w:tcPr>
            <w:tcW w:w="2338" w:type="dxa"/>
            <w:tcBorders/>
            <w:vAlign w:val="center"/>
          </w:tcPr>
          <w:p>
            <w:pPr>
              <w:pStyle w:val="TableContents"/>
              <w:bidi w:val="0"/>
              <w:spacing w:before="0" w:after="283"/>
              <w:jc w:val="left"/>
              <w:rPr>
                <w:spacing w:val="4"/>
              </w:rPr>
            </w:pPr>
            <w:r>
              <w:rPr>
                <w:spacing w:val="4"/>
              </w:rPr>
              <w:t xml:space="preserve">Large accelerated filer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76" w:type="dxa"/>
            <w:tcBorders/>
            <w:vAlign w:val="center"/>
          </w:tcPr>
          <w:p>
            <w:pPr>
              <w:pStyle w:val="TableContents"/>
              <w:bidi w:val="0"/>
              <w:spacing w:before="0" w:after="283"/>
              <w:jc w:val="left"/>
              <w:rPr/>
            </w:pPr>
            <w:r>
              <w:rPr>
                <w:spacing w:val="4"/>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33" w:type="dxa"/>
            <w:tcBorders/>
            <w:vAlign w:val="center"/>
          </w:tcPr>
          <w:p>
            <w:pPr>
              <w:pStyle w:val="TableContents"/>
              <w:bidi w:val="0"/>
              <w:spacing w:before="0" w:after="283"/>
              <w:jc w:val="left"/>
              <w:rPr>
                <w:spacing w:val="4"/>
              </w:rPr>
            </w:pPr>
            <w:r>
              <w:rPr>
                <w:spacing w:val="4"/>
              </w:rPr>
              <w:t xml:space="preserve">Accelerated filer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76" w:type="dxa"/>
            <w:tcBorders/>
            <w:vAlign w:val="center"/>
          </w:tcPr>
          <w:p>
            <w:pPr>
              <w:pStyle w:val="TableContents"/>
              <w:bidi w:val="0"/>
              <w:spacing w:before="0" w:after="283"/>
              <w:jc w:val="left"/>
              <w:rPr>
                <w:spacing w:val="4"/>
              </w:rPr>
            </w:pPr>
            <w:r>
              <w:rPr>
                <w:spacing w:val="4"/>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338" w:type="dxa"/>
            <w:tcBorders/>
            <w:vAlign w:val="center"/>
          </w:tcPr>
          <w:p>
            <w:pPr>
              <w:pStyle w:val="TableContents"/>
              <w:bidi w:val="0"/>
              <w:spacing w:before="0" w:after="283"/>
              <w:jc w:val="left"/>
              <w:rPr>
                <w:spacing w:val="4"/>
              </w:rPr>
            </w:pPr>
            <w:r>
              <w:rPr>
                <w:spacing w:val="4"/>
              </w:rPr>
              <w:t xml:space="preserve">Non- accelerated filer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76" w:type="dxa"/>
            <w:tcBorders/>
            <w:vAlign w:val="center"/>
          </w:tcPr>
          <w:p>
            <w:pPr>
              <w:pStyle w:val="TableContents"/>
              <w:bidi w:val="0"/>
              <w:spacing w:before="0" w:after="283"/>
              <w:jc w:val="left"/>
              <w:rPr/>
            </w:pPr>
            <w:r>
              <w:rPr>
                <w:spacing w:val="4"/>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33" w:type="dxa"/>
            <w:tcBorders/>
            <w:vAlign w:val="center"/>
          </w:tcPr>
          <w:p>
            <w:pPr>
              <w:pStyle w:val="TableContents"/>
              <w:bidi w:val="0"/>
              <w:spacing w:before="0" w:after="283"/>
              <w:jc w:val="left"/>
              <w:rPr>
                <w:spacing w:val="4"/>
              </w:rPr>
            </w:pPr>
            <w:r>
              <w:rPr>
                <w:spacing w:val="4"/>
              </w:rPr>
              <w:t xml:space="preserve">Smaller reporting company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76" w:type="dxa"/>
            <w:tcBorders/>
            <w:vAlign w:val="center"/>
          </w:tcPr>
          <w:p>
            <w:pPr>
              <w:pStyle w:val="TableContents"/>
              <w:bidi w:val="0"/>
              <w:spacing w:before="0" w:after="283"/>
              <w:jc w:val="left"/>
              <w:rPr/>
            </w:pPr>
            <w:r>
              <w:rPr>
                <w:spacing w:val="4"/>
              </w:rPr>
              <w:t>☒</w:t>
            </w:r>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338"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76"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33" w:type="dxa"/>
            <w:tcBorders/>
            <w:vAlign w:val="center"/>
          </w:tcPr>
          <w:p>
            <w:pPr>
              <w:pStyle w:val="TableContents"/>
              <w:bidi w:val="0"/>
              <w:spacing w:before="0" w:after="283"/>
              <w:jc w:val="left"/>
              <w:rPr>
                <w:spacing w:val="4"/>
              </w:rPr>
            </w:pPr>
            <w:r>
              <w:rPr>
                <w:spacing w:val="4"/>
              </w:rPr>
              <w:t xml:space="preserve">Emerging growth company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76" w:type="dxa"/>
            <w:tcBorders/>
            <w:vAlign w:val="center"/>
          </w:tcPr>
          <w:p>
            <w:pPr>
              <w:pStyle w:val="TableContents"/>
              <w:bidi w:val="0"/>
              <w:spacing w:before="0" w:after="283"/>
              <w:jc w:val="left"/>
              <w:rPr/>
            </w:pPr>
            <w:r>
              <w:rPr>
                <w:spacing w:val="4"/>
              </w:rPr>
              <w:t>☐</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00" w:before="220" w:after="283"/>
        <w:ind w:left="540" w:right="0" w:firstLine="400"/>
        <w:jc w:val="left"/>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If an emerging growth company, indicate by check mark if the registrant has elected not to use the extended transition period for complying with any new or revised financial accounting standards provided pursuant to Section 7(a)(2)(B) of Securities Act. ☐ </w:t>
      </w:r>
    </w:p>
    <w:p>
      <w:pPr>
        <w:pStyle w:val="TextBody"/>
        <w:bidi w:val="0"/>
        <w:spacing w:before="94" w:after="283"/>
        <w:ind w:left="540"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before="44" w:after="283"/>
        <w:ind w:left="540" w:right="0" w:hanging="0"/>
        <w:jc w:val="left"/>
        <w:rPr>
          <w:caps w:val="false"/>
          <w:smallCaps w:val="false"/>
          <w:color w:val="000000"/>
          <w:bdr w:val="single" w:sz="16" w:space="1" w:color="000000"/>
        </w:rPr>
      </w:pPr>
      <w:r>
        <w:rPr>
          <w:caps w:val="false"/>
          <w:smallCaps w:val="false"/>
          <w:color w:val="000000"/>
          <w:bdr w:val="single" w:sz="16" w:space="1" w:color="000000"/>
        </w:rPr>
        <w:t>​</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557"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Prospectus</w:t>
      </w:r>
      <w:r>
        <w:rPr>
          <w:rFonts w:ascii="Times New Roman;Times;serif" w:hAnsi="Times New Roman;Times;serif"/>
          <w:b/>
          <w:i w:val="false"/>
          <w:caps w:val="false"/>
          <w:smallCaps w:val="false"/>
          <w:color w:val="000000"/>
          <w:spacing w:val="4"/>
          <w:sz w:val="20"/>
        </w:rPr>
        <w:t xml:space="preserve"> </w:t>
      </w:r>
    </w:p>
    <w:p>
      <w:pPr>
        <w:pStyle w:val="TextBody"/>
        <w:bidi w:val="0"/>
        <w:spacing w:before="200" w:after="283"/>
        <w:jc w:val="center"/>
        <w:rPr>
          <w:caps w:val="false"/>
          <w:smallCaps w:val="false"/>
          <w:color w:val="000000"/>
        </w:rPr>
      </w:pPr>
      <w:r>
        <w:rPr>
          <w:caps w:val="false"/>
          <w:smallCaps w:val="false"/>
          <w:color w:val="000000"/>
        </w:rPr>
        <w:drawing>
          <wp:inline distT="0" distB="0" distL="0" distR="0">
            <wp:extent cx="2724150" cy="6381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724150" cy="638175"/>
                    </a:xfrm>
                    <a:prstGeom prst="rect">
                      <a:avLst/>
                    </a:prstGeom>
                  </pic:spPr>
                </pic:pic>
              </a:graphicData>
            </a:graphic>
          </wp:inline>
        </w:drawing>
      </w:r>
      <w:r>
        <w:rPr>
          <w:caps w:val="false"/>
          <w:smallCaps w:val="false"/>
          <w:color w:val="000000"/>
        </w:rPr>
        <w:t xml:space="preserve"> </w:t>
      </w:r>
    </w:p>
    <w:p>
      <w:pPr>
        <w:pStyle w:val="TextBody"/>
        <w:bidi w:val="0"/>
        <w:spacing w:lineRule="atLeast" w:line="320" w:before="34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 xml:space="preserve">Common Stock </w:t>
      </w:r>
      <w:r>
        <w:rPr>
          <w:rFonts w:ascii="Times New Roman;Times;serif" w:hAnsi="Times New Roman;Times;serif"/>
          <w:b/>
          <w:i w:val="false"/>
          <w:caps w:val="false"/>
          <w:smallCaps w:val="false"/>
          <w:color w:val="000000"/>
          <w:sz w:val="28"/>
        </w:rPr>
        <w:br/>
      </w:r>
      <w:r>
        <w:rPr>
          <w:rFonts w:ascii="Times New Roman;Times;serif" w:hAnsi="Times New Roman;Times;serif"/>
          <w:b/>
          <w:i w:val="false"/>
          <w:caps w:val="false"/>
          <w:smallCaps w:val="false"/>
          <w:color w:val="000000"/>
          <w:spacing w:val="-6"/>
          <w:sz w:val="28"/>
        </w:rPr>
        <w:t xml:space="preserve">Preferred Stock </w:t>
      </w:r>
      <w:r>
        <w:rPr>
          <w:rFonts w:ascii="Times New Roman;Times;serif" w:hAnsi="Times New Roman;Times;serif"/>
          <w:b/>
          <w:i w:val="false"/>
          <w:caps w:val="false"/>
          <w:smallCaps w:val="false"/>
          <w:color w:val="000000"/>
          <w:sz w:val="28"/>
        </w:rPr>
        <w:br/>
      </w:r>
      <w:r>
        <w:rPr>
          <w:rFonts w:ascii="Times New Roman;Times;serif" w:hAnsi="Times New Roman;Times;serif"/>
          <w:b/>
          <w:i w:val="false"/>
          <w:caps w:val="false"/>
          <w:smallCaps w:val="false"/>
          <w:color w:val="000000"/>
          <w:spacing w:val="-6"/>
          <w:sz w:val="28"/>
        </w:rPr>
        <w:t xml:space="preserve">Debt Securities </w:t>
      </w:r>
      <w:r>
        <w:rPr>
          <w:rFonts w:ascii="Times New Roman;Times;serif" w:hAnsi="Times New Roman;Times;serif"/>
          <w:b/>
          <w:i w:val="false"/>
          <w:caps w:val="false"/>
          <w:smallCaps w:val="false"/>
          <w:color w:val="000000"/>
          <w:sz w:val="28"/>
        </w:rPr>
        <w:br/>
      </w:r>
      <w:r>
        <w:rPr>
          <w:rFonts w:ascii="Times New Roman;Times;serif" w:hAnsi="Times New Roman;Times;serif"/>
          <w:b/>
          <w:i w:val="false"/>
          <w:caps w:val="false"/>
          <w:smallCaps w:val="false"/>
          <w:color w:val="000000"/>
          <w:spacing w:val="-6"/>
          <w:sz w:val="28"/>
        </w:rPr>
        <w:t xml:space="preserve">Warrants </w:t>
      </w:r>
      <w:r>
        <w:rPr>
          <w:rFonts w:ascii="Times New Roman;Times;serif" w:hAnsi="Times New Roman;Times;serif"/>
          <w:b/>
          <w:i w:val="false"/>
          <w:caps w:val="false"/>
          <w:smallCaps w:val="false"/>
          <w:color w:val="000000"/>
          <w:sz w:val="28"/>
        </w:rPr>
        <w:br/>
      </w:r>
      <w:r>
        <w:rPr>
          <w:rFonts w:ascii="Times New Roman;Times;serif" w:hAnsi="Times New Roman;Times;serif"/>
          <w:b/>
          <w:i w:val="false"/>
          <w:caps w:val="false"/>
          <w:smallCaps w:val="false"/>
          <w:color w:val="000000"/>
          <w:spacing w:val="-6"/>
          <w:sz w:val="28"/>
        </w:rPr>
        <w:t>Units</w:t>
      </w:r>
      <w:r>
        <w:rPr>
          <w:rFonts w:ascii="Times New Roman;Times;serif" w:hAnsi="Times New Roman;Times;serif"/>
          <w:b/>
          <w:i w:val="false"/>
          <w:caps w:val="false"/>
          <w:smallCaps w:val="false"/>
          <w:color w:val="000000"/>
          <w:spacing w:val="6"/>
          <w:sz w:val="28"/>
        </w:rPr>
        <w:t xml:space="preserve">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24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offer and sell from time to time in one or more offerings, in one or more series or classes, separately or together, and in amounts, at prices and on terms to be set forth in one or more supplements to this prospectus, the following securities: common stock, preferred stock, debt securities, warrants or units. The preferred stock, debt securities and warrants may be convertible into or exercisable or exchangeable for common stock or preferred stock or other securities, as identified in the applicable prospectus supplement.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provides you with a general description of the securities we may offer. Each time we offer securities pursuant to this prospectus, we will provide a prospectus supplement containing specific terms of the particular offering together with this prospectus. We may also authorize one or more free writing prospectuses to be provided to you in connection with these offerings. The prospectus supplement and any related free writing prospectus may add, update or change information contained in this prospectus. You should carefully read this prospectus, the applicable prospectus supplement and any related free writing prospectus, as well as the documents incorporated by reference herein and therein, before you invest in any securities that we may offer. This prospectus may not be used to offer and sell securities unless accompanied by the applicable prospectus supplement. </w:t>
      </w:r>
    </w:p>
    <w:p>
      <w:pPr>
        <w:pStyle w:val="TextBody"/>
        <w:bidi w:val="0"/>
        <w:spacing w:lineRule="atLeast" w:line="240" w:before="160" w:after="283"/>
        <w:ind w:left="1393" w:right="0" w:firstLine="400"/>
        <w:jc w:val="left"/>
        <w:rPr/>
      </w:pPr>
      <w:r>
        <w:rPr>
          <w:rFonts w:ascii="Times New Roman;Times;serif" w:hAnsi="Times New Roman;Times;serif"/>
          <w:b/>
          <w:i w:val="false"/>
          <w:caps w:val="false"/>
          <w:smallCaps w:val="false"/>
          <w:color w:val="000000"/>
          <w:spacing w:val="-4"/>
          <w:sz w:val="20"/>
        </w:rPr>
        <w:t xml:space="preserve">Investing in our securities involves significant risks. We strongly recommend that you read carefully the risks we describe in this prospectus and in any accompanying prospectus supplement, as well as the risk factors that are incorporated by reference into this prospectus from our filings made with the Securities and Exchange Commission. See “Risk Factors” on page </w:t>
      </w:r>
      <w:hyperlink w:anchor="tRIFA">
        <w:r>
          <w:rPr>
            <w:rStyle w:val="InternetLink"/>
          </w:rPr>
          <w:t>3</w:t>
        </w:r>
      </w:hyperlink>
      <w:r>
        <w:rPr>
          <w:rFonts w:ascii="Times New Roman;Times;serif" w:hAnsi="Times New Roman;Times;serif"/>
          <w:b/>
          <w:i w:val="false"/>
          <w:caps w:val="false"/>
          <w:smallCaps w:val="false"/>
          <w:color w:val="000000"/>
          <w:spacing w:val="-4"/>
          <w:sz w:val="20"/>
        </w:rPr>
        <w:t xml:space="preserve"> of this prospectus.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offer and sell the securities through underwriters, dealers or agents, or directly to purchasers, or through a combination of these methods. The names of any underwriters or agents that are included in a sale of securities to you, and any applicable commissions or discounts, will be stated in an accompanying prospectus supplement.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Neither the Securities and Exchange Commission nor any state securities commission has approved or disapproved of these securities or determined if this prospectus is truthful or complete. Any representation to the contrary is a criminal offense.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date of this prospectus is August 14, 2026.</w:t>
      </w:r>
      <w:r>
        <w:rPr>
          <w:rFonts w:ascii="Times New Roman;Times;serif" w:hAnsi="Times New Roman;Times;serif"/>
          <w:b/>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 w:name="TOC"/>
      <w:bookmarkEnd w:id="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715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TABLE OF CONTENTS</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28" w:type="dxa"/>
          <w:right w:w="0" w:type="dxa"/>
        </w:tblCellMar>
      </w:tblPr>
      <w:tblGrid>
        <w:gridCol w:w="7716"/>
        <w:gridCol w:w="109"/>
        <w:gridCol w:w="109"/>
        <w:gridCol w:w="109"/>
        <w:gridCol w:w="109"/>
        <w:gridCol w:w="396"/>
        <w:gridCol w:w="109"/>
        <w:gridCol w:w="155"/>
      </w:tblGrid>
      <w:tr>
        <w:trPr/>
        <w:tc>
          <w:tcPr>
            <w:tcW w:w="771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723"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Page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7716" w:type="dxa"/>
            <w:tcBorders/>
            <w:shd w:fill="CCEEFF" w:val="clear"/>
            <w:tcMar>
              <w:bottom w:w="0" w:type="dxa"/>
            </w:tcMar>
            <w:vAlign w:val="center"/>
          </w:tcPr>
          <w:p>
            <w:pPr>
              <w:pStyle w:val="TableContents"/>
              <w:bidi w:val="0"/>
              <w:spacing w:before="0" w:after="0"/>
              <w:jc w:val="left"/>
              <w:rPr/>
            </w:pPr>
            <w:hyperlink w:anchor="tATP">
              <w:r>
                <w:rPr>
                  <w:rStyle w:val="InternetLink"/>
                  <w:spacing w:val="4"/>
                </w:rPr>
                <w:t xml:space="preserve">ABOUT THIS PROSPECTUS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96" w:type="dxa"/>
            <w:tcBorders/>
            <w:shd w:fill="CCEEFF" w:val="clear"/>
            <w:tcMar>
              <w:bottom w:w="0" w:type="dxa"/>
            </w:tcMar>
            <w:vAlign w:val="center"/>
          </w:tcPr>
          <w:p>
            <w:pPr>
              <w:pStyle w:val="TableContents"/>
              <w:bidi w:val="0"/>
              <w:spacing w:before="0" w:after="283"/>
              <w:jc w:val="right"/>
              <w:rPr/>
            </w:pPr>
            <w:hyperlink w:anchor="tATP">
              <w:r>
                <w:rPr>
                  <w:rStyle w:val="InternetLink"/>
                  <w:spacing w:val="4"/>
                </w:rPr>
                <w:t>1</w:t>
              </w:r>
            </w:hyperlink>
            <w:hyperlink w:anchor="tATP">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16" w:type="dxa"/>
            <w:tcBorders/>
            <w:tcMar>
              <w:bottom w:w="0" w:type="dxa"/>
            </w:tcMar>
            <w:vAlign w:val="center"/>
          </w:tcPr>
          <w:p>
            <w:pPr>
              <w:pStyle w:val="TableContents"/>
              <w:bidi w:val="0"/>
              <w:spacing w:before="0" w:after="0"/>
              <w:jc w:val="left"/>
              <w:rPr/>
            </w:pPr>
            <w:hyperlink w:anchor="tTHCO">
              <w:r>
                <w:rPr>
                  <w:rStyle w:val="InternetLink"/>
                  <w:spacing w:val="4"/>
                </w:rPr>
                <w:t xml:space="preserve">THE COMPANY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96" w:type="dxa"/>
            <w:tcBorders/>
            <w:tcMar>
              <w:bottom w:w="0" w:type="dxa"/>
            </w:tcMar>
            <w:vAlign w:val="center"/>
          </w:tcPr>
          <w:p>
            <w:pPr>
              <w:pStyle w:val="TableContents"/>
              <w:bidi w:val="0"/>
              <w:spacing w:before="0" w:after="283"/>
              <w:jc w:val="right"/>
              <w:rPr/>
            </w:pPr>
            <w:hyperlink w:anchor="tTHCO">
              <w:r>
                <w:rPr>
                  <w:rStyle w:val="InternetLink"/>
                  <w:spacing w:val="4"/>
                </w:rPr>
                <w:t>2</w:t>
              </w:r>
            </w:hyperlink>
            <w:hyperlink w:anchor="tTHCO">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16" w:type="dxa"/>
            <w:tcBorders/>
            <w:shd w:fill="CCEEFF" w:val="clear"/>
            <w:tcMar>
              <w:bottom w:w="0" w:type="dxa"/>
            </w:tcMar>
            <w:vAlign w:val="center"/>
          </w:tcPr>
          <w:p>
            <w:pPr>
              <w:pStyle w:val="TableContents"/>
              <w:bidi w:val="0"/>
              <w:spacing w:before="0" w:after="0"/>
              <w:jc w:val="left"/>
              <w:rPr/>
            </w:pPr>
            <w:hyperlink w:anchor="tRIFA">
              <w:r>
                <w:rPr>
                  <w:rStyle w:val="InternetLink"/>
                  <w:spacing w:val="4"/>
                </w:rPr>
                <w:t xml:space="preserve">RISK FACTORS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96" w:type="dxa"/>
            <w:tcBorders/>
            <w:shd w:fill="CCEEFF" w:val="clear"/>
            <w:tcMar>
              <w:bottom w:w="0" w:type="dxa"/>
            </w:tcMar>
            <w:vAlign w:val="center"/>
          </w:tcPr>
          <w:p>
            <w:pPr>
              <w:pStyle w:val="TableContents"/>
              <w:bidi w:val="0"/>
              <w:spacing w:before="0" w:after="283"/>
              <w:jc w:val="right"/>
              <w:rPr/>
            </w:pPr>
            <w:hyperlink w:anchor="tRIFA">
              <w:r>
                <w:rPr>
                  <w:rStyle w:val="InternetLink"/>
                  <w:spacing w:val="4"/>
                </w:rPr>
                <w:t>3</w:t>
              </w:r>
            </w:hyperlink>
            <w:hyperlink w:anchor="tRIFA">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16" w:type="dxa"/>
            <w:tcBorders/>
            <w:tcMar>
              <w:bottom w:w="0" w:type="dxa"/>
            </w:tcMar>
            <w:vAlign w:val="center"/>
          </w:tcPr>
          <w:p>
            <w:pPr>
              <w:pStyle w:val="TableContents"/>
              <w:bidi w:val="0"/>
              <w:spacing w:before="0" w:after="0"/>
              <w:jc w:val="left"/>
              <w:rPr/>
            </w:pPr>
            <w:hyperlink w:anchor="tCSRF">
              <w:r>
                <w:rPr>
                  <w:rStyle w:val="InternetLink"/>
                  <w:spacing w:val="4"/>
                </w:rPr>
                <w:t xml:space="preserve">CAUTIONARY STATEMENT REGARDING FORWARD-LOOKING STATEMENTS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96" w:type="dxa"/>
            <w:tcBorders/>
            <w:tcMar>
              <w:bottom w:w="0" w:type="dxa"/>
            </w:tcMar>
            <w:vAlign w:val="center"/>
          </w:tcPr>
          <w:p>
            <w:pPr>
              <w:pStyle w:val="TableContents"/>
              <w:bidi w:val="0"/>
              <w:spacing w:before="0" w:after="283"/>
              <w:jc w:val="right"/>
              <w:rPr/>
            </w:pPr>
            <w:hyperlink w:anchor="tCSRF">
              <w:r>
                <w:rPr>
                  <w:rStyle w:val="InternetLink"/>
                  <w:spacing w:val="4"/>
                </w:rPr>
                <w:t>4</w:t>
              </w:r>
            </w:hyperlink>
            <w:hyperlink w:anchor="tCSRF">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16" w:type="dxa"/>
            <w:tcBorders/>
            <w:shd w:fill="CCEEFF" w:val="clear"/>
            <w:tcMar>
              <w:bottom w:w="0" w:type="dxa"/>
            </w:tcMar>
            <w:vAlign w:val="center"/>
          </w:tcPr>
          <w:p>
            <w:pPr>
              <w:pStyle w:val="TableContents"/>
              <w:bidi w:val="0"/>
              <w:spacing w:before="0" w:after="0"/>
              <w:jc w:val="left"/>
              <w:rPr/>
            </w:pPr>
            <w:hyperlink w:anchor="tUOP">
              <w:r>
                <w:rPr>
                  <w:rStyle w:val="InternetLink"/>
                  <w:spacing w:val="4"/>
                </w:rPr>
                <w:t xml:space="preserve">USE OF PROCEEDS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96" w:type="dxa"/>
            <w:tcBorders/>
            <w:shd w:fill="CCEEFF" w:val="clear"/>
            <w:tcMar>
              <w:bottom w:w="0" w:type="dxa"/>
            </w:tcMar>
            <w:vAlign w:val="center"/>
          </w:tcPr>
          <w:p>
            <w:pPr>
              <w:pStyle w:val="TableContents"/>
              <w:bidi w:val="0"/>
              <w:spacing w:before="0" w:after="283"/>
              <w:jc w:val="right"/>
              <w:rPr/>
            </w:pPr>
            <w:hyperlink w:anchor="tUOP">
              <w:r>
                <w:rPr>
                  <w:rStyle w:val="InternetLink"/>
                  <w:spacing w:val="4"/>
                </w:rPr>
                <w:t>6</w:t>
              </w:r>
            </w:hyperlink>
            <w:hyperlink w:anchor="tUOP">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16" w:type="dxa"/>
            <w:tcBorders/>
            <w:tcMar>
              <w:bottom w:w="0" w:type="dxa"/>
            </w:tcMar>
            <w:vAlign w:val="center"/>
          </w:tcPr>
          <w:p>
            <w:pPr>
              <w:pStyle w:val="TableContents"/>
              <w:bidi w:val="0"/>
              <w:spacing w:before="0" w:after="0"/>
              <w:jc w:val="left"/>
              <w:rPr/>
            </w:pPr>
            <w:hyperlink w:anchor="tDOCS">
              <w:r>
                <w:rPr>
                  <w:rStyle w:val="InternetLink"/>
                  <w:spacing w:val="4"/>
                </w:rPr>
                <w:t xml:space="preserve">DESCRIPTION OF CAPITAL STOCK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96" w:type="dxa"/>
            <w:tcBorders/>
            <w:tcMar>
              <w:bottom w:w="0" w:type="dxa"/>
            </w:tcMar>
            <w:vAlign w:val="center"/>
          </w:tcPr>
          <w:p>
            <w:pPr>
              <w:pStyle w:val="TableContents"/>
              <w:bidi w:val="0"/>
              <w:spacing w:before="0" w:after="283"/>
              <w:jc w:val="right"/>
              <w:rPr/>
            </w:pPr>
            <w:hyperlink w:anchor="tDOCS">
              <w:r>
                <w:rPr>
                  <w:rStyle w:val="InternetLink"/>
                  <w:spacing w:val="4"/>
                </w:rPr>
                <w:t>7</w:t>
              </w:r>
            </w:hyperlink>
            <w:hyperlink w:anchor="tDOCS">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16" w:type="dxa"/>
            <w:tcBorders/>
            <w:shd w:fill="CCEEFF" w:val="clear"/>
            <w:tcMar>
              <w:bottom w:w="0" w:type="dxa"/>
            </w:tcMar>
            <w:vAlign w:val="center"/>
          </w:tcPr>
          <w:p>
            <w:pPr>
              <w:pStyle w:val="TableContents"/>
              <w:bidi w:val="0"/>
              <w:spacing w:before="0" w:after="0"/>
              <w:jc w:val="left"/>
              <w:rPr/>
            </w:pPr>
            <w:hyperlink w:anchor="tDODS">
              <w:r>
                <w:rPr>
                  <w:rStyle w:val="InternetLink"/>
                  <w:spacing w:val="4"/>
                </w:rPr>
                <w:t xml:space="preserve">DESCRIPTION OF DEBT SECURITIES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96" w:type="dxa"/>
            <w:tcBorders/>
            <w:shd w:fill="CCEEFF" w:val="clear"/>
            <w:tcMar>
              <w:bottom w:w="0" w:type="dxa"/>
            </w:tcMar>
            <w:vAlign w:val="center"/>
          </w:tcPr>
          <w:p>
            <w:pPr>
              <w:pStyle w:val="TableContents"/>
              <w:bidi w:val="0"/>
              <w:spacing w:before="0" w:after="283"/>
              <w:jc w:val="right"/>
              <w:rPr/>
            </w:pPr>
            <w:hyperlink w:anchor="tDODS">
              <w:r>
                <w:rPr>
                  <w:rStyle w:val="InternetLink"/>
                  <w:spacing w:val="4"/>
                </w:rPr>
                <w:t>12</w:t>
              </w:r>
            </w:hyperlink>
            <w:hyperlink w:anchor="tDODS">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16" w:type="dxa"/>
            <w:tcBorders/>
            <w:tcMar>
              <w:bottom w:w="0" w:type="dxa"/>
            </w:tcMar>
            <w:vAlign w:val="center"/>
          </w:tcPr>
          <w:p>
            <w:pPr>
              <w:pStyle w:val="TableContents"/>
              <w:bidi w:val="0"/>
              <w:spacing w:before="0" w:after="0"/>
              <w:jc w:val="left"/>
              <w:rPr/>
            </w:pPr>
            <w:hyperlink w:anchor="tDOW">
              <w:r>
                <w:rPr>
                  <w:rStyle w:val="InternetLink"/>
                  <w:spacing w:val="4"/>
                </w:rPr>
                <w:t xml:space="preserve">DESCRIPTION OF WARRANTS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96" w:type="dxa"/>
            <w:tcBorders/>
            <w:tcMar>
              <w:bottom w:w="0" w:type="dxa"/>
            </w:tcMar>
            <w:vAlign w:val="center"/>
          </w:tcPr>
          <w:p>
            <w:pPr>
              <w:pStyle w:val="TableContents"/>
              <w:bidi w:val="0"/>
              <w:spacing w:before="0" w:after="283"/>
              <w:jc w:val="right"/>
              <w:rPr/>
            </w:pPr>
            <w:hyperlink w:anchor="tDOW">
              <w:r>
                <w:rPr>
                  <w:rStyle w:val="InternetLink"/>
                  <w:spacing w:val="4"/>
                </w:rPr>
                <w:t>18</w:t>
              </w:r>
            </w:hyperlink>
            <w:hyperlink w:anchor="tDOW">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16" w:type="dxa"/>
            <w:tcBorders/>
            <w:shd w:fill="CCEEFF" w:val="clear"/>
            <w:tcMar>
              <w:bottom w:w="0" w:type="dxa"/>
            </w:tcMar>
            <w:vAlign w:val="center"/>
          </w:tcPr>
          <w:p>
            <w:pPr>
              <w:pStyle w:val="TableContents"/>
              <w:bidi w:val="0"/>
              <w:spacing w:before="0" w:after="0"/>
              <w:jc w:val="left"/>
              <w:rPr/>
            </w:pPr>
            <w:hyperlink w:anchor="tDOU">
              <w:r>
                <w:rPr>
                  <w:rStyle w:val="InternetLink"/>
                  <w:spacing w:val="4"/>
                </w:rPr>
                <w:t xml:space="preserve">DESCRIPTION OF UNITS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96" w:type="dxa"/>
            <w:tcBorders/>
            <w:shd w:fill="CCEEFF" w:val="clear"/>
            <w:tcMar>
              <w:bottom w:w="0" w:type="dxa"/>
            </w:tcMar>
            <w:vAlign w:val="center"/>
          </w:tcPr>
          <w:p>
            <w:pPr>
              <w:pStyle w:val="TableContents"/>
              <w:bidi w:val="0"/>
              <w:spacing w:before="0" w:after="283"/>
              <w:jc w:val="right"/>
              <w:rPr/>
            </w:pPr>
            <w:hyperlink w:anchor="tDOU">
              <w:r>
                <w:rPr>
                  <w:rStyle w:val="InternetLink"/>
                  <w:spacing w:val="4"/>
                </w:rPr>
                <w:t>20</w:t>
              </w:r>
            </w:hyperlink>
            <w:hyperlink w:anchor="tDOU">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16" w:type="dxa"/>
            <w:tcBorders/>
            <w:tcMar>
              <w:bottom w:w="0" w:type="dxa"/>
            </w:tcMar>
            <w:vAlign w:val="center"/>
          </w:tcPr>
          <w:p>
            <w:pPr>
              <w:pStyle w:val="TableContents"/>
              <w:bidi w:val="0"/>
              <w:spacing w:before="0" w:after="0"/>
              <w:jc w:val="left"/>
              <w:rPr/>
            </w:pPr>
            <w:hyperlink w:anchor="tFOS">
              <w:r>
                <w:rPr>
                  <w:rStyle w:val="InternetLink"/>
                  <w:spacing w:val="4"/>
                </w:rPr>
                <w:t xml:space="preserve">FORMS OF SECURITIES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96" w:type="dxa"/>
            <w:tcBorders/>
            <w:tcMar>
              <w:bottom w:w="0" w:type="dxa"/>
            </w:tcMar>
            <w:vAlign w:val="center"/>
          </w:tcPr>
          <w:p>
            <w:pPr>
              <w:pStyle w:val="TableContents"/>
              <w:bidi w:val="0"/>
              <w:spacing w:before="0" w:after="283"/>
              <w:jc w:val="right"/>
              <w:rPr/>
            </w:pPr>
            <w:hyperlink w:anchor="tFOS">
              <w:r>
                <w:rPr>
                  <w:rStyle w:val="InternetLink"/>
                  <w:spacing w:val="4"/>
                </w:rPr>
                <w:t>20</w:t>
              </w:r>
            </w:hyperlink>
            <w:hyperlink w:anchor="tFOS">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16" w:type="dxa"/>
            <w:tcBorders/>
            <w:shd w:fill="CCEEFF" w:val="clear"/>
            <w:tcMar>
              <w:bottom w:w="0" w:type="dxa"/>
            </w:tcMar>
            <w:vAlign w:val="center"/>
          </w:tcPr>
          <w:p>
            <w:pPr>
              <w:pStyle w:val="TableContents"/>
              <w:bidi w:val="0"/>
              <w:spacing w:before="0" w:after="0"/>
              <w:jc w:val="left"/>
              <w:rPr/>
            </w:pPr>
            <w:hyperlink w:anchor="tPOD">
              <w:r>
                <w:rPr>
                  <w:rStyle w:val="InternetLink"/>
                  <w:spacing w:val="4"/>
                </w:rPr>
                <w:t xml:space="preserve">PLAN OF DISTRIBUTION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96" w:type="dxa"/>
            <w:tcBorders/>
            <w:shd w:fill="CCEEFF" w:val="clear"/>
            <w:tcMar>
              <w:bottom w:w="0" w:type="dxa"/>
            </w:tcMar>
            <w:vAlign w:val="center"/>
          </w:tcPr>
          <w:p>
            <w:pPr>
              <w:pStyle w:val="TableContents"/>
              <w:bidi w:val="0"/>
              <w:spacing w:before="0" w:after="283"/>
              <w:jc w:val="right"/>
              <w:rPr/>
            </w:pPr>
            <w:hyperlink w:anchor="tPOD">
              <w:r>
                <w:rPr>
                  <w:rStyle w:val="InternetLink"/>
                  <w:spacing w:val="4"/>
                </w:rPr>
                <w:t>22</w:t>
              </w:r>
            </w:hyperlink>
            <w:hyperlink w:anchor="tPOD">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16" w:type="dxa"/>
            <w:tcBorders/>
            <w:tcMar>
              <w:bottom w:w="0" w:type="dxa"/>
            </w:tcMar>
            <w:vAlign w:val="center"/>
          </w:tcPr>
          <w:p>
            <w:pPr>
              <w:pStyle w:val="TableContents"/>
              <w:bidi w:val="0"/>
              <w:spacing w:before="0" w:after="0"/>
              <w:jc w:val="left"/>
              <w:rPr/>
            </w:pPr>
            <w:hyperlink w:anchor="tLEMA">
              <w:r>
                <w:rPr>
                  <w:rStyle w:val="InternetLink"/>
                  <w:spacing w:val="4"/>
                </w:rPr>
                <w:t xml:space="preserve">LEGAL MATTERS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96" w:type="dxa"/>
            <w:tcBorders/>
            <w:tcMar>
              <w:bottom w:w="0" w:type="dxa"/>
            </w:tcMar>
            <w:vAlign w:val="center"/>
          </w:tcPr>
          <w:p>
            <w:pPr>
              <w:pStyle w:val="TableContents"/>
              <w:bidi w:val="0"/>
              <w:spacing w:before="0" w:after="283"/>
              <w:jc w:val="right"/>
              <w:rPr/>
            </w:pPr>
            <w:hyperlink w:anchor="tLEMA">
              <w:r>
                <w:rPr>
                  <w:rStyle w:val="InternetLink"/>
                  <w:spacing w:val="4"/>
                </w:rPr>
                <w:t>25</w:t>
              </w:r>
            </w:hyperlink>
            <w:hyperlink w:anchor="tLEMA">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16" w:type="dxa"/>
            <w:tcBorders/>
            <w:shd w:fill="CCEEFF" w:val="clear"/>
            <w:tcMar>
              <w:bottom w:w="0" w:type="dxa"/>
            </w:tcMar>
            <w:vAlign w:val="center"/>
          </w:tcPr>
          <w:p>
            <w:pPr>
              <w:pStyle w:val="TableContents"/>
              <w:bidi w:val="0"/>
              <w:spacing w:before="0" w:after="0"/>
              <w:jc w:val="left"/>
              <w:rPr/>
            </w:pPr>
            <w:hyperlink w:anchor="tEXP">
              <w:r>
                <w:rPr>
                  <w:rStyle w:val="InternetLink"/>
                  <w:spacing w:val="4"/>
                </w:rPr>
                <w:t xml:space="preserve">EXPERTS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96" w:type="dxa"/>
            <w:tcBorders/>
            <w:shd w:fill="CCEEFF" w:val="clear"/>
            <w:tcMar>
              <w:bottom w:w="0" w:type="dxa"/>
            </w:tcMar>
            <w:vAlign w:val="center"/>
          </w:tcPr>
          <w:p>
            <w:pPr>
              <w:pStyle w:val="TableContents"/>
              <w:bidi w:val="0"/>
              <w:spacing w:before="0" w:after="283"/>
              <w:jc w:val="right"/>
              <w:rPr/>
            </w:pPr>
            <w:hyperlink w:anchor="tEXP">
              <w:r>
                <w:rPr>
                  <w:rStyle w:val="InternetLink"/>
                  <w:spacing w:val="4"/>
                </w:rPr>
                <w:t>25</w:t>
              </w:r>
            </w:hyperlink>
            <w:hyperlink w:anchor="tEXP">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16" w:type="dxa"/>
            <w:tcBorders/>
            <w:tcMar>
              <w:bottom w:w="0" w:type="dxa"/>
            </w:tcMar>
            <w:vAlign w:val="center"/>
          </w:tcPr>
          <w:p>
            <w:pPr>
              <w:pStyle w:val="TableContents"/>
              <w:bidi w:val="0"/>
              <w:spacing w:before="0" w:after="0"/>
              <w:jc w:val="left"/>
              <w:rPr/>
            </w:pPr>
            <w:hyperlink w:anchor="tWYCF">
              <w:r>
                <w:rPr>
                  <w:rStyle w:val="InternetLink"/>
                  <w:spacing w:val="4"/>
                </w:rPr>
                <w:t xml:space="preserve">WHERE YOU CAN FIND MORE INFORMATION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96" w:type="dxa"/>
            <w:tcBorders/>
            <w:tcMar>
              <w:bottom w:w="0" w:type="dxa"/>
            </w:tcMar>
            <w:vAlign w:val="center"/>
          </w:tcPr>
          <w:p>
            <w:pPr>
              <w:pStyle w:val="TableContents"/>
              <w:bidi w:val="0"/>
              <w:spacing w:before="0" w:after="283"/>
              <w:jc w:val="right"/>
              <w:rPr/>
            </w:pPr>
            <w:hyperlink w:anchor="tWYCF">
              <w:r>
                <w:rPr>
                  <w:rStyle w:val="InternetLink"/>
                  <w:spacing w:val="4"/>
                </w:rPr>
                <w:t>25</w:t>
              </w:r>
            </w:hyperlink>
            <w:hyperlink w:anchor="tWYCF">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16" w:type="dxa"/>
            <w:tcBorders/>
            <w:shd w:fill="CCEEFF" w:val="clear"/>
            <w:tcMar>
              <w:bottom w:w="0" w:type="dxa"/>
            </w:tcMar>
            <w:vAlign w:val="center"/>
          </w:tcPr>
          <w:p>
            <w:pPr>
              <w:pStyle w:val="TableContents"/>
              <w:bidi w:val="0"/>
              <w:spacing w:before="0" w:after="0"/>
              <w:jc w:val="left"/>
              <w:rPr/>
            </w:pPr>
            <w:hyperlink w:anchor="tIOCI">
              <w:r>
                <w:rPr>
                  <w:rStyle w:val="InternetLink"/>
                  <w:spacing w:val="4"/>
                </w:rPr>
                <w:t xml:space="preserve">INCORPORATION OF CERTAIN INFORMATION BY REFERENCE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96" w:type="dxa"/>
            <w:tcBorders/>
            <w:shd w:fill="CCEEFF" w:val="clear"/>
            <w:tcMar>
              <w:bottom w:w="0" w:type="dxa"/>
            </w:tcMar>
            <w:vAlign w:val="center"/>
          </w:tcPr>
          <w:p>
            <w:pPr>
              <w:pStyle w:val="TableContents"/>
              <w:bidi w:val="0"/>
              <w:spacing w:before="0" w:after="283"/>
              <w:jc w:val="right"/>
              <w:rPr/>
            </w:pPr>
            <w:hyperlink w:anchor="tIOCI">
              <w:r>
                <w:rPr>
                  <w:rStyle w:val="InternetLink"/>
                  <w:spacing w:val="4"/>
                </w:rPr>
                <w:t>26</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 w:name="tATP"/>
      <w:bookmarkEnd w:id="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4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ABOUT THIS PROSPECTUS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is part of an automatic shelf registration statement on Form S-3 that we filed with the Securities and Exchange Commission, or SEC, using a “shelf” registration process under the Securities Act of 1933, as amended. Under this shelf registration process, we are registering an unspecified amount of those securities described herein, and, in each case, may offer and sell, from time to time, any combination of those securities, in one or more offerings.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provides a general description of the securities we may offer. Each time we sell any securities under this prospectus, we will, to the extent required by law, provide a prospectus supplement that will contain specific information about the terms of that offering. We may also authorize one or more free writing prospectuses to be provided to you that may contain material information relating to these offerings. The prospectus supplement and any related free writing prospectus that we may authorize to be provided to you may also add, update or change any of the information contained in this prospectus or in the documents we have incorporated by reference into this prospectus. This prospectus, together with the applicable prospectus supplement, any related free writing prospectus and the documents incorporated by reference into this prospectus and the applicable prospectus supplement, will include all material information relating to the applicable offering. Before buying any of the securities being offered, we urge you to carefully read this prospectus, the applicable prospectus supplement and any related free writing prospectuses we have authorized for use in connection with a specific offering, together with the additional information incorporated herein by reference as described under the heading “Incorporation of Certain Information by Reference.”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not authorized anyone to provide you with information different from that contained or incorporated by reference in this prospectus. We do not take any responsibility for, and can provide no assurance as to the reliability of, any other information that others may give you. We are not making an offer to sell the securities in any jurisdiction where the offer or sale is not permitted. The information appearing in this prospectus, any applicable prospectus supplement and any related free writing prospectus is accurate only as of the date on the front of the document and any information we have incorporated by reference is accurate only as of the date of the document incorporated by reference, regardless of the time of delivery of this prospectus, the prospectus supplement or any related free writing prospectus, or the time of any sale of a security.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further note that the representations, warranties and covenants made by us in any agreement that is filed as an exhibit to any document that is incorporated by reference in this prospectus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includes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are incorporated by reference as exhibits to the registration statement of which this prospectus is a part, and you may obtain copies of those documents as described under the heading “Where You Can Find More Information.”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the context otherwise requires, references in this prospectus to (i) “Replimune,” the “Company,” “we,” “us” and “our” refer to Replimune Group, Inc. and its consolidated subsidiaries and (ii) a year are references to the applicable calendar year and not our fiscal year.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 w:name="tTHCO"/>
      <w:bookmarkEnd w:id="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00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COMPANY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a commercial-stage biotechnology company committed to applying our leading expertise in the field of oncolytic immunotherapy to transform the lives of cancer patients through our novel oncolytic immunotherapies. Our proprietary oncolytic immunotherapy product and product candidates are designed and intended to maximally activate the immune system against cancer.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Oncolytic immunotherapy is an emerging drug class. Oncolytic immunotherapy exploits the ability of certain viruses to selectively replicate in and directly kill tumors, as well as induce a potent, patient-specific, anti-tumor immune response. Our product and product candidates incorporate multiple mechanisms into a practical “off-the-shelf” approach that is intended to maximize the immune response against a patient’s cancer and to offer significant advantages over other approaches to inducing anti-tumor immunity. We believe that the bundling of multiple approaches for the treatment of cancer into single therapies will increase clinical efficacy and simplify the development path of our product candidates, while also improving patient outcomes.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a Delaware corporation organized in July 2017. Our principal executive offices are located at 500 Unicorn Park Drive, Suite 303, Woburn, MA 01801, and our telephone number is (781) 222-9600. Our website is www.replimune.com. The information contained on or accessible through our website is not included as a part of, or incorporated by reference into, this prospectus.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 w:name="tRIFA"/>
      <w:bookmarkEnd w:id="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04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 FACTORS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Investment in any securities offered pursuant to this prospectus and the applicable prospectus supplement involves risks. You should carefully consider the risk factors incorporated by reference to our most recent Annual Report on Form 10-K and any subsequent Quarterly Reports on Form 10-Q or Current Reports on Form 8-K, and all other information contained or incorporated by reference into this prospectus, as updated by our subsequent filings under the Exchange Act, and the risk factors and other information contained in the applicable prospectus supplement and any applicable free writing prospectus before acquiring any of such securities. The risks and uncertainties we have described are not the only ones facing our company. Additional risks and uncertainties not previously known to us or that we currently deem immaterial may also affect our business operations. The occurrence of any of these risks might cause you to lose all or part of your investment in the offered securities. The discussion of risks includes or refers to forward-looking statements. You should read the explanation of the qualifications and limitations on such forward-looking statements contained or incorporated by reference into this prospectus and any applicable prospectus supplement.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 w:name="tCSRF"/>
      <w:bookmarkEnd w:id="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CAUTIONARY STATEMENT REGARDING FORWARD-LOOKING STATEMENTS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This prospectus, any applicable prospectus supplement and any information incorporated by reference herein and therein contain “forward-looking statements” within the meaning of Section 27A of the Securities Act of 1933, as amended, or the Securities Act, and Section 21E of the Securities and Exchange Act of 1934, as amended, or the Exchange Act, including statements regarding our goals to develop and commercialize our product and product candidates, our ability to successfully complete one or more confirmatory trials of TUDRIQEV (vusolimogene oderparepvec-wtpg), previously referred to as RP1, our expectations about our cash runway, the design and advancement of our clinical trials, the timing and sufficiency of our clinical trial outcomes to support potential approval of any of our product candidates, patient enrollments in our existing and planned clinical trials and the timing thereof, and other statements concerning our business, operations and financial performance and condition, as well as our plans, objectives and expectations for our business operations and financial performance and condition. Any statements that are not statements of historical facts contained in this prospectus, any applicable prospectus supplement and any information incorporated by reference herein and therein may be deemed to be forward-looking statements. </w:t>
      </w:r>
    </w:p>
    <w:p>
      <w:pPr>
        <w:pStyle w:val="TextBody"/>
        <w:bidi w:val="0"/>
        <w:spacing w:lineRule="atLeast" w:line="240" w:before="160" w:after="283"/>
        <w:ind w:left="1393" w:right="0" w:firstLine="40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In some cases, you can identify these forward-looking statements by the use of words such as “outlook,” “believes,” “expects,” “potential,” “continues,” “may,” “will,” “should,” “seeks,” “approximately,” “predicts,” “intends,” “plans,” “estimates,” “anticipates” or the negative version of these words or other comparable words. Such forward-looking statements are subject to various risks and uncertainties. Accordingly, there are or will be important factors that could cause actual outcomes or results to differ materially from those indicated in these statements. We believe these factors include, among other things: </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successfully commence and achieve commercial sales of TUDRIQEV; </w:t>
      </w:r>
      <w:r>
        <mc:AlternateContent>
          <mc:Choice Requires="wps">
            <w:drawing>
              <wp:anchor behindDoc="0" distT="78740" distB="0" distL="254000" distR="0" simplePos="0" locked="0" layoutInCell="1" allowOverlap="1" relativeHeight="2">
                <wp:simplePos x="0" y="0"/>
                <wp:positionH relativeFrom="column">
                  <wp:align>left</wp:align>
                </wp:positionH>
                <wp:positionV relativeFrom="line">
                  <wp:align>top</wp:align>
                </wp:positionV>
                <wp:extent cx="127000" cy="350520"/>
                <wp:effectExtent l="0" t="0" r="0" b="0"/>
                <wp:wrapSquare wrapText="right"/>
                <wp:docPr id="2" name="Frame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successfully complete one or more confirmatory trials of TUDRIQEV, including our ongoing IGNYTE-3 clinical trial; </w:t>
      </w:r>
      <w:r>
        <mc:AlternateContent>
          <mc:Choice Requires="wps">
            <w:drawing>
              <wp:anchor behindDoc="0" distT="78740" distB="0" distL="254000" distR="0" simplePos="0" locked="0" layoutInCell="1" allowOverlap="1" relativeHeight="7">
                <wp:simplePos x="0" y="0"/>
                <wp:positionH relativeFrom="column">
                  <wp:align>left</wp:align>
                </wp:positionH>
                <wp:positionV relativeFrom="line">
                  <wp:align>top</wp:align>
                </wp:positionV>
                <wp:extent cx="127000" cy="350520"/>
                <wp:effectExtent l="0" t="0" r="0" b="0"/>
                <wp:wrapSquare wrapText="right"/>
                <wp:docPr id="3" name="Frame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obtain adequate coverage and reimbursement for TUDRIQEV; </w:t>
      </w:r>
      <w:r>
        <mc:AlternateContent>
          <mc:Choice Requires="wps">
            <w:drawing>
              <wp:anchor behindDoc="0" distT="78740" distB="0" distL="254000" distR="0" simplePos="0" locked="0" layoutInCell="1" allowOverlap="1" relativeHeight="8">
                <wp:simplePos x="0" y="0"/>
                <wp:positionH relativeFrom="column">
                  <wp:align>left</wp:align>
                </wp:positionH>
                <wp:positionV relativeFrom="line">
                  <wp:align>top</wp:align>
                </wp:positionV>
                <wp:extent cx="127000" cy="350520"/>
                <wp:effectExtent l="0" t="0" r="0" b="0"/>
                <wp:wrapSquare wrapText="right"/>
                <wp:docPr id="4" name="Frame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timing, progress, and results of preclinical studies and clinical trials for our other product candidates, including the timing of initiation and completion of studies or trials and related preparatory work and the period during which the results of the trials will become available; </w:t>
      </w:r>
      <w:r>
        <mc:AlternateContent>
          <mc:Choice Requires="wps">
            <w:drawing>
              <wp:anchor behindDoc="0" distT="78740" distB="0" distL="254000" distR="0" simplePos="0" locked="0" layoutInCell="1" allowOverlap="1" relativeHeight="9">
                <wp:simplePos x="0" y="0"/>
                <wp:positionH relativeFrom="column">
                  <wp:align>left</wp:align>
                </wp:positionH>
                <wp:positionV relativeFrom="line">
                  <wp:align>top</wp:align>
                </wp:positionV>
                <wp:extent cx="127000" cy="350520"/>
                <wp:effectExtent l="0" t="0" r="0" b="0"/>
                <wp:wrapSquare wrapText="right"/>
                <wp:docPr id="5" name="Frame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obtain additional funding as necessary; </w:t>
      </w:r>
      <w:r>
        <mc:AlternateContent>
          <mc:Choice Requires="wps">
            <w:drawing>
              <wp:anchor behindDoc="0" distT="78740" distB="0" distL="254000" distR="0" simplePos="0" locked="0" layoutInCell="1" allowOverlap="1" relativeHeight="10">
                <wp:simplePos x="0" y="0"/>
                <wp:positionH relativeFrom="column">
                  <wp:align>left</wp:align>
                </wp:positionH>
                <wp:positionV relativeFrom="line">
                  <wp:align>top</wp:align>
                </wp:positionV>
                <wp:extent cx="127000" cy="350520"/>
                <wp:effectExtent l="0" t="0" r="0" b="0"/>
                <wp:wrapSquare wrapText="right"/>
                <wp:docPr id="6" name="Frame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timing, scope or likelihood of regulatory filings and approvals, including timing of approval by the U.S. Food and Drug Administration, or the FDA, or any of our other product candidates; </w:t>
      </w:r>
      <w:r>
        <mc:AlternateContent>
          <mc:Choice Requires="wps">
            <w:drawing>
              <wp:anchor behindDoc="0" distT="77470" distB="0" distL="254000" distR="0" simplePos="0" locked="0" layoutInCell="1" allowOverlap="1" relativeHeight="11">
                <wp:simplePos x="0" y="0"/>
                <wp:positionH relativeFrom="column">
                  <wp:align>left</wp:align>
                </wp:positionH>
                <wp:positionV relativeFrom="line">
                  <wp:align>top</wp:align>
                </wp:positionV>
                <wp:extent cx="127000" cy="350520"/>
                <wp:effectExtent l="0" t="0" r="0" b="0"/>
                <wp:wrapSquare wrapText="right"/>
                <wp:docPr id="7" name="Frame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timing, scope, or likelihood of foreign regulatory filings and approvals; </w:t>
      </w:r>
      <w:r>
        <mc:AlternateContent>
          <mc:Choice Requires="wps">
            <w:drawing>
              <wp:anchor behindDoc="0" distT="77470" distB="0" distL="254000" distR="0" simplePos="0" locked="0" layoutInCell="1" allowOverlap="1" relativeHeight="12">
                <wp:simplePos x="0" y="0"/>
                <wp:positionH relativeFrom="column">
                  <wp:align>left</wp:align>
                </wp:positionH>
                <wp:positionV relativeFrom="line">
                  <wp:align>top</wp:align>
                </wp:positionV>
                <wp:extent cx="127000" cy="350520"/>
                <wp:effectExtent l="0" t="0" r="0" b="0"/>
                <wp:wrapSquare wrapText="right"/>
                <wp:docPr id="8" name="Frame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develop our product candidates for use in combination with other checkpoint blockade therapies, including anti-PD-1; </w:t>
      </w:r>
      <w:r>
        <mc:AlternateContent>
          <mc:Choice Requires="wps">
            <w:drawing>
              <wp:anchor behindDoc="0" distT="77470" distB="0" distL="254000" distR="0" simplePos="0" locked="0" layoutInCell="1" allowOverlap="1" relativeHeight="13">
                <wp:simplePos x="0" y="0"/>
                <wp:positionH relativeFrom="column">
                  <wp:align>left</wp:align>
                </wp:positionH>
                <wp:positionV relativeFrom="line">
                  <wp:align>top</wp:align>
                </wp:positionV>
                <wp:extent cx="127000" cy="350520"/>
                <wp:effectExtent l="0" t="0" r="0" b="0"/>
                <wp:wrapSquare wrapText="right"/>
                <wp:docPr id="9" name="Frame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develop and advance any future product candidates into, and successfully complete, clinical trials; </w:t>
      </w:r>
      <w:r>
        <mc:AlternateContent>
          <mc:Choice Requires="wps">
            <w:drawing>
              <wp:anchor behindDoc="0" distT="77470" distB="0" distL="254000" distR="0" simplePos="0" locked="0" layoutInCell="1" allowOverlap="1" relativeHeight="14">
                <wp:simplePos x="0" y="0"/>
                <wp:positionH relativeFrom="column">
                  <wp:align>left</wp:align>
                </wp:positionH>
                <wp:positionV relativeFrom="line">
                  <wp:align>top</wp:align>
                </wp:positionV>
                <wp:extent cx="127000" cy="350520"/>
                <wp:effectExtent l="0" t="0" r="0" b="0"/>
                <wp:wrapSquare wrapText="right"/>
                <wp:docPr id="10" name="Frame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expectations regarding the size of the patient populations for TUDRIQEV, RP2 and/or RP3 or any other product candidates from our RPx platform if approved for commercial use; </w:t>
      </w:r>
      <w:r>
        <mc:AlternateContent>
          <mc:Choice Requires="wps">
            <w:drawing>
              <wp:anchor behindDoc="0" distT="77470" distB="0" distL="254000" distR="0" simplePos="0" locked="0" layoutInCell="1" allowOverlap="1" relativeHeight="15">
                <wp:simplePos x="0" y="0"/>
                <wp:positionH relativeFrom="column">
                  <wp:align>left</wp:align>
                </wp:positionH>
                <wp:positionV relativeFrom="line">
                  <wp:align>top</wp:align>
                </wp:positionV>
                <wp:extent cx="127000" cy="350520"/>
                <wp:effectExtent l="0" t="0" r="0" b="0"/>
                <wp:wrapSquare wrapText="right"/>
                <wp:docPr id="11" name="Frame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successfully qualify, obtain approval for, and maintain successful operation, approval and qualification of our in-house manufacturing operations; </w:t>
      </w:r>
      <w:r>
        <mc:AlternateContent>
          <mc:Choice Requires="wps">
            <w:drawing>
              <wp:anchor behindDoc="0" distT="77470" distB="0" distL="254000" distR="0" simplePos="0" locked="0" layoutInCell="1" allowOverlap="1" relativeHeight="16">
                <wp:simplePos x="0" y="0"/>
                <wp:positionH relativeFrom="column">
                  <wp:align>left</wp:align>
                </wp:positionH>
                <wp:positionV relativeFrom="line">
                  <wp:align>top</wp:align>
                </wp:positionV>
                <wp:extent cx="127000" cy="350520"/>
                <wp:effectExtent l="0" t="0" r="0" b="0"/>
                <wp:wrapSquare wrapText="right"/>
                <wp:docPr id="12" name="Frame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successfully manufacture and maintain sufficient commercial supply of TUDRIQEV, or clinical supply of our product candidates, from our in-house manufacturing facility; </w:t>
      </w:r>
      <w:r>
        <mc:AlternateContent>
          <mc:Choice Requires="wps">
            <w:drawing>
              <wp:anchor behindDoc="0" distT="77470" distB="0" distL="254000" distR="0" simplePos="0" locked="0" layoutInCell="1" allowOverlap="1" relativeHeight="17">
                <wp:simplePos x="0" y="0"/>
                <wp:positionH relativeFrom="column">
                  <wp:align>left</wp:align>
                </wp:positionH>
                <wp:positionV relativeFrom="line">
                  <wp:align>top</wp:align>
                </wp:positionV>
                <wp:extent cx="127000" cy="350520"/>
                <wp:effectExtent l="0" t="0" r="0" b="0"/>
                <wp:wrapSquare wrapText="right"/>
                <wp:docPr id="13" name="Frame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obtain and maintain sufficient quantities of raw material supplies or access single or limited sources of goods or services needed to build or maintain our product candidate supplies or otherwise operate our in-house manufacturing facility; </w:t>
      </w:r>
      <w:r>
        <mc:AlternateContent>
          <mc:Choice Requires="wps">
            <w:drawing>
              <wp:anchor behindDoc="0" distT="77470" distB="0" distL="254000" distR="0" simplePos="0" locked="0" layoutInCell="1" allowOverlap="1" relativeHeight="18">
                <wp:simplePos x="0" y="0"/>
                <wp:positionH relativeFrom="column">
                  <wp:align>left</wp:align>
                </wp:positionH>
                <wp:positionV relativeFrom="line">
                  <wp:align>top</wp:align>
                </wp:positionV>
                <wp:extent cx="127000" cy="350520"/>
                <wp:effectExtent l="0" t="0" r="0" b="0"/>
                <wp:wrapSquare wrapText="right"/>
                <wp:docPr id="14" name="Frame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costs of operating our in-house manufacturing facility; </w:t>
      </w:r>
      <w:r>
        <mc:AlternateContent>
          <mc:Choice Requires="wps">
            <w:drawing>
              <wp:anchor behindDoc="0" distT="77470" distB="0" distL="254000" distR="0" simplePos="0" locked="0" layoutInCell="1" allowOverlap="1" relativeHeight="19">
                <wp:simplePos x="0" y="0"/>
                <wp:positionH relativeFrom="column">
                  <wp:align>left</wp:align>
                </wp:positionH>
                <wp:positionV relativeFrom="line">
                  <wp:align>top</wp:align>
                </wp:positionV>
                <wp:extent cx="127000" cy="350520"/>
                <wp:effectExtent l="0" t="0" r="0" b="0"/>
                <wp:wrapSquare wrapText="right"/>
                <wp:docPr id="15" name="Frame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estimates regarding expenses and capital requirements; </w:t>
      </w:r>
      <w:r>
        <mc:AlternateContent>
          <mc:Choice Requires="wps">
            <w:drawing>
              <wp:anchor behindDoc="0" distT="77470" distB="0" distL="254000" distR="0" simplePos="0" locked="0" layoutInCell="1" allowOverlap="1" relativeHeight="20">
                <wp:simplePos x="0" y="0"/>
                <wp:positionH relativeFrom="column">
                  <wp:align>left</wp:align>
                </wp:positionH>
                <wp:positionV relativeFrom="line">
                  <wp:align>top</wp:align>
                </wp:positionV>
                <wp:extent cx="127000" cy="350520"/>
                <wp:effectExtent l="0" t="0" r="0" b="0"/>
                <wp:wrapSquare wrapText="right"/>
                <wp:docPr id="16" name="Frame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400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implementation of our business model and our strategic plans for our business, TUDRIQEV and our other product candidates; </w:t>
      </w:r>
      <w:r>
        <mc:AlternateContent>
          <mc:Choice Requires="wps">
            <w:drawing>
              <wp:anchor behindDoc="0" distT="0" distB="0" distL="254000" distR="0" simplePos="0" locked="0" layoutInCell="1" allowOverlap="1" relativeHeight="21">
                <wp:simplePos x="0" y="0"/>
                <wp:positionH relativeFrom="column">
                  <wp:align>left</wp:align>
                </wp:positionH>
                <wp:positionV relativeFrom="line">
                  <wp:posOffset>635</wp:posOffset>
                </wp:positionV>
                <wp:extent cx="127000" cy="350520"/>
                <wp:effectExtent l="0" t="0" r="0" b="0"/>
                <wp:wrapSquare wrapText="right"/>
                <wp:docPr id="17" name="Frame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rate and degree of market acceptance and clinical utility of TUDRIQEV and our other product candidates; </w:t>
      </w:r>
      <w:r>
        <mc:AlternateContent>
          <mc:Choice Requires="wps">
            <w:drawing>
              <wp:anchor behindDoc="0" distT="76200" distB="0" distL="254000" distR="0" simplePos="0" locked="0" layoutInCell="1" allowOverlap="1" relativeHeight="22">
                <wp:simplePos x="0" y="0"/>
                <wp:positionH relativeFrom="column">
                  <wp:align>left</wp:align>
                </wp:positionH>
                <wp:positionV relativeFrom="line">
                  <wp:align>top</wp:align>
                </wp:positionV>
                <wp:extent cx="127000" cy="350520"/>
                <wp:effectExtent l="0" t="0" r="0" b="0"/>
                <wp:wrapSquare wrapText="right"/>
                <wp:docPr id="18" name="Frame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potential benefits of and our ability to establish or maintain future collaborations or strategic relationships; </w:t>
      </w:r>
      <w:r>
        <mc:AlternateContent>
          <mc:Choice Requires="wps">
            <w:drawing>
              <wp:anchor behindDoc="0" distT="76200" distB="0" distL="254000" distR="0" simplePos="0" locked="0" layoutInCell="1" allowOverlap="1" relativeHeight="23">
                <wp:simplePos x="0" y="0"/>
                <wp:positionH relativeFrom="column">
                  <wp:align>left</wp:align>
                </wp:positionH>
                <wp:positionV relativeFrom="line">
                  <wp:align>top</wp:align>
                </wp:positionV>
                <wp:extent cx="127000" cy="350520"/>
                <wp:effectExtent l="0" t="0" r="0" b="0"/>
                <wp:wrapSquare wrapText="right"/>
                <wp:docPr id="19" name="Frame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retain the continued service of our key professionals and to identify, hire, train and retain additional qualified professionals; </w:t>
      </w:r>
      <w:r>
        <mc:AlternateContent>
          <mc:Choice Requires="wps">
            <w:drawing>
              <wp:anchor behindDoc="0" distT="76200" distB="0" distL="254000" distR="0" simplePos="0" locked="0" layoutInCell="1" allowOverlap="1" relativeHeight="24">
                <wp:simplePos x="0" y="0"/>
                <wp:positionH relativeFrom="column">
                  <wp:align>left</wp:align>
                </wp:positionH>
                <wp:positionV relativeFrom="line">
                  <wp:align>top</wp:align>
                </wp:positionV>
                <wp:extent cx="127000" cy="350520"/>
                <wp:effectExtent l="0" t="0" r="0" b="0"/>
                <wp:wrapSquare wrapText="right"/>
                <wp:docPr id="20" name="Frame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intellectual property position, including the scope of protection we are able to establish and maintain for intellectual property rights covering TUDRIQEV and our other product candidates, claims others may make regarding rights in our intellectual property, and any potential infringement, misappropriation or other violation of any third-party intellectual property rights; </w:t>
      </w:r>
      <w:r>
        <mc:AlternateContent>
          <mc:Choice Requires="wps">
            <w:drawing>
              <wp:anchor behindDoc="0" distT="76200" distB="0" distL="254000" distR="0" simplePos="0" locked="0" layoutInCell="1" allowOverlap="1" relativeHeight="25">
                <wp:simplePos x="0" y="0"/>
                <wp:positionH relativeFrom="column">
                  <wp:align>left</wp:align>
                </wp:positionH>
                <wp:positionV relativeFrom="line">
                  <wp:align>top</wp:align>
                </wp:positionV>
                <wp:extent cx="127000" cy="350520"/>
                <wp:effectExtent l="0" t="0" r="0" b="0"/>
                <wp:wrapSquare wrapText="right"/>
                <wp:docPr id="21" name="Frame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competitive position, and developments and projections relating to our competitors and our industry; </w:t>
      </w:r>
      <w:r>
        <mc:AlternateContent>
          <mc:Choice Requires="wps">
            <w:drawing>
              <wp:anchor behindDoc="0" distT="76200" distB="0" distL="254000" distR="0" simplePos="0" locked="0" layoutInCell="1" allowOverlap="1" relativeHeight="26">
                <wp:simplePos x="0" y="0"/>
                <wp:positionH relativeFrom="column">
                  <wp:align>left</wp:align>
                </wp:positionH>
                <wp:positionV relativeFrom="line">
                  <wp:align>top</wp:align>
                </wp:positionV>
                <wp:extent cx="127000" cy="350520"/>
                <wp:effectExtent l="0" t="0" r="0" b="0"/>
                <wp:wrapSquare wrapText="right"/>
                <wp:docPr id="22" name="Frame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negative developments in the fields of immuno-oncology or oncolytic immunotherapy; </w:t>
      </w:r>
      <w:r>
        <mc:AlternateContent>
          <mc:Choice Requires="wps">
            <w:drawing>
              <wp:anchor behindDoc="0" distT="76200" distB="0" distL="254000" distR="0" simplePos="0" locked="0" layoutInCell="1" allowOverlap="1" relativeHeight="27">
                <wp:simplePos x="0" y="0"/>
                <wp:positionH relativeFrom="column">
                  <wp:align>left</wp:align>
                </wp:positionH>
                <wp:positionV relativeFrom="line">
                  <wp:align>top</wp:align>
                </wp:positionV>
                <wp:extent cx="127000" cy="350520"/>
                <wp:effectExtent l="0" t="0" r="0" b="0"/>
                <wp:wrapSquare wrapText="right"/>
                <wp:docPr id="23" name="Frame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impact of laws and regulations; and </w:t>
      </w:r>
      <w:r>
        <mc:AlternateContent>
          <mc:Choice Requires="wps">
            <w:drawing>
              <wp:anchor behindDoc="0" distT="76200" distB="0" distL="254000" distR="0" simplePos="0" locked="0" layoutInCell="1" allowOverlap="1" relativeHeight="28">
                <wp:simplePos x="0" y="0"/>
                <wp:positionH relativeFrom="column">
                  <wp:align>left</wp:align>
                </wp:positionH>
                <wp:positionV relativeFrom="line">
                  <wp:align>top</wp:align>
                </wp:positionV>
                <wp:extent cx="127000" cy="350520"/>
                <wp:effectExtent l="0" t="0" r="0" b="0"/>
                <wp:wrapSquare wrapText="right"/>
                <wp:docPr id="24" name="Frame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other risks and uncertainties described under “Risk factors.” </w:t>
      </w:r>
      <w:r>
        <mc:AlternateContent>
          <mc:Choice Requires="wps">
            <w:drawing>
              <wp:anchor behindDoc="0" distT="76200" distB="0" distL="254000" distR="0" simplePos="0" locked="0" layoutInCell="1" allowOverlap="1" relativeHeight="29">
                <wp:simplePos x="0" y="0"/>
                <wp:positionH relativeFrom="column">
                  <wp:align>left</wp:align>
                </wp:positionH>
                <wp:positionV relativeFrom="line">
                  <wp:align>top</wp:align>
                </wp:positionV>
                <wp:extent cx="127000" cy="350520"/>
                <wp:effectExtent l="0" t="0" r="0" b="0"/>
                <wp:wrapSquare wrapText="right"/>
                <wp:docPr id="25" name="Frame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 xml:space="preserve">In addition, statements such as “we believe” and similar statements reflect our beliefs and opinions on the relevant subject. These statements are based upon information available to us as of the date of this prospectus and, although we believe such information forms a reasonable basis for such statements, such information may be limited or incomplete, and our statements should not be read to indicate that we have conducted a thorough inquiry into, or review of, all potentially available relevant information. Furthermore, if our forward-looking statements prove to be inaccurate, the inaccuracy may be material. Factors that may cause actual results to differ materially from current expectations include, among other things, those set forth in Part I, Item 1A of our </w:t>
      </w:r>
      <w:hyperlink r:id="rId3">
        <w:r>
          <w:rPr>
            <w:rStyle w:val="InternetLink"/>
          </w:rPr>
          <w:t xml:space="preserve">Annual Report on Form 10-K for the </w:t>
        </w:r>
      </w:hyperlink>
      <w:hyperlink r:id="rId4">
        <w:r>
          <w:rPr>
            <w:rStyle w:val="InternetLink"/>
          </w:rPr>
          <w:t xml:space="preserve">fiscal </w:t>
        </w:r>
      </w:hyperlink>
      <w:hyperlink r:id="rId5">
        <w:r>
          <w:rPr>
            <w:rStyle w:val="InternetLink"/>
          </w:rPr>
          <w:t>year ended March 31, 2026</w:t>
        </w:r>
      </w:hyperlink>
      <w:r>
        <w:rPr>
          <w:rFonts w:ascii="Times New Roman;Times;serif" w:hAnsi="Times New Roman;Times;serif"/>
          <w:b w:val="false"/>
          <w:i w:val="false"/>
          <w:caps w:val="false"/>
          <w:smallCaps w:val="false"/>
          <w:color w:val="000000"/>
          <w:spacing w:val="4"/>
          <w:sz w:val="20"/>
        </w:rPr>
        <w:t xml:space="preserve"> — “Risk Factors” and any risks contained in any other documents incorporated by reference herein. In light of the significant uncertainties in these forward-looking statements, you should not regard these statements as a representation or warranty by us or any other person that we will achieve our objectives and plans in any specified time frame, or at all. Except as required by applicable law, we do not plan to publicly update or revise any forward-looking statements contained herein, whether as a result of any new information, future events or otherwise.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 w:name="tUOP"/>
      <w:bookmarkEnd w:id="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96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USE OF PROCEEDS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Except as described in any applicable prospectus supplement or in any related free writing prospectuses we may authorize for use in connection with a specific offering, we anticipate that the net proceeds from our sale of any securities will be used for general corporate purposes. General corporate purposes may include additions to working capital, capital expenditures, investments in our subsidiaries, possible acquisitions, and the repurchase, redemption or retirement of securities, including our common stock.</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 w:name="tDOCS"/>
      <w:bookmarkEnd w:id="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CAPITAL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is a description of certain provisions of our third amended and restated certificate of incorporation (“Certificate of Incorporation”) and amended and restated by-laws (“Bylaws”), and certain provisions of the Delaware General Corporation Law, or DGCL. The following description does not purport to be complete and is subject to, and qualified in its entirety by reference to, our Certificate of Incorporation and Bylaws, each filed as exhibits to the registration statement of which this prospectus forms a part, and the terms and provisions of the DGCL.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General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authorized capital stock consists of 150 million shares of common stock, par value $0.001 per share, and 10 million shares of undesignated preferred stock, par value $0.001 per share.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August 11, 2026, 93,798,096 shares of common stock were issued and outstanding and no shares of preferred stock were issued and outstanding.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Common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any preferential rights that may be applicable to any outstanding shares of preferred stock from time to time, the holders of our common stock are entitled to one vote for each share held on all matters submitted to a vote of the stockholders. The holders of our common stock do not have any cumulative voting rights. The holders of our common stock are entitled to receive ratably any dividends declared by our board of directors out of funds legally available for that purpose, subject to any preferential dividend rights of any outstanding preferred stock. Our common stock has no preemptive rights, conversion rights or other subscription rights or redemption or sinking fund provisions.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event of our liquidation, dissolution or winding up, holders of our common stock will be entitled to share ratably in all assets remaining after payment of all debts and other liabilities and any liquidation preference of any outstanding preferred stock.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Preferred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our Certificate of Incorporation, our board of directors has the authority, without further action by our stockholders, to issue up to 10 million shares of preferred stock in one or more series and to fix the rights, preferences, privileges and restrictions, as well as the number of shares constituting and the designation of any series, thereof. These rights, preferences and privileges could include dividend rights, conversion rights, voting rights, terms of redemption, liquidation preferences or sinking fund terms, any or all of which may be greater than the rights of common stock. The issuance of our preferred stock could adversely affect the voting power of holders of common stock and the likelihood that such holders will receive dividend payments and payments upon our liquidation. In addition, the issuance of preferred stock could have the effect of delaying, deferring or preventing a change in control of our company or other corporate action. There are currently no shares of preferred stock outstanding, and we have no present plan to issue any shares of preferred stock.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DGCL provides that the holders of preferred stock will have the right to vote separately as a class on any proposal involving fundamental changes in the rights of holders of that preferred stock. This right is in addition to any voting rights that may be provided for in the applicable certificate of designation.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Pre-funded Warrants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March 31, 2026, we have outstanding pre-funded warrants to purchase shares of our common stock consisting of pre- funded warrants to purchase an aggregate of: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217,391 shares of our common stock at an exercise price of $0.0001 per share, which were issued in June 2020 in an underwritten public offering; </w:t>
      </w:r>
      <w:r>
        <mc:AlternateContent>
          <mc:Choice Requires="wps">
            <w:drawing>
              <wp:anchor behindDoc="0" distT="76200" distB="0" distL="254000" distR="0" simplePos="0" locked="0" layoutInCell="1" allowOverlap="1" relativeHeight="30">
                <wp:simplePos x="0" y="0"/>
                <wp:positionH relativeFrom="column">
                  <wp:align>left</wp:align>
                </wp:positionH>
                <wp:positionV relativeFrom="line">
                  <wp:align>top</wp:align>
                </wp:positionV>
                <wp:extent cx="127000" cy="350520"/>
                <wp:effectExtent l="0" t="0" r="0" b="0"/>
                <wp:wrapSquare wrapText="right"/>
                <wp:docPr id="26" name="Frame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125,000 shares of our common stock at an exercise price of $0.0001 per share, which were issued in October 2020 in an underwritten public offering; </w:t>
      </w:r>
      <w:r>
        <mc:AlternateContent>
          <mc:Choice Requires="wps">
            <w:drawing>
              <wp:anchor behindDoc="0" distT="76200" distB="0" distL="254000" distR="0" simplePos="0" locked="0" layoutInCell="1" allowOverlap="1" relativeHeight="31">
                <wp:simplePos x="0" y="0"/>
                <wp:positionH relativeFrom="column">
                  <wp:align>left</wp:align>
                </wp:positionH>
                <wp:positionV relativeFrom="line">
                  <wp:align>top</wp:align>
                </wp:positionV>
                <wp:extent cx="127000" cy="350520"/>
                <wp:effectExtent l="0" t="0" r="0" b="0"/>
                <wp:wrapSquare wrapText="right"/>
                <wp:docPr id="27" name="Frame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4,200,000 shares of our common stock at an exercise price of $0.0001 per share, which were issued in December 2022 in an underwritten public offering; </w:t>
      </w:r>
      <w:r>
        <mc:AlternateContent>
          <mc:Choice Requires="wps">
            <w:drawing>
              <wp:anchor behindDoc="0" distT="0" distB="0" distL="254000" distR="0" simplePos="0" locked="0" layoutInCell="1" allowOverlap="1" relativeHeight="32">
                <wp:simplePos x="0" y="0"/>
                <wp:positionH relativeFrom="column">
                  <wp:align>left</wp:align>
                </wp:positionH>
                <wp:positionV relativeFrom="line">
                  <wp:posOffset>635</wp:posOffset>
                </wp:positionV>
                <wp:extent cx="127000" cy="350520"/>
                <wp:effectExtent l="0" t="0" r="0" b="0"/>
                <wp:wrapSquare wrapText="right"/>
                <wp:docPr id="28" name="Frame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5,669,578 shares of our common stock at an exercise price of $0.001 per share, which were issued in June 2024 in a private placement, or the June 2024 Pre-Funded Warrants; and </w:t>
      </w:r>
      <w:r>
        <mc:AlternateContent>
          <mc:Choice Requires="wps">
            <w:drawing>
              <wp:anchor behindDoc="0" distT="85090" distB="0" distL="254000" distR="0" simplePos="0" locked="0" layoutInCell="1" allowOverlap="1" relativeHeight="33">
                <wp:simplePos x="0" y="0"/>
                <wp:positionH relativeFrom="column">
                  <wp:align>left</wp:align>
                </wp:positionH>
                <wp:positionV relativeFrom="line">
                  <wp:align>top</wp:align>
                </wp:positionV>
                <wp:extent cx="127000" cy="350520"/>
                <wp:effectExtent l="0" t="0" r="0" b="0"/>
                <wp:wrapSquare wrapText="right"/>
                <wp:docPr id="29" name="Frame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7pt;mso-wrap-distance-bottom:0pt;margin-top:6.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3,846,184 shares of our common stock at an exercise price of $0.0001 per share, which were issued in December 2024 in an underwritten public offering, or the December 2024 Pre-Funded Warrants. </w:t>
      </w:r>
      <w:r>
        <mc:AlternateContent>
          <mc:Choice Requires="wps">
            <w:drawing>
              <wp:anchor behindDoc="0" distT="86360" distB="0" distL="254000" distR="0" simplePos="0" locked="0" layoutInCell="1" allowOverlap="1" relativeHeight="34">
                <wp:simplePos x="0" y="0"/>
                <wp:positionH relativeFrom="column">
                  <wp:align>left</wp:align>
                </wp:positionH>
                <wp:positionV relativeFrom="line">
                  <wp:align>top</wp:align>
                </wp:positionV>
                <wp:extent cx="127000" cy="350520"/>
                <wp:effectExtent l="0" t="0" r="0" b="0"/>
                <wp:wrapSquare wrapText="right"/>
                <wp:docPr id="30" name="Frame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8pt;mso-wrap-distance-bottom:0pt;margin-top:6.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pre-funded warrant entitles the holder to purchase one share of our common stock at the applicable per share exercise price. The pre-funded warrants do not expire and may be exercised by the holder at any time after their original issuance. Unless otherwise modified by a holder of a pre-funded warrant, no holder may exercise a pre-funded warrant (i) if such holder, together with its affiliates, would beneficially own more than 9.99% (or, in the case of the December 2024 and the August 2026 Pre-Funded Warrants, 4.99%) of the number of shares of our common stock outstanding immediately after giving effect to such exercise, or (ii) if the combined voting power of our securities beneficially owned by such holder, together with its affiliates, would exceed 9.99% (or, in the case of the December 2024 Pre-Funded Warrants, 4.99%) of the combined voting power of all of our securities then outstanding immediately after giving effect to the exercise of such pre-funded warrants, as such percentage ownership is determined in accordance with the terms of the pre-funded warrants. However, a holder of a pre-funded warrant may increase or decrease this percentage to any other percentage not in excess of 19.99% or, in the case of the June 2024 Pre-Funded Warrants, 9.99%, by providing us with at least 61 days’ prior notice. The exercise price of the pre-funded warrants and the number of shares of our common stock issuable upon exercise of the pre-funded warrants are subject to appropriate adjustment in the event of certain stock dividends and distributions, stock splits, stock combinations, reclassifications or similar events affecting our common stock and also upon any distributions of assets, including cash, stock or other property to our stockholders.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Anti-takeover effects of provisions of Delaware law and our Certificate of Incorporation and Bylaws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Requirements for advance notification of stockholder meetings, nominations and proposals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Certificate of Incorporation provides that special meetings of the stockholders may be called only by or at the direction of our board of directors. Our Bylaws prohibit the conduct of any business at a special meeting other than as specified in the notice for such meeting. These provisions may have the effect of deferring, delaying or discouraging hostile takeovers, or changes in control or management of our company.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Bylaws establish advance notice procedures with respect to stockholder proposals and the nomination of candidates for election as directors, other than nominations made by or at the direction of our board of directors or a committee of our board of directors. In order for any matter to be “properly brought” before a meeting, a stockholder will have to comply with advance notice requirements and provide us with certain information. Additionally, vacancies and newly created directorships may be filled only by a vote of a majority of the directors then in office, even if less than a quorum, and not by the stockholders. Our Bylaws allow the presiding officer at a meeting of the stockholders to adopt rules and regulations for the conduct of meetings which may have the effect of precluding the conduct of certain business at a meeting if the rules and regulations are not followed. These provisions may also defer, delay or discourage a potential acquirer from conducting a solicitation of proxies to elect the acquirer’s own slate of directors or otherwise attempting to obtain control of our company.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Certificate of Incorporation provides that our board of directors is expressly authorized to adopt, amend or repeal our Bylaws.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No cumulative voting</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DGCL provides that stockholders are not entitled to cumulate votes in the election of directors unless our Certificate of Incorporation provides otherwise. Our Certificate of Incorporation does not expressly provide for cumulative voting.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Amendments to Certificate of Incorporation and Bylaws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DGCL provides that, unless a corporation’s Certificate of Incorporation provides otherwise, the affirmative vote of holders of shares constituting a majority of the votes of all shares entitled to vote may approve amendments to the Certificate of Incorporation.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Certificate of Incorporation and Bylaws provide that the affirmative vote of holders of at least 75% of the outstanding shares of capital stock, voting together as a single class, and entitled to vote in the election of directors will be required to amend, alter, change or repeal certain provisions of our Certificate of Incorporation and Bylaws. This requirement of a supermajority vote to approve amendments to our Certificate of Incorporation and Bylaws could enable a minority of our stockholders to exercise veto power over such amendments.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Forum selection clause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Certificate of Incorporation provides that, unless we consent in writing to the selection of an alternative forum, the Court of Chancery of the State of Delaware shall be the sole and exclusive forum for (i) any derivative action or proceeding brought on our behalf; (ii) any action asserting a claim of breach of a fiduciary duty owed by any of our directors or officers or other employees to us or our stockholders; (iii) any action asserting a claim against us or any director or officer or other employee of ours arising pursuant to any provision of the DGCL or our Certificate of Incorporation or Bylaws; or (iv) any action asserting a claim against us or any director or officer or other employee of ours governed by the internal affairs doctrine. This exclusive forum provision would not apply to suits brought to enforce any liability or duty created by the Securities Act or the Exchange Act or any other claim for which the federal courts have exclusive jurisdiction. To the extent that any such claims may be based upon federal law claims, Section 27 of the Exchange Act creates exclusive federal jurisdiction over all suits brought to enforce any duty or liability created by the Exchange Act or the rules and regulations thereunder. Our Certificate of Incorporation further provides that any person or entity that acquires any interest in shares of our capital stock shall be deemed to have notice of and to have consented to the provisions described above.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Staggered board</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Certificate of Incorporation provides that our board of directors is divided into three classes of directors, with the directors in each class serving staggered three-year terms and with the number of directors in each class to be as nearly equal as possible.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Stockholder action by written consent</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Section 228 of the DGCL, any action required to be taken at any annual or special meeting of the stockholders may be taken without a meeting, without prior notice and without a vote, if a consent or consents in writing, setting forth the action so taken, is signed by the holders of outstanding stock having not less than the minimum number of votes that would be necessary to authorize or take such action at a meeting at which all shares of our stock entitled to vote thereon were present and voted, unless the corporation’s Certificate of Incorporation provides otherwise. Our Certificate of Incorporation prohibits the taking of any action of our stockholders by written consent without a meeting.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Delaware anti-takeover statute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not opted out of, and therefore are subject to, Section 203 of the DGCL. Section 203 provides that, subject to certain exceptions specified in the law, a publicly-held Delaware corporation shall not engage in certain “business combinations” with any “interested stockholder” for a three-year period after the date of the transaction in which the person became an interested stockholder unless: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prior to the date of the transaction, the board of directors of the corporation approved either the business combination or the transaction that resulted in the stockholder becoming an interested stockholder; </w:t>
      </w:r>
      <w:r>
        <mc:AlternateContent>
          <mc:Choice Requires="wps">
            <w:drawing>
              <wp:anchor behindDoc="0" distT="74930" distB="0" distL="254000" distR="0" simplePos="0" locked="0" layoutInCell="1" allowOverlap="1" relativeHeight="35">
                <wp:simplePos x="0" y="0"/>
                <wp:positionH relativeFrom="column">
                  <wp:align>left</wp:align>
                </wp:positionH>
                <wp:positionV relativeFrom="line">
                  <wp:align>top</wp:align>
                </wp:positionV>
                <wp:extent cx="127000" cy="350520"/>
                <wp:effectExtent l="0" t="0" r="0" b="0"/>
                <wp:wrapSquare wrapText="right"/>
                <wp:docPr id="31" name="Frame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completion of the transaction that resulted in the stockholder becoming an interested stockholder, the stockholder owned at least 85% of the voting stock of the corporation outstanding </w:t>
      </w:r>
      <w:r>
        <mc:AlternateContent>
          <mc:Choice Requires="wps">
            <w:drawing>
              <wp:anchor behindDoc="0" distT="74930" distB="0" distL="254000" distR="0" simplePos="0" locked="0" layoutInCell="1" allowOverlap="1" relativeHeight="36">
                <wp:simplePos x="0" y="0"/>
                <wp:positionH relativeFrom="column">
                  <wp:align>left</wp:align>
                </wp:positionH>
                <wp:positionV relativeFrom="line">
                  <wp:align>top</wp:align>
                </wp:positionV>
                <wp:extent cx="127000" cy="350520"/>
                <wp:effectExtent l="0" t="0" r="0" b="0"/>
                <wp:wrapSquare wrapText="right"/>
                <wp:docPr id="32" name="Frame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time the transaction commenced, excluding for purposes of determining the number of shares outstanding (1) shares owned by persons who are directors and also officers and (2) shares owned under employee stock plans in which employee participants do not have the right to determine confidentially whether shares held subject to the plan will be tendered in a tender or exchange offer; or on or subsequent to the date of the transaction, the business combination is approved by the board and authorized at an annual or special meeting of stockholders, and not by written consent, by the affirmative vote of at least 662∕3% of the outstanding voting stock which is not owned by the interested stockholder.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Generally, a business combination includes a merger, asset or stock sale, or other transaction resulting in a financial benefit to the interested stockholder. An interested stockholder is a person who, together with affiliates and associates, owns or, within three years prior to the determination of interested stockholder status, did own 15% or more of a corporation’s outstanding voting stock. Since Section 203 will apply to us, we expect that it would have an anti-takeover effect with respect to transactions our board of directors does not approve in advance. In such event, we would also anticipate that Section 203 could discourage attempts that might result in a premium over the market price for the shares of common stock held by stockholders. Under certain circumstances, Section 203 makes it more difficult for a person who would be an “interested stockholder” to effect various business combinations with a corporation for a three-year period. The provisions of Section 203 may encourage companies interested in acquiring our company to negotiate in advance with our board of directors because the stockholder approval requirement would be avoided if our board of directors approves either the business combination or the transaction that results in the stockholder becoming an interested stockholder. These provisions also may make it more difficult to accomplish transactions that stockholders may otherwise deem to be in their best interests.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Authorized but unissued capital stock</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DGCL does not require stockholder approval for any issuance of authorized shares. However, the listing requirements of the Nasdaq Global Select Market, which apply so long as our common stock remains listed on the Nasdaq Global Select Market, require stockholder approval of certain issuances equal to or exceeding 20% of the then outstanding voting power or then outstanding number of shares of common stock. These additional shares may be used for a variety of corporate purposes, including future public offerings, to raise additional capital or to facilitate acquisitions.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One of the effects of the existence of unissued and unreserved common stock or preferred stock may be to enable our board of directors to issue shares to persons friendly to current management, which issuance could render more difficult or discourage an attempt to obtain control of our company by means of a merger, tender offer, proxy contest or otherwise, and thereby protect the continuity of our management and possibly deprive our investors of opportunities to sell their shares of common stock at prices higher than prevailing market prices.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Registration rights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of the holders of our common stock, or their transferees, are entitled to registration rights with respect to the registration of the resale of such shares under the Securities Act.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June 14, 2024, in connection with the closing of a private placement, we entered into a registration rights agreement, or the Registration Rights Agreement, pursuant to which certain holders of our common stock have certain registration rights in respect of the securities acquired in connection with the private placement, subject to customary conditions.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March 5, 2025, we entered into a registration rights agreement, or the Affiliate Registration Rights Agreement, with 667, L.P. and Baker Brothers Life Sciences, L.P., collectively, the BBA Funds. Pursuant to the Affiliate Registration Rights Agreement, the BBA Funds are entitled to certain resale registration rights with respect to shares of our common stock issued or issuable upon the exercise or conversion of any other securities (whether equity, debt or otherwise) now owned or subsequently acquired by the BBA Funds, subject to certain specified exceptions, conditions and limitations as set forth in the Affiliate Registration Rights Agreement.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4400"/>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Limitations of liability and indemnification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Certificate of Incorporation limits the liability of directors to the fullest extent permitted by Delaware law. The effect of these provisions is to eliminate our rights and the rights of our stockholders, through stockholders’ derivative suits on our behalf, to recover monetary damages from a director for breach of fiduciary duty as a director, including breaches resulting from grossly negligent behavior. However, exculpation does not apply to any director if the director has acted in bad faith, knowingly or intentionally violated the law, authorized illegal dividends or redemptions or derived an improper benefit from his or her actions as a director.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our Certificate of Incorporation and Bylaws provide that we will indemnify our directors and officers to the fullest extent permitted by Delaware law. We also expect to continue to maintain directors’ and officers’ liability insurance. We believe that these indemnification provisions and insurance are useful to attract and retain qualified directors and executive officers.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limitation of liability and indemnification provisions in our Certificate of Incorporation and Bylaws may discourage stockholders from bringing a lawsuit against directors for breach of their fiduciary duty. These provisions may also have the effect of reducing the likelihood of derivative litigation against directors and officers, even though such an action, if successful, might otherwise benefit us and our stockholders.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to the indemnification required in our Certificate of Incorporation and Bylaws, we enter into indemnification agreements with each of our directors and executive officers. These agreements provide for the indemnification of our directors and executive officers for all reasonable expenses and liabilities incurred in connection with any action or proceeding brought against them by reason of the fact that they are or were our agents. We believe that these provisions and indemnification agreements, as well as maintaining directors’ and officers’ liability insurance, help to attract and retain qualified persons as directors and officers.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Market listing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common stock is listed on the Nasdaq Global Select Market under the symbol “REPL.”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Transfer agent and registrar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transfer agent and registrar for our common stock is Computershare Trust Company N.A.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 w:name="tDODS"/>
      <w:bookmarkEnd w:id="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DEBT SECURITIES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is a general description of the terms of debt securities we may issue from time to time unless we provide otherwise in the applicable prospectus supplement. Particular terms of any debt securities we offer will be described in the prospectus supplement relating to such debt securities.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required by Federal law for all bonds and notes of companies that are publicly offered, any debt securities we issue will be governed by a document called an “indenture.” We have summarized the general features of the debt securities to be governed by the indenture. The summary is not complete. An indenture is a contract between us and a financial institution acting as trustee on behalf of the holders of the debt securities, and is subject to and governed by the Trust Indenture Act of 1939, as amended, or the Trust Indenture Act. The trustee has two main roles. First, the trustee can enforce holders’ rights against us if we default. There are some limitations on the extent to which the trustee acts on holders’ behalf, described in the second paragraph under “Description of Debt Securities — Events of Default.” Second, the trustee performs certain administrative duties, such as sending interest and principal payments to holders.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Because this section is a summary, it does not describe every aspect of any debt securities we may issue or the indenture governing any such debt securities. Particular terms of any debt securities we offer will be described in the prospectus supplement relating to such debt securities, and we urge you to read the applicable executed indenture, which will be filed with the SEC at the time of any offering of debt securities, because it, and not this description, will define the rights of holders of such debt securities.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prospectus supplement will describe the particular terms of any series of debt securities we may issue, including some or all of the following: </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designation or title of the series of debt securities; </w:t>
      </w:r>
      <w:r>
        <mc:AlternateContent>
          <mc:Choice Requires="wps">
            <w:drawing>
              <wp:anchor behindDoc="0" distT="78740" distB="0" distL="254000" distR="0" simplePos="0" locked="0" layoutInCell="1" allowOverlap="1" relativeHeight="37">
                <wp:simplePos x="0" y="0"/>
                <wp:positionH relativeFrom="column">
                  <wp:align>left</wp:align>
                </wp:positionH>
                <wp:positionV relativeFrom="line">
                  <wp:align>top</wp:align>
                </wp:positionV>
                <wp:extent cx="127000" cy="350520"/>
                <wp:effectExtent l="0" t="0" r="0" b="0"/>
                <wp:wrapSquare wrapText="right"/>
                <wp:docPr id="33" name="Frame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total principal amount of the series of debt securities, the denominations in which the offered debt securities will be issued and whether the offering may be reopened for additional securities of that series and on what terms; </w:t>
      </w:r>
      <w:r>
        <mc:AlternateContent>
          <mc:Choice Requires="wps">
            <w:drawing>
              <wp:anchor behindDoc="0" distT="78740" distB="0" distL="254000" distR="0" simplePos="0" locked="0" layoutInCell="1" allowOverlap="1" relativeHeight="38">
                <wp:simplePos x="0" y="0"/>
                <wp:positionH relativeFrom="column">
                  <wp:align>left</wp:align>
                </wp:positionH>
                <wp:positionV relativeFrom="line">
                  <wp:align>top</wp:align>
                </wp:positionV>
                <wp:extent cx="127000" cy="350520"/>
                <wp:effectExtent l="0" t="0" r="0" b="0"/>
                <wp:wrapSquare wrapText="right"/>
                <wp:docPr id="34" name="Frame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percentage of the principal amount at which the series of debt securities will be offered; </w:t>
      </w:r>
      <w:r>
        <mc:AlternateContent>
          <mc:Choice Requires="wps">
            <w:drawing>
              <wp:anchor behindDoc="0" distT="78740" distB="0" distL="254000" distR="0" simplePos="0" locked="0" layoutInCell="1" allowOverlap="1" relativeHeight="39">
                <wp:simplePos x="0" y="0"/>
                <wp:positionH relativeFrom="column">
                  <wp:align>left</wp:align>
                </wp:positionH>
                <wp:positionV relativeFrom="line">
                  <wp:align>top</wp:align>
                </wp:positionV>
                <wp:extent cx="127000" cy="350520"/>
                <wp:effectExtent l="0" t="0" r="0" b="0"/>
                <wp:wrapSquare wrapText="right"/>
                <wp:docPr id="35" name="Frame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date or dates on which principal will be payable; </w:t>
      </w:r>
      <w:r>
        <mc:AlternateContent>
          <mc:Choice Requires="wps">
            <w:drawing>
              <wp:anchor behindDoc="0" distT="78740" distB="0" distL="254000" distR="0" simplePos="0" locked="0" layoutInCell="1" allowOverlap="1" relativeHeight="40">
                <wp:simplePos x="0" y="0"/>
                <wp:positionH relativeFrom="column">
                  <wp:align>left</wp:align>
                </wp:positionH>
                <wp:positionV relativeFrom="line">
                  <wp:align>top</wp:align>
                </wp:positionV>
                <wp:extent cx="127000" cy="350520"/>
                <wp:effectExtent l="0" t="0" r="0" b="0"/>
                <wp:wrapSquare wrapText="right"/>
                <wp:docPr id="36" name="Frame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rate or rates (which may be either fixed or variable) and/or the method of determining such rate or rates of interest, if any; </w:t>
      </w:r>
      <w:r>
        <mc:AlternateContent>
          <mc:Choice Requires="wps">
            <w:drawing>
              <wp:anchor behindDoc="0" distT="78740" distB="0" distL="254000" distR="0" simplePos="0" locked="0" layoutInCell="1" allowOverlap="1" relativeHeight="41">
                <wp:simplePos x="0" y="0"/>
                <wp:positionH relativeFrom="column">
                  <wp:align>left</wp:align>
                </wp:positionH>
                <wp:positionV relativeFrom="line">
                  <wp:align>top</wp:align>
                </wp:positionV>
                <wp:extent cx="127000" cy="350520"/>
                <wp:effectExtent l="0" t="0" r="0" b="0"/>
                <wp:wrapSquare wrapText="right"/>
                <wp:docPr id="37" name="Frame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date or dates from which any interest will accrue, or the method of determining such date or dates, and the date or dates on which any interest will be payable; </w:t>
      </w:r>
      <w:r>
        <mc:AlternateContent>
          <mc:Choice Requires="wps">
            <w:drawing>
              <wp:anchor behindDoc="0" distT="78740" distB="0" distL="254000" distR="0" simplePos="0" locked="0" layoutInCell="1" allowOverlap="1" relativeHeight="42">
                <wp:simplePos x="0" y="0"/>
                <wp:positionH relativeFrom="column">
                  <wp:align>left</wp:align>
                </wp:positionH>
                <wp:positionV relativeFrom="line">
                  <wp:align>top</wp:align>
                </wp:positionV>
                <wp:extent cx="127000" cy="350520"/>
                <wp:effectExtent l="0" t="0" r="0" b="0"/>
                <wp:wrapSquare wrapText="right"/>
                <wp:docPr id="38" name="Frame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terms for redemption, extension or early repayment, if any; </w:t>
      </w:r>
      <w:r>
        <mc:AlternateContent>
          <mc:Choice Requires="wps">
            <w:drawing>
              <wp:anchor behindDoc="0" distT="78740" distB="0" distL="254000" distR="0" simplePos="0" locked="0" layoutInCell="1" allowOverlap="1" relativeHeight="43">
                <wp:simplePos x="0" y="0"/>
                <wp:positionH relativeFrom="column">
                  <wp:align>left</wp:align>
                </wp:positionH>
                <wp:positionV relativeFrom="line">
                  <wp:align>top</wp:align>
                </wp:positionV>
                <wp:extent cx="127000" cy="350520"/>
                <wp:effectExtent l="0" t="0" r="0" b="0"/>
                <wp:wrapSquare wrapText="right"/>
                <wp:docPr id="39" name="Frame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currencies in which the series of debt securities are issued and payable; </w:t>
      </w:r>
      <w:r>
        <mc:AlternateContent>
          <mc:Choice Requires="wps">
            <w:drawing>
              <wp:anchor behindDoc="0" distT="78740" distB="0" distL="254000" distR="0" simplePos="0" locked="0" layoutInCell="1" allowOverlap="1" relativeHeight="44">
                <wp:simplePos x="0" y="0"/>
                <wp:positionH relativeFrom="column">
                  <wp:align>left</wp:align>
                </wp:positionH>
                <wp:positionV relativeFrom="line">
                  <wp:align>top</wp:align>
                </wp:positionV>
                <wp:extent cx="127000" cy="350520"/>
                <wp:effectExtent l="0" t="0" r="0" b="0"/>
                <wp:wrapSquare wrapText="right"/>
                <wp:docPr id="40" name="Frame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the amount of payments of principal, interest or premium, if any, on a series of debt securities will be determined with reference to an index, formula or other method and how these amounts will be determined; </w:t>
      </w:r>
      <w:r>
        <mc:AlternateContent>
          <mc:Choice Requires="wps">
            <w:drawing>
              <wp:anchor behindDoc="0" distT="78740" distB="0" distL="254000" distR="0" simplePos="0" locked="0" layoutInCell="1" allowOverlap="1" relativeHeight="45">
                <wp:simplePos x="0" y="0"/>
                <wp:positionH relativeFrom="column">
                  <wp:align>left</wp:align>
                </wp:positionH>
                <wp:positionV relativeFrom="line">
                  <wp:align>top</wp:align>
                </wp:positionV>
                <wp:extent cx="127000" cy="350520"/>
                <wp:effectExtent l="0" t="0" r="0" b="0"/>
                <wp:wrapSquare wrapText="right"/>
                <wp:docPr id="41" name="Frame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place or places of payment, transfer, conversion and/or exchange of the debt securities; </w:t>
      </w:r>
      <w:r>
        <mc:AlternateContent>
          <mc:Choice Requires="wps">
            <w:drawing>
              <wp:anchor behindDoc="0" distT="78740" distB="0" distL="254000" distR="0" simplePos="0" locked="0" layoutInCell="1" allowOverlap="1" relativeHeight="46">
                <wp:simplePos x="0" y="0"/>
                <wp:positionH relativeFrom="column">
                  <wp:align>left</wp:align>
                </wp:positionH>
                <wp:positionV relativeFrom="line">
                  <wp:align>top</wp:align>
                </wp:positionV>
                <wp:extent cx="127000" cy="350520"/>
                <wp:effectExtent l="0" t="0" r="0" b="0"/>
                <wp:wrapSquare wrapText="right"/>
                <wp:docPr id="42" name="Frame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provision for any sinking fund; </w:t>
      </w:r>
      <w:r>
        <mc:AlternateContent>
          <mc:Choice Requires="wps">
            <w:drawing>
              <wp:anchor behindDoc="0" distT="78740" distB="0" distL="254000" distR="0" simplePos="0" locked="0" layoutInCell="1" allowOverlap="1" relativeHeight="47">
                <wp:simplePos x="0" y="0"/>
                <wp:positionH relativeFrom="column">
                  <wp:align>left</wp:align>
                </wp:positionH>
                <wp:positionV relativeFrom="line">
                  <wp:align>top</wp:align>
                </wp:positionV>
                <wp:extent cx="127000" cy="350520"/>
                <wp:effectExtent l="0" t="0" r="0" b="0"/>
                <wp:wrapSquare wrapText="right"/>
                <wp:docPr id="43" name="Frame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restrictive covenants; </w:t>
      </w:r>
      <w:r>
        <mc:AlternateContent>
          <mc:Choice Requires="wps">
            <w:drawing>
              <wp:anchor behindDoc="0" distT="78740" distB="0" distL="254000" distR="0" simplePos="0" locked="0" layoutInCell="1" allowOverlap="1" relativeHeight="48">
                <wp:simplePos x="0" y="0"/>
                <wp:positionH relativeFrom="column">
                  <wp:align>left</wp:align>
                </wp:positionH>
                <wp:positionV relativeFrom="line">
                  <wp:align>top</wp:align>
                </wp:positionV>
                <wp:extent cx="127000" cy="350520"/>
                <wp:effectExtent l="0" t="0" r="0" b="0"/>
                <wp:wrapSquare wrapText="right"/>
                <wp:docPr id="44" name="Frame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events of default; </w:t>
      </w:r>
      <w:r>
        <mc:AlternateContent>
          <mc:Choice Requires="wps">
            <w:drawing>
              <wp:anchor behindDoc="0" distT="78740" distB="0" distL="254000" distR="0" simplePos="0" locked="0" layoutInCell="1" allowOverlap="1" relativeHeight="49">
                <wp:simplePos x="0" y="0"/>
                <wp:positionH relativeFrom="column">
                  <wp:align>left</wp:align>
                </wp:positionH>
                <wp:positionV relativeFrom="line">
                  <wp:align>top</wp:align>
                </wp:positionV>
                <wp:extent cx="127000" cy="350520"/>
                <wp:effectExtent l="0" t="0" r="0" b="0"/>
                <wp:wrapSquare wrapText="right"/>
                <wp:docPr id="45" name="Frame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the series of debt securities are issuable in certificated form; </w:t>
      </w:r>
      <w:r>
        <mc:AlternateContent>
          <mc:Choice Requires="wps">
            <w:drawing>
              <wp:anchor behindDoc="0" distT="78740" distB="0" distL="254000" distR="0" simplePos="0" locked="0" layoutInCell="1" allowOverlap="1" relativeHeight="50">
                <wp:simplePos x="0" y="0"/>
                <wp:positionH relativeFrom="column">
                  <wp:align>left</wp:align>
                </wp:positionH>
                <wp:positionV relativeFrom="line">
                  <wp:align>top</wp:align>
                </wp:positionV>
                <wp:extent cx="127000" cy="350520"/>
                <wp:effectExtent l="0" t="0" r="0" b="0"/>
                <wp:wrapSquare wrapText="right"/>
                <wp:docPr id="46" name="Frame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provisions for legal defeasance or covenant defeasance; </w:t>
      </w:r>
      <w:r>
        <mc:AlternateContent>
          <mc:Choice Requires="wps">
            <w:drawing>
              <wp:anchor behindDoc="0" distT="78740" distB="0" distL="254000" distR="0" simplePos="0" locked="0" layoutInCell="1" allowOverlap="1" relativeHeight="51">
                <wp:simplePos x="0" y="0"/>
                <wp:positionH relativeFrom="column">
                  <wp:align>left</wp:align>
                </wp:positionH>
                <wp:positionV relativeFrom="line">
                  <wp:align>top</wp:align>
                </wp:positionV>
                <wp:extent cx="127000" cy="350520"/>
                <wp:effectExtent l="0" t="0" r="0" b="0"/>
                <wp:wrapSquare wrapText="right"/>
                <wp:docPr id="47" name="Frame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and under what circumstances we will pay additional amounts in respect of any tax, assessment or governmental charge and, if so, whether we will have the option to redeem the debt securities rather than pay the additional amounts (and the terms of this option); </w:t>
      </w:r>
      <w:r>
        <mc:AlternateContent>
          <mc:Choice Requires="wps">
            <w:drawing>
              <wp:anchor behindDoc="0" distT="78740" distB="0" distL="254000" distR="0" simplePos="0" locked="0" layoutInCell="1" allowOverlap="1" relativeHeight="52">
                <wp:simplePos x="0" y="0"/>
                <wp:positionH relativeFrom="column">
                  <wp:align>left</wp:align>
                </wp:positionH>
                <wp:positionV relativeFrom="line">
                  <wp:align>top</wp:align>
                </wp:positionV>
                <wp:extent cx="127000" cy="350520"/>
                <wp:effectExtent l="0" t="0" r="0" b="0"/>
                <wp:wrapSquare wrapText="right"/>
                <wp:docPr id="48" name="Frame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provisions for convertibility or exchangeability of the debt securities into or for any other securities; </w:t>
      </w:r>
      <w:r>
        <mc:AlternateContent>
          <mc:Choice Requires="wps">
            <w:drawing>
              <wp:anchor behindDoc="0" distT="0" distB="0" distL="254000" distR="0" simplePos="0" locked="0" layoutInCell="1" allowOverlap="1" relativeHeight="53">
                <wp:simplePos x="0" y="0"/>
                <wp:positionH relativeFrom="column">
                  <wp:align>left</wp:align>
                </wp:positionH>
                <wp:positionV relativeFrom="line">
                  <wp:posOffset>635</wp:posOffset>
                </wp:positionV>
                <wp:extent cx="127000" cy="350520"/>
                <wp:effectExtent l="0" t="0" r="0" b="0"/>
                <wp:wrapSquare wrapText="right"/>
                <wp:docPr id="49" name="Frame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the debt securities are subject to subordination and the terms of such subordination; </w:t>
      </w:r>
      <w:r>
        <mc:AlternateContent>
          <mc:Choice Requires="wps">
            <w:drawing>
              <wp:anchor behindDoc="0" distT="88900" distB="0" distL="254000" distR="0" simplePos="0" locked="0" layoutInCell="1" allowOverlap="1" relativeHeight="54">
                <wp:simplePos x="0" y="0"/>
                <wp:positionH relativeFrom="column">
                  <wp:align>left</wp:align>
                </wp:positionH>
                <wp:positionV relativeFrom="line">
                  <wp:align>top</wp:align>
                </wp:positionV>
                <wp:extent cx="127000" cy="350520"/>
                <wp:effectExtent l="0" t="0" r="0" b="0"/>
                <wp:wrapSquare wrapText="right"/>
                <wp:docPr id="50" name="Frame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listing of the debt securities on any securities exchange; </w:t>
      </w:r>
      <w:r>
        <mc:AlternateContent>
          <mc:Choice Requires="wps">
            <w:drawing>
              <wp:anchor behindDoc="0" distT="88900" distB="0" distL="254000" distR="0" simplePos="0" locked="0" layoutInCell="1" allowOverlap="1" relativeHeight="55">
                <wp:simplePos x="0" y="0"/>
                <wp:positionH relativeFrom="column">
                  <wp:align>left</wp:align>
                </wp:positionH>
                <wp:positionV relativeFrom="line">
                  <wp:align>top</wp:align>
                </wp:positionV>
                <wp:extent cx="127000" cy="350520"/>
                <wp:effectExtent l="0" t="0" r="0" b="0"/>
                <wp:wrapSquare wrapText="right"/>
                <wp:docPr id="51" name="Frame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the issuance of the debt securities may limit the incurrence of additional debt; </w:t>
      </w:r>
      <w:r>
        <mc:AlternateContent>
          <mc:Choice Requires="wps">
            <w:drawing>
              <wp:anchor behindDoc="0" distT="88900" distB="0" distL="254000" distR="0" simplePos="0" locked="0" layoutInCell="1" allowOverlap="1" relativeHeight="56">
                <wp:simplePos x="0" y="0"/>
                <wp:positionH relativeFrom="column">
                  <wp:align>left</wp:align>
                </wp:positionH>
                <wp:positionV relativeFrom="line">
                  <wp:align>top</wp:align>
                </wp:positionV>
                <wp:extent cx="127000" cy="350520"/>
                <wp:effectExtent l="0" t="0" r="0" b="0"/>
                <wp:wrapSquare wrapText="right"/>
                <wp:docPr id="52" name="Frame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applicable, a discussion of material United States federal income tax considerations, including those related to original issue discount, if applicable; and </w:t>
      </w:r>
      <w:r>
        <mc:AlternateContent>
          <mc:Choice Requires="wps">
            <w:drawing>
              <wp:anchor behindDoc="0" distT="88900" distB="0" distL="254000" distR="0" simplePos="0" locked="0" layoutInCell="1" allowOverlap="1" relativeHeight="57">
                <wp:simplePos x="0" y="0"/>
                <wp:positionH relativeFrom="column">
                  <wp:align>left</wp:align>
                </wp:positionH>
                <wp:positionV relativeFrom="line">
                  <wp:align>top</wp:align>
                </wp:positionV>
                <wp:extent cx="127000" cy="350520"/>
                <wp:effectExtent l="0" t="0" r="0" b="0"/>
                <wp:wrapSquare wrapText="right"/>
                <wp:docPr id="53" name="Frame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other material terms. </w:t>
      </w:r>
      <w:r>
        <mc:AlternateContent>
          <mc:Choice Requires="wps">
            <w:drawing>
              <wp:anchor behindDoc="0" distT="88900" distB="0" distL="254000" distR="0" simplePos="0" locked="0" layoutInCell="1" allowOverlap="1" relativeHeight="58">
                <wp:simplePos x="0" y="0"/>
                <wp:positionH relativeFrom="column">
                  <wp:align>left</wp:align>
                </wp:positionH>
                <wp:positionV relativeFrom="line">
                  <wp:align>top</wp:align>
                </wp:positionV>
                <wp:extent cx="127000" cy="350520"/>
                <wp:effectExtent l="0" t="0" r="0" b="0"/>
                <wp:wrapSquare wrapText="right"/>
                <wp:docPr id="54" name="Frame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debt securities may be secured or unsecured obligations. Unless the prospectus supplement states otherwise, principal, interest and premium, if any, will be paid by us in immediately available funds.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General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indenture may provide that any debt securities proposed to be sold under this prospectus and the applicable prospectus supplement relating to such debt securities (“offered debt securities”) and any debt securities issuable upon conversion or exchange of other offered securities (“underlying debt securities”) may be issued under the indenture in one or more series.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purposes of this prospectus, any reference to the payment of principal of, or interest or premium, if any, on, debt securities will include additional amounts if required by the terms of the debt securities.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Debt securities issued under an indenture, when a single trustee is acting for all debt securities issued under the indenture, are called the “indenture securities.” The indenture may also provide that there may be more than one trustee thereunder, each with respect to one or more different series of securities issued thereunder. See “Description of Debt Securities — Resignation of Trustee” below. At a time when two or more trustees are acting under an indenture, each with respect to only certain series, the term “indenture securities” means the one or more series of debt securities with respect to which each respective trustee is acting. In the event that there is more than one trustee under an indenture, the powers and trust obligations of each trustee described in this prospectus will extend only to the one or more series of indenture securities for which it is trustee. If two or more trustees are acting under an indenture, then the indenture securities for which each trustee is acting would be treated as if issued under separate indentures.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refer you to the applicable prospectus supplement relating to any debt securities we may issue from time to time for information with respect to any deletions from, modifications of or additions to the Events of Default or covenants that are described below, including any addition of a covenant or other provision providing event risk or similar protection, that will be applicable with respect to such debt securities.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the ability to issue indenture securities with terms different from those of indenture securities previously issued and, without the consent of the holders thereof, to reopen a previous issue of a series of indenture securities and issue additional indenture securities of that series unless the reopening was restricted when that series was created.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Conversion and Exchange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any debt securities are convertible into or exchangeable for other securities, the related prospectus supplement will explain the terms and conditions of the conversion or exchange, including the conversion price or exchange ratio (or the calculation method), the conversion or exchange period (or how the period will be determined), if conversion or exchange will be mandatory or at the option of the holder or us, provisions for adjusting the conversion price or the exchange ratio and provisions affecting conversion or exchange in the event of the redemption of the underlying debt securities. These terms may also include provisions under which the number or amount of other securities to be received by the holders of the debt securities upon conversion or exchange would be calculated according to the market price of the other securities as of a time stated in the prospectus supplement.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Payment and Paying Agents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pay interest to the person listed in the applicable trustee’s records as the owner of the debt security at the close of business on a particular day in advance of each due date for interest, even if that person no longer owns the debt security on the interest due date. That day, often approximately two weeks in advance of the interest due date, is called the “record date.” Because we will pay all the interest for an interest period to the holders on the record date, holders buying and selling debt securities must work out between themselves the appropriate purchase price. The most common manner is to adjust the sales price of the debt securities to prorate interest fairly between buyer and seller based on their respective ownership periods within the particular interest period. This prorated interest amount is called “accrued interest.”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Events of Default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Holders of debt securities of any series will have rights if an Event of Default occurs in respect of the debt securities of such series and is not cured, as described later in this subsection. The term “Event of Default” in respect of the debt securities of any series means any of the following: </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do not pay the principal of, or any premium on, a debt security of the series on its due date; </w:t>
      </w:r>
      <w:r>
        <mc:AlternateContent>
          <mc:Choice Requires="wps">
            <w:drawing>
              <wp:anchor behindDoc="0" distT="80010" distB="0" distL="254000" distR="0" simplePos="0" locked="0" layoutInCell="1" allowOverlap="1" relativeHeight="59">
                <wp:simplePos x="0" y="0"/>
                <wp:positionH relativeFrom="column">
                  <wp:align>left</wp:align>
                </wp:positionH>
                <wp:positionV relativeFrom="line">
                  <wp:align>top</wp:align>
                </wp:positionV>
                <wp:extent cx="127000" cy="350520"/>
                <wp:effectExtent l="0" t="0" r="0" b="0"/>
                <wp:wrapSquare wrapText="right"/>
                <wp:docPr id="55" name="Frame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do not pay interest on a debt security of the series within 30 days of its due date; </w:t>
      </w:r>
      <w:r>
        <mc:AlternateContent>
          <mc:Choice Requires="wps">
            <w:drawing>
              <wp:anchor behindDoc="0" distT="80010" distB="0" distL="254000" distR="0" simplePos="0" locked="0" layoutInCell="1" allowOverlap="1" relativeHeight="60">
                <wp:simplePos x="0" y="0"/>
                <wp:positionH relativeFrom="column">
                  <wp:align>left</wp:align>
                </wp:positionH>
                <wp:positionV relativeFrom="line">
                  <wp:align>top</wp:align>
                </wp:positionV>
                <wp:extent cx="127000" cy="350520"/>
                <wp:effectExtent l="0" t="0" r="0" b="0"/>
                <wp:wrapSquare wrapText="right"/>
                <wp:docPr id="56" name="Frame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remain in breach of a covenant in respect of debt securities of the series for 60 days after we receive a written notice of default stating we are in breach. The notice must be sent by either the trustee or holders of at least 25% of the principal amount of debt securities of the series; </w:t>
      </w:r>
      <w:r>
        <mc:AlternateContent>
          <mc:Choice Requires="wps">
            <w:drawing>
              <wp:anchor behindDoc="0" distT="80010" distB="0" distL="254000" distR="0" simplePos="0" locked="0" layoutInCell="1" allowOverlap="1" relativeHeight="61">
                <wp:simplePos x="0" y="0"/>
                <wp:positionH relativeFrom="column">
                  <wp:align>left</wp:align>
                </wp:positionH>
                <wp:positionV relativeFrom="line">
                  <wp:align>top</wp:align>
                </wp:positionV>
                <wp:extent cx="127000" cy="350520"/>
                <wp:effectExtent l="0" t="0" r="0" b="0"/>
                <wp:wrapSquare wrapText="right"/>
                <wp:docPr id="57" name="Frame5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file for bankruptcy or certain other events of bankruptcy, insolvency or reorganization occur; </w:t>
      </w:r>
      <w:r>
        <mc:AlternateContent>
          <mc:Choice Requires="wps">
            <w:drawing>
              <wp:anchor behindDoc="0" distT="80010" distB="0" distL="254000" distR="0" simplePos="0" locked="0" layoutInCell="1" allowOverlap="1" relativeHeight="62">
                <wp:simplePos x="0" y="0"/>
                <wp:positionH relativeFrom="column">
                  <wp:align>left</wp:align>
                </wp:positionH>
                <wp:positionV relativeFrom="line">
                  <wp:align>top</wp:align>
                </wp:positionV>
                <wp:extent cx="127000" cy="350520"/>
                <wp:effectExtent l="0" t="0" r="0" b="0"/>
                <wp:wrapSquare wrapText="right"/>
                <wp:docPr id="58" name="Frame5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guarantee in respect of a debt security of the series ceases to be in full force and effect or any guarantor denies or disaffirms its obligation under its guarantee; and </w:t>
      </w:r>
      <w:r>
        <mc:AlternateContent>
          <mc:Choice Requires="wps">
            <w:drawing>
              <wp:anchor behindDoc="0" distT="80010" distB="0" distL="254000" distR="0" simplePos="0" locked="0" layoutInCell="1" allowOverlap="1" relativeHeight="63">
                <wp:simplePos x="0" y="0"/>
                <wp:positionH relativeFrom="column">
                  <wp:align>left</wp:align>
                </wp:positionH>
                <wp:positionV relativeFrom="line">
                  <wp:align>top</wp:align>
                </wp:positionV>
                <wp:extent cx="127000" cy="350520"/>
                <wp:effectExtent l="0" t="0" r="0" b="0"/>
                <wp:wrapSquare wrapText="right"/>
                <wp:docPr id="59" name="Frame5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other Event of Default occurs in respect of debt securities of the series described in the prospectus supplement. </w:t>
      </w:r>
      <w:r>
        <mc:AlternateContent>
          <mc:Choice Requires="wps">
            <w:drawing>
              <wp:anchor behindDoc="0" distT="80010" distB="0" distL="254000" distR="0" simplePos="0" locked="0" layoutInCell="1" allowOverlap="1" relativeHeight="64">
                <wp:simplePos x="0" y="0"/>
                <wp:positionH relativeFrom="column">
                  <wp:align>left</wp:align>
                </wp:positionH>
                <wp:positionV relativeFrom="line">
                  <wp:align>top</wp:align>
                </wp:positionV>
                <wp:extent cx="127000" cy="350520"/>
                <wp:effectExtent l="0" t="0" r="0" b="0"/>
                <wp:wrapSquare wrapText="right"/>
                <wp:docPr id="60" name="Frame5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Event of Default for a particular series of debt securities does not necessarily constitute an Event of Default for any other series of debt securities issued under the same or any other indenture. The trustee may withhold notice to the holders of debt securities of any default, except in the payment of principal, premium or interest, if it considers the withholding of notice to be in the best interests of the holders.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Remedies if an Event of Default Occurs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an Event of Default has occurred and has not been cured or waived, the trustee or the holders of not less than 25% in principal amount of the debt securities of the affected series may declare the entire principal amount of all the debt securities of that series to be due and immediately payable. This is called a declaration of acceleration of maturity. A declaration of acceleration of maturity may be cancelled by the holders of a majority in principal amount of the debt securities of the affected series if the default is cured or waived and certain other conditions are satisfied.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in cases of default, where the trustee has some special duties, the trustee typically is not required to take any action under an indenture at the request of any holders unless the holders offer the trustee reasonable protection from expenses and liability (called an “indemnity”). If reasonable indemnity is provided, the holders of a majority in principal amount of the outstanding debt securities of the relevant series may direct the time, method and place of conducting any lawsuit or other formal legal action seeking any remedy available to the trustee. The trustee may refuse to follow those directions in certain circumstances.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Before a holder is allowed to bypass the trustee and bring its own lawsuit or other formal legal action or take other steps to enforce its rights or protect its interests relating to any debt securities, the following must occur: </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holder must give the trustee written notice that an Event of Default has occurred and remains uncured; </w:t>
      </w:r>
      <w:r>
        <mc:AlternateContent>
          <mc:Choice Requires="wps">
            <w:drawing>
              <wp:anchor behindDoc="0" distT="78740" distB="0" distL="254000" distR="0" simplePos="0" locked="0" layoutInCell="1" allowOverlap="1" relativeHeight="65">
                <wp:simplePos x="0" y="0"/>
                <wp:positionH relativeFrom="column">
                  <wp:align>left</wp:align>
                </wp:positionH>
                <wp:positionV relativeFrom="line">
                  <wp:align>top</wp:align>
                </wp:positionV>
                <wp:extent cx="127000" cy="350520"/>
                <wp:effectExtent l="0" t="0" r="0" b="0"/>
                <wp:wrapSquare wrapText="right"/>
                <wp:docPr id="61" name="Frame6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holders of at least 25% in principal amount of all outstanding debt securities of the relevant series must make a written request that the trustee take action because of the default and must offer reasonable indemnity to the trustee against the cost and other liabilities of taking that action; </w:t>
      </w:r>
      <w:r>
        <mc:AlternateContent>
          <mc:Choice Requires="wps">
            <w:drawing>
              <wp:anchor behindDoc="0" distT="0" distB="0" distL="254000" distR="0" simplePos="0" locked="0" layoutInCell="1" allowOverlap="1" relativeHeight="66">
                <wp:simplePos x="0" y="0"/>
                <wp:positionH relativeFrom="column">
                  <wp:align>left</wp:align>
                </wp:positionH>
                <wp:positionV relativeFrom="line">
                  <wp:posOffset>635</wp:posOffset>
                </wp:positionV>
                <wp:extent cx="127000" cy="350520"/>
                <wp:effectExtent l="0" t="0" r="0" b="0"/>
                <wp:wrapSquare wrapText="right"/>
                <wp:docPr id="62" name="Frame6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trustee must not have taken action for 60 days after receipt of the above notice and offer of indemnity; and </w:t>
      </w:r>
      <w:r>
        <mc:AlternateContent>
          <mc:Choice Requires="wps">
            <w:drawing>
              <wp:anchor behindDoc="0" distT="64770" distB="0" distL="254000" distR="0" simplePos="0" locked="0" layoutInCell="1" allowOverlap="1" relativeHeight="67">
                <wp:simplePos x="0" y="0"/>
                <wp:positionH relativeFrom="column">
                  <wp:align>left</wp:align>
                </wp:positionH>
                <wp:positionV relativeFrom="line">
                  <wp:align>top</wp:align>
                </wp:positionV>
                <wp:extent cx="127000" cy="350520"/>
                <wp:effectExtent l="0" t="0" r="0" b="0"/>
                <wp:wrapSquare wrapText="right"/>
                <wp:docPr id="63" name="Frame6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1pt;mso-wrap-distance-bottom:0pt;margin-top:5.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holders of a majority in principal amount of the debt securities must not have given the trustee a direction inconsistent with the above notice during that 60-day period. </w:t>
      </w:r>
      <w:r>
        <mc:AlternateContent>
          <mc:Choice Requires="wps">
            <w:drawing>
              <wp:anchor behindDoc="0" distT="64770" distB="0" distL="254000" distR="0" simplePos="0" locked="0" layoutInCell="1" allowOverlap="1" relativeHeight="68">
                <wp:simplePos x="0" y="0"/>
                <wp:positionH relativeFrom="column">
                  <wp:align>left</wp:align>
                </wp:positionH>
                <wp:positionV relativeFrom="line">
                  <wp:align>top</wp:align>
                </wp:positionV>
                <wp:extent cx="127000" cy="350520"/>
                <wp:effectExtent l="0" t="0" r="0" b="0"/>
                <wp:wrapSquare wrapText="right"/>
                <wp:docPr id="64" name="Frame6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1pt;mso-wrap-distance-bottom:0pt;margin-top:5.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However, a holder is entitled at any time to bring a lawsuit for the payment of money due on its debt securities on or after the due date. Each year, we will furnish to each trustee a written statement of certain of our officers certifying that to their knowledge we are in compliance with the indenture and the debt securities, or else specifying any default.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Waiver of Default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holders of a majority in principal amount of the relevant series of debt securities may waive a default for all such series of debt securities. If this happens, the default will be treated as if it had not occurred. No one can waive a payment default on a holder’s debt security, however, without the holder’s approval.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Merger or Consolidation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terms of an indenture, we may be permitted to consolidate or merge with another entity. We may also be permitted to sell all or substantially all of our assets to another entity. However, typically we may not take any of these actions unless all the following conditions are met: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do not survive such transaction or we convey, transfer or lease our properties and assets substantially as an entirety, the acquiring company must be a corporation, limited liability company, partnership or trust, or other corporate form, organized under the laws of any state of the United States or the District of Columbia, and such company must agree to be legally responsible for our debt securities, and, if not already subject to the jurisdiction of any state of the United States or the District of Columbia, the new company must submit to such jurisdiction for all purposes with respect to the debt securities and appoint an agent for service of process; </w:t>
      </w:r>
      <w:r>
        <mc:AlternateContent>
          <mc:Choice Requires="wps">
            <w:drawing>
              <wp:anchor behindDoc="0" distT="73660" distB="0" distL="254000" distR="0" simplePos="0" locked="0" layoutInCell="1" allowOverlap="1" relativeHeight="69">
                <wp:simplePos x="0" y="0"/>
                <wp:positionH relativeFrom="column">
                  <wp:align>left</wp:align>
                </wp:positionH>
                <wp:positionV relativeFrom="line">
                  <wp:align>top</wp:align>
                </wp:positionV>
                <wp:extent cx="127000" cy="350520"/>
                <wp:effectExtent l="0" t="0" r="0" b="0"/>
                <wp:wrapSquare wrapText="right"/>
                <wp:docPr id="65" name="Frame6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alternatively, we must be the surviving company; </w:t>
      </w:r>
      <w:r>
        <mc:AlternateContent>
          <mc:Choice Requires="wps">
            <w:drawing>
              <wp:anchor behindDoc="0" distT="64770" distB="0" distL="254000" distR="0" simplePos="0" locked="0" layoutInCell="1" allowOverlap="1" relativeHeight="70">
                <wp:simplePos x="0" y="0"/>
                <wp:positionH relativeFrom="column">
                  <wp:align>left</wp:align>
                </wp:positionH>
                <wp:positionV relativeFrom="line">
                  <wp:align>top</wp:align>
                </wp:positionV>
                <wp:extent cx="127000" cy="350520"/>
                <wp:effectExtent l="0" t="0" r="0" b="0"/>
                <wp:wrapSquare wrapText="right"/>
                <wp:docPr id="66" name="Frame6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1pt;mso-wrap-distance-bottom:0pt;margin-top:5.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immediately after the transaction no Event of Default or event that would become an Event of Default will exist; </w:t>
      </w:r>
      <w:r>
        <mc:AlternateContent>
          <mc:Choice Requires="wps">
            <w:drawing>
              <wp:anchor behindDoc="0" distT="64770" distB="0" distL="254000" distR="0" simplePos="0" locked="0" layoutInCell="1" allowOverlap="1" relativeHeight="71">
                <wp:simplePos x="0" y="0"/>
                <wp:positionH relativeFrom="column">
                  <wp:align>left</wp:align>
                </wp:positionH>
                <wp:positionV relativeFrom="line">
                  <wp:align>top</wp:align>
                </wp:positionV>
                <wp:extent cx="127000" cy="350520"/>
                <wp:effectExtent l="0" t="0" r="0" b="0"/>
                <wp:wrapSquare wrapText="right"/>
                <wp:docPr id="67" name="Frame6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1pt;mso-wrap-distance-bottom:0pt;margin-top:5.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must deliver certain certificates and documents to the trustee; and </w:t>
      </w:r>
      <w:r>
        <mc:AlternateContent>
          <mc:Choice Requires="wps">
            <w:drawing>
              <wp:anchor behindDoc="0" distT="64770" distB="0" distL="254000" distR="0" simplePos="0" locked="0" layoutInCell="1" allowOverlap="1" relativeHeight="72">
                <wp:simplePos x="0" y="0"/>
                <wp:positionH relativeFrom="column">
                  <wp:align>left</wp:align>
                </wp:positionH>
                <wp:positionV relativeFrom="line">
                  <wp:align>top</wp:align>
                </wp:positionV>
                <wp:extent cx="127000" cy="350520"/>
                <wp:effectExtent l="0" t="0" r="0" b="0"/>
                <wp:wrapSquare wrapText="right"/>
                <wp:docPr id="68" name="Frame6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1pt;mso-wrap-distance-bottom:0pt;margin-top:5.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must satisfy any other requirements specified in the prospectus supplement relating to a particular series of debt securities. </w:t>
      </w:r>
      <w:r>
        <mc:AlternateContent>
          <mc:Choice Requires="wps">
            <w:drawing>
              <wp:anchor behindDoc="0" distT="64770" distB="0" distL="254000" distR="0" simplePos="0" locked="0" layoutInCell="1" allowOverlap="1" relativeHeight="73">
                <wp:simplePos x="0" y="0"/>
                <wp:positionH relativeFrom="column">
                  <wp:align>left</wp:align>
                </wp:positionH>
                <wp:positionV relativeFrom="line">
                  <wp:align>top</wp:align>
                </wp:positionV>
                <wp:extent cx="127000" cy="350520"/>
                <wp:effectExtent l="0" t="0" r="0" b="0"/>
                <wp:wrapSquare wrapText="right"/>
                <wp:docPr id="69" name="Frame6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1pt;mso-wrap-distance-bottom:0pt;margin-top:5.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Modification or Waiver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There are three types of changes we may make to an indenture and the debt securities issued thereunder.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Changes Requiring Approval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First, there are changes that we may not be able to make to debt securities without specific approval of all of the affected holders. The following is a list of the types of changes that may require specific approval: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 the stated maturity of the principal of or rate of interest on a debt security; </w:t>
      </w:r>
      <w:r>
        <mc:AlternateContent>
          <mc:Choice Requires="wps">
            <w:drawing>
              <wp:anchor behindDoc="0" distT="73660" distB="0" distL="254000" distR="0" simplePos="0" locked="0" layoutInCell="1" allowOverlap="1" relativeHeight="74">
                <wp:simplePos x="0" y="0"/>
                <wp:positionH relativeFrom="column">
                  <wp:align>left</wp:align>
                </wp:positionH>
                <wp:positionV relativeFrom="line">
                  <wp:align>top</wp:align>
                </wp:positionV>
                <wp:extent cx="127000" cy="350520"/>
                <wp:effectExtent l="0" t="0" r="0" b="0"/>
                <wp:wrapSquare wrapText="right"/>
                <wp:docPr id="70" name="Frame6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reduce any amounts due on a debt security; </w:t>
      </w:r>
      <w:r>
        <mc:AlternateContent>
          <mc:Choice Requires="wps">
            <w:drawing>
              <wp:anchor behindDoc="0" distT="63500" distB="0" distL="254000" distR="0" simplePos="0" locked="0" layoutInCell="1" allowOverlap="1" relativeHeight="75">
                <wp:simplePos x="0" y="0"/>
                <wp:positionH relativeFrom="column">
                  <wp:align>left</wp:align>
                </wp:positionH>
                <wp:positionV relativeFrom="line">
                  <wp:align>top</wp:align>
                </wp:positionV>
                <wp:extent cx="127000" cy="350520"/>
                <wp:effectExtent l="0" t="0" r="0" b="0"/>
                <wp:wrapSquare wrapText="right"/>
                <wp:docPr id="71" name="Frame7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reduce the amount of principal payable upon acceleration of the maturity of a security following a default; </w:t>
      </w:r>
      <w:r>
        <mc:AlternateContent>
          <mc:Choice Requires="wps">
            <w:drawing>
              <wp:anchor behindDoc="0" distT="63500" distB="0" distL="254000" distR="0" simplePos="0" locked="0" layoutInCell="1" allowOverlap="1" relativeHeight="76">
                <wp:simplePos x="0" y="0"/>
                <wp:positionH relativeFrom="column">
                  <wp:align>left</wp:align>
                </wp:positionH>
                <wp:positionV relativeFrom="line">
                  <wp:align>top</wp:align>
                </wp:positionV>
                <wp:extent cx="127000" cy="350520"/>
                <wp:effectExtent l="0" t="0" r="0" b="0"/>
                <wp:wrapSquare wrapText="right"/>
                <wp:docPr id="72" name="Frame7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 the place or currency of payment on a debt security (except as otherwise described in the prospectus or prospectus supplement); </w:t>
      </w:r>
      <w:r>
        <mc:AlternateContent>
          <mc:Choice Requires="wps">
            <w:drawing>
              <wp:anchor behindDoc="0" distT="63500" distB="0" distL="254000" distR="0" simplePos="0" locked="0" layoutInCell="1" allowOverlap="1" relativeHeight="77">
                <wp:simplePos x="0" y="0"/>
                <wp:positionH relativeFrom="column">
                  <wp:align>left</wp:align>
                </wp:positionH>
                <wp:positionV relativeFrom="line">
                  <wp:align>top</wp:align>
                </wp:positionV>
                <wp:extent cx="127000" cy="350520"/>
                <wp:effectExtent l="0" t="0" r="0" b="0"/>
                <wp:wrapSquare wrapText="right"/>
                <wp:docPr id="73" name="Frame7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impair the right of holders to sue for payment; </w:t>
      </w:r>
      <w:r>
        <mc:AlternateContent>
          <mc:Choice Requires="wps">
            <w:drawing>
              <wp:anchor behindDoc="0" distT="0" distB="0" distL="254000" distR="0" simplePos="0" locked="0" layoutInCell="1" allowOverlap="1" relativeHeight="78">
                <wp:simplePos x="0" y="0"/>
                <wp:positionH relativeFrom="column">
                  <wp:align>left</wp:align>
                </wp:positionH>
                <wp:positionV relativeFrom="line">
                  <wp:posOffset>635</wp:posOffset>
                </wp:positionV>
                <wp:extent cx="127000" cy="350520"/>
                <wp:effectExtent l="0" t="0" r="0" b="0"/>
                <wp:wrapSquare wrapText="right"/>
                <wp:docPr id="74" name="Frame7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adversely affect any right to convert or exchange a debt security in accordance with its terms; </w:t>
      </w:r>
      <w:r>
        <mc:AlternateContent>
          <mc:Choice Requires="wps">
            <w:drawing>
              <wp:anchor behindDoc="0" distT="73660" distB="0" distL="254000" distR="0" simplePos="0" locked="0" layoutInCell="1" allowOverlap="1" relativeHeight="79">
                <wp:simplePos x="0" y="0"/>
                <wp:positionH relativeFrom="column">
                  <wp:align>left</wp:align>
                </wp:positionH>
                <wp:positionV relativeFrom="line">
                  <wp:align>top</wp:align>
                </wp:positionV>
                <wp:extent cx="127000" cy="350520"/>
                <wp:effectExtent l="0" t="0" r="0" b="0"/>
                <wp:wrapSquare wrapText="right"/>
                <wp:docPr id="75" name="Frame7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reduce the percentage of holders of debt securities whose consent is needed to modify or amend the indenture; </w:t>
      </w:r>
      <w:r>
        <mc:AlternateContent>
          <mc:Choice Requires="wps">
            <w:drawing>
              <wp:anchor behindDoc="0" distT="73660" distB="0" distL="254000" distR="0" simplePos="0" locked="0" layoutInCell="1" allowOverlap="1" relativeHeight="80">
                <wp:simplePos x="0" y="0"/>
                <wp:positionH relativeFrom="column">
                  <wp:align>left</wp:align>
                </wp:positionH>
                <wp:positionV relativeFrom="line">
                  <wp:align>top</wp:align>
                </wp:positionV>
                <wp:extent cx="127000" cy="350520"/>
                <wp:effectExtent l="0" t="0" r="0" b="0"/>
                <wp:wrapSquare wrapText="right"/>
                <wp:docPr id="76" name="Frame7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reduce the percentage of holders of debt securities whose consent is needed to waive compliance with certain provisions of the indenture or to waive certain defaults; </w:t>
      </w:r>
      <w:r>
        <mc:AlternateContent>
          <mc:Choice Requires="wps">
            <w:drawing>
              <wp:anchor behindDoc="0" distT="73660" distB="0" distL="254000" distR="0" simplePos="0" locked="0" layoutInCell="1" allowOverlap="1" relativeHeight="81">
                <wp:simplePos x="0" y="0"/>
                <wp:positionH relativeFrom="column">
                  <wp:align>left</wp:align>
                </wp:positionH>
                <wp:positionV relativeFrom="line">
                  <wp:align>top</wp:align>
                </wp:positionV>
                <wp:extent cx="127000" cy="350520"/>
                <wp:effectExtent l="0" t="0" r="0" b="0"/>
                <wp:wrapSquare wrapText="right"/>
                <wp:docPr id="77" name="Frame7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modify any other aspect of the provisions of the indenture dealing with supplemental indentures, modification and waiver of past defaults, changes to the quorum or voting requirements or the waiver of certain covenants; and </w:t>
      </w:r>
      <w:r>
        <mc:AlternateContent>
          <mc:Choice Requires="wps">
            <w:drawing>
              <wp:anchor behindDoc="0" distT="73660" distB="0" distL="254000" distR="0" simplePos="0" locked="0" layoutInCell="1" allowOverlap="1" relativeHeight="82">
                <wp:simplePos x="0" y="0"/>
                <wp:positionH relativeFrom="column">
                  <wp:align>left</wp:align>
                </wp:positionH>
                <wp:positionV relativeFrom="line">
                  <wp:align>top</wp:align>
                </wp:positionV>
                <wp:extent cx="127000" cy="350520"/>
                <wp:effectExtent l="0" t="0" r="0" b="0"/>
                <wp:wrapSquare wrapText="right"/>
                <wp:docPr id="78" name="Frame7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 any obligation we or any guarantor may have in respect of the payment of principal, interest or other amounts. </w:t>
      </w:r>
      <w:r>
        <mc:AlternateContent>
          <mc:Choice Requires="wps">
            <w:drawing>
              <wp:anchor behindDoc="0" distT="73660" distB="0" distL="254000" distR="0" simplePos="0" locked="0" layoutInCell="1" allowOverlap="1" relativeHeight="83">
                <wp:simplePos x="0" y="0"/>
                <wp:positionH relativeFrom="column">
                  <wp:align>left</wp:align>
                </wp:positionH>
                <wp:positionV relativeFrom="line">
                  <wp:align>top</wp:align>
                </wp:positionV>
                <wp:extent cx="127000" cy="350520"/>
                <wp:effectExtent l="0" t="0" r="0" b="0"/>
                <wp:wrapSquare wrapText="right"/>
                <wp:docPr id="79" name="Frame7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Changes Not Requiring Approval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second type of change does not require any vote by the holders of the debt securities. This type is limited to clarifications and certain other changes that would not adversely affect holders of the outstanding debt securities in any material respect, including the addition of covenants and guarantees.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Changes Requiring Majority Approval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other change to the indenture and the debt securities must be approved by the holders of a majority in aggregate principal amount of all of the series issued under the same supplemental indenture affected by the change, with all affected series voting together as one class for this purpose.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holders of a majority in principal amount of all of the series of debt securities issued under a supplemental indenture, voting together as one class for this purpose, may waive our compliance obligations with respect to some of our covenants in that supplemental indenture. However, we cannot obtain a waiver of a payment default or of any of the matters covered by the bullet points included above under “Description of Debt Securities — Modification or Waiver — Changes Requiring Approval.”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Further Details Concerning Voting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Debt securities will not be considered outstanding, and therefore not eligible to vote, if we have deposited or set aside in trust money for their payment or redemption. Debt securities will also not be eligible to vote if they have been fully defeased as described later under “Description of Debt Securities — Defeasance — Legal Defeasance.”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generally will be entitled to set any day as a record date for the purpose of determining the holders of outstanding indenture securities that are entitled to vote or take other action under the indenture not more than 90 calendar days nor less than 20 calendar days prior to the proposed date of such vote or consent.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Book-entry and other indirect holders will need to consult their banks or brokers for information on how approval may be granted or denied if we seek to change the indenture or the debt securities or request a waiver.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Defeasance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provisions will be applicable to each series of debt securities unless we state in the applicable prospectus supplement that the provisions of covenant defeasance and legal defeasance will not be applicable to that series.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Covenant Defeasance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can make the deposit described below and be released from some of the restrictive covenants in the indenture under which the particular series was issued. This is called “covenant defeasance.” In that event, the holders would lose the protection of those restrictive covenants but would gain the protection of having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money and government securities set aside in trust to repay holders’ debt securities. If applicable, a holder also would be released from the subordination provisions described under “Description of Debt Securities — Indenture Provisions — Subordination” below. In order to achieve covenant defeasance, we must do the following: </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must deposit in trust for the benefit of all holders of such debt securities a combination of money and non-callable U.S. government notes or bonds that will be sufficient to pay and discharge all interest, principal and any other payments on the debt securities on their various due dates; </w:t>
      </w:r>
      <w:r>
        <mc:AlternateContent>
          <mc:Choice Requires="wps">
            <w:drawing>
              <wp:anchor behindDoc="0" distT="78740" distB="0" distL="254000" distR="0" simplePos="0" locked="0" layoutInCell="1" allowOverlap="1" relativeHeight="84">
                <wp:simplePos x="0" y="0"/>
                <wp:positionH relativeFrom="column">
                  <wp:align>left</wp:align>
                </wp:positionH>
                <wp:positionV relativeFrom="line">
                  <wp:align>top</wp:align>
                </wp:positionV>
                <wp:extent cx="127000" cy="350520"/>
                <wp:effectExtent l="0" t="0" r="0" b="0"/>
                <wp:wrapSquare wrapText="right"/>
                <wp:docPr id="80" name="Frame7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be required to deliver to the trustee a legal opinion of our counsel confirming that, under current U.S. Federal income tax law, we may make the above deposit without causing the holders to be taxed on the debt securities any differently than if we did not make the deposit and just repaid the debt securities ourselves at maturity; and </w:t>
      </w:r>
      <w:r>
        <mc:AlternateContent>
          <mc:Choice Requires="wps">
            <w:drawing>
              <wp:anchor behindDoc="0" distT="88900" distB="0" distL="254000" distR="0" simplePos="0" locked="0" layoutInCell="1" allowOverlap="1" relativeHeight="85">
                <wp:simplePos x="0" y="0"/>
                <wp:positionH relativeFrom="column">
                  <wp:align>left</wp:align>
                </wp:positionH>
                <wp:positionV relativeFrom="line">
                  <wp:align>top</wp:align>
                </wp:positionV>
                <wp:extent cx="127000" cy="350520"/>
                <wp:effectExtent l="0" t="0" r="0" b="0"/>
                <wp:wrapSquare wrapText="right"/>
                <wp:docPr id="81" name="Frame8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must deliver to the trustee certain documentation stating that all conditions precedent to covenant defeasance have been complied with. </w:t>
      </w:r>
      <w:r>
        <mc:AlternateContent>
          <mc:Choice Requires="wps">
            <w:drawing>
              <wp:anchor behindDoc="0" distT="88900" distB="0" distL="254000" distR="0" simplePos="0" locked="0" layoutInCell="1" allowOverlap="1" relativeHeight="86">
                <wp:simplePos x="0" y="0"/>
                <wp:positionH relativeFrom="column">
                  <wp:align>left</wp:align>
                </wp:positionH>
                <wp:positionV relativeFrom="line">
                  <wp:align>top</wp:align>
                </wp:positionV>
                <wp:extent cx="127000" cy="350520"/>
                <wp:effectExtent l="0" t="0" r="0" b="0"/>
                <wp:wrapSquare wrapText="right"/>
                <wp:docPr id="82" name="Frame8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accomplish covenant defeasance, holders can still look to us for repayment of the debt securities if there were a shortfall in the trust deposit or the trustee is prevented from making payment. In fact, if one of the remaining Events of Default occurred (such as our bankruptcy) and the debt securities became immediately due and payable, there might be a shortfall. Depending on the event causing the default, holders may not be able to obtain payment of the shortfall.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Legal Defeasance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described below, we can legally release ourselves from all payment and other obligations on the debt securities of a particular series (called “legal defeasance”), (1) if there is a change in U.S. Federal tax law that allows us to effect the release without causing the holders to be taxed any differently than if the release had not occurred, and (2) if we put in place the following other arrangements for holders to be repaid: </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must deposit in trust for the benefit of all holders of such debt securities a combination of money and U.S. government notes or bonds that will be sufficient to pay and discharge all interest, principal and any other payments on the debt securities on their various due dates; </w:t>
      </w:r>
      <w:r>
        <mc:AlternateContent>
          <mc:Choice Requires="wps">
            <w:drawing>
              <wp:anchor behindDoc="0" distT="78740" distB="0" distL="254000" distR="0" simplePos="0" locked="0" layoutInCell="1" allowOverlap="1" relativeHeight="87">
                <wp:simplePos x="0" y="0"/>
                <wp:positionH relativeFrom="column">
                  <wp:align>left</wp:align>
                </wp:positionH>
                <wp:positionV relativeFrom="line">
                  <wp:align>top</wp:align>
                </wp:positionV>
                <wp:extent cx="127000" cy="350520"/>
                <wp:effectExtent l="0" t="0" r="0" b="0"/>
                <wp:wrapSquare wrapText="right"/>
                <wp:docPr id="83" name="Frame8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be required to deliver to the trustee a legal opinion confirming that there has been a change in current U.S. Federal tax law or an Internal Revenue Service ruling that allows us to make the above deposit without causing the holders to be taxed on the debt securities any differently than if we did not make the deposit and just repaid the debt securities ourselves at maturity; and </w:t>
      </w:r>
      <w:r>
        <mc:AlternateContent>
          <mc:Choice Requires="wps">
            <w:drawing>
              <wp:anchor behindDoc="0" distT="88900" distB="0" distL="254000" distR="0" simplePos="0" locked="0" layoutInCell="1" allowOverlap="1" relativeHeight="88">
                <wp:simplePos x="0" y="0"/>
                <wp:positionH relativeFrom="column">
                  <wp:align>left</wp:align>
                </wp:positionH>
                <wp:positionV relativeFrom="line">
                  <wp:align>top</wp:align>
                </wp:positionV>
                <wp:extent cx="127000" cy="350520"/>
                <wp:effectExtent l="0" t="0" r="0" b="0"/>
                <wp:wrapSquare wrapText="right"/>
                <wp:docPr id="84" name="Frame8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must deliver to the trustee a legal opinion and officers’ certificate stating that all conditions precedent to legal defeasance have been complied with. </w:t>
      </w:r>
      <w:r>
        <mc:AlternateContent>
          <mc:Choice Requires="wps">
            <w:drawing>
              <wp:anchor behindDoc="0" distT="88900" distB="0" distL="254000" distR="0" simplePos="0" locked="0" layoutInCell="1" allowOverlap="1" relativeHeight="89">
                <wp:simplePos x="0" y="0"/>
                <wp:positionH relativeFrom="column">
                  <wp:align>left</wp:align>
                </wp:positionH>
                <wp:positionV relativeFrom="line">
                  <wp:align>top</wp:align>
                </wp:positionV>
                <wp:extent cx="127000" cy="350520"/>
                <wp:effectExtent l="0" t="0" r="0" b="0"/>
                <wp:wrapSquare wrapText="right"/>
                <wp:docPr id="85" name="Frame8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ever did accomplish legal defeasance, as described above, holders would have to rely solely on the trust deposit for repayment of the debt securities. Holders could not look to us for repayment in the unlikely event of any shortfall. Conversely, the trust deposit would most likely be protected from claims of our lenders and other creditors if we ever became bankrupt or insolvent.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Resignation of Trustee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trustee may resign or be removed with respect to one or more series of indenture securities provided that a successor trustee is appointed to act with respect to such series. In the event that two or more persons are acting as trustee with respect to different series of indenture securities under the indenture, each of the trustees will be a trustee of a trust separate and apart from the trust administered by any other trustee.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Trustee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intend to name the indenture trustee for each series of indenture securities in the related prospectus supplement.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 w:name="tDOW"/>
      <w:bookmarkEnd w:id="1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Certain Considerations Relating to Foreign Currencies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Debt securities denominated or payable in foreign currencies may entail significant risks. These risks include the possibility of significant fluctuations in the foreign currency markets, the imposition or modification of foreign exchange controls and potential illiquidity in the secondary market. These risks will vary depending upon the currency or currencies involved and will be more fully described in the applicable prospectus supplement.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WARRANTS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issue warrants for the purchase of shares of our common stock, shares of our preferred stock or debt securities. The following description sets forth certain general terms and provisions of the warrants that we may offer pursuant to this prospectus. The particular terms of the warrants and the extent, if any, to which the general terms and provisions may apply to the warrants so offered will be described in the applicable prospectus supplement. This prospectus also relates to the offering of shares of common stock issuable upon exercise of common share warrants.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Warrants may be issued independently or together with other securities and may be attached to or separate from any offered securities. Each series of warrants will be issued under a separate warrant agreement to be entered into between us and a bank or trust company, as warrant agent. The warrant agent will act solely as our agent in connection with the warrants and will not have any obligation or relationship of agency or trust for or with any holders or beneficial owners of warrants.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copy of the forms of the warrant agreement and the warrant certificate relating to any particular issue of warrants will be filed with the SEC each time we issue warrants, and you should read those documents for provisions that may be important to you. For more information on how you can obtain copies of the forms of the warrant agreement and the related warrant certificate, if applicable, see “Where You Can Find More Information.”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Stock Warrants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prospectus supplement relating to a particular issue of warrants to issue shares of our common stock or shares of our preferred stock will describe the terms of the common share warrants and preferred share warrants, including the following: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title of the warrants; </w:t>
      </w:r>
      <w:r>
        <mc:AlternateContent>
          <mc:Choice Requires="wps">
            <w:drawing>
              <wp:anchor behindDoc="0" distT="76200" distB="0" distL="254000" distR="0" simplePos="0" locked="0" layoutInCell="1" allowOverlap="1" relativeHeight="90">
                <wp:simplePos x="0" y="0"/>
                <wp:positionH relativeFrom="column">
                  <wp:align>left</wp:align>
                </wp:positionH>
                <wp:positionV relativeFrom="line">
                  <wp:align>top</wp:align>
                </wp:positionV>
                <wp:extent cx="127000" cy="350520"/>
                <wp:effectExtent l="0" t="0" r="0" b="0"/>
                <wp:wrapSquare wrapText="right"/>
                <wp:docPr id="86" name="Frame8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offering price for the warrants, if any; </w:t>
      </w:r>
      <w:r>
        <mc:AlternateContent>
          <mc:Choice Requires="wps">
            <w:drawing>
              <wp:anchor behindDoc="0" distT="76200" distB="0" distL="254000" distR="0" simplePos="0" locked="0" layoutInCell="1" allowOverlap="1" relativeHeight="91">
                <wp:simplePos x="0" y="0"/>
                <wp:positionH relativeFrom="column">
                  <wp:align>left</wp:align>
                </wp:positionH>
                <wp:positionV relativeFrom="line">
                  <wp:align>top</wp:align>
                </wp:positionV>
                <wp:extent cx="127000" cy="350520"/>
                <wp:effectExtent l="0" t="0" r="0" b="0"/>
                <wp:wrapSquare wrapText="right"/>
                <wp:docPr id="87" name="Frame8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aggregate number of the warrants; </w:t>
      </w:r>
      <w:r>
        <mc:AlternateContent>
          <mc:Choice Requires="wps">
            <w:drawing>
              <wp:anchor behindDoc="0" distT="76200" distB="0" distL="254000" distR="0" simplePos="0" locked="0" layoutInCell="1" allowOverlap="1" relativeHeight="92">
                <wp:simplePos x="0" y="0"/>
                <wp:positionH relativeFrom="column">
                  <wp:align>left</wp:align>
                </wp:positionH>
                <wp:positionV relativeFrom="line">
                  <wp:align>top</wp:align>
                </wp:positionV>
                <wp:extent cx="127000" cy="350520"/>
                <wp:effectExtent l="0" t="0" r="0" b="0"/>
                <wp:wrapSquare wrapText="right"/>
                <wp:docPr id="88" name="Frame8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designation and terms of the shares of common stock or shares of preferred stock that may be purchased upon exercise of the warrants; </w:t>
      </w:r>
      <w:r>
        <mc:AlternateContent>
          <mc:Choice Requires="wps">
            <w:drawing>
              <wp:anchor behindDoc="0" distT="76200" distB="0" distL="254000" distR="0" simplePos="0" locked="0" layoutInCell="1" allowOverlap="1" relativeHeight="93">
                <wp:simplePos x="0" y="0"/>
                <wp:positionH relativeFrom="column">
                  <wp:align>left</wp:align>
                </wp:positionH>
                <wp:positionV relativeFrom="line">
                  <wp:align>top</wp:align>
                </wp:positionV>
                <wp:extent cx="127000" cy="350520"/>
                <wp:effectExtent l="0" t="0" r="0" b="0"/>
                <wp:wrapSquare wrapText="right"/>
                <wp:docPr id="89" name="Frame8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terms for changes or adjustments to the exercise price of the warrants; </w:t>
      </w:r>
      <w:r>
        <mc:AlternateContent>
          <mc:Choice Requires="wps">
            <w:drawing>
              <wp:anchor behindDoc="0" distT="76200" distB="0" distL="254000" distR="0" simplePos="0" locked="0" layoutInCell="1" allowOverlap="1" relativeHeight="94">
                <wp:simplePos x="0" y="0"/>
                <wp:positionH relativeFrom="column">
                  <wp:align>left</wp:align>
                </wp:positionH>
                <wp:positionV relativeFrom="line">
                  <wp:align>top</wp:align>
                </wp:positionV>
                <wp:extent cx="127000" cy="350520"/>
                <wp:effectExtent l="0" t="0" r="0" b="0"/>
                <wp:wrapSquare wrapText="right"/>
                <wp:docPr id="90" name="Frame8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applicable, the designation and terms of the securities that the warrants are issued with and the number of warrants issued with each security; </w:t>
      </w:r>
      <w:r>
        <mc:AlternateContent>
          <mc:Choice Requires="wps">
            <w:drawing>
              <wp:anchor behindDoc="0" distT="76200" distB="0" distL="254000" distR="0" simplePos="0" locked="0" layoutInCell="1" allowOverlap="1" relativeHeight="95">
                <wp:simplePos x="0" y="0"/>
                <wp:positionH relativeFrom="column">
                  <wp:align>left</wp:align>
                </wp:positionH>
                <wp:positionV relativeFrom="line">
                  <wp:align>top</wp:align>
                </wp:positionV>
                <wp:extent cx="127000" cy="350520"/>
                <wp:effectExtent l="0" t="0" r="0" b="0"/>
                <wp:wrapSquare wrapText="right"/>
                <wp:docPr id="91" name="Frame9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applicable, the date from and after which the warrants and any securities issued with the warrants will be separately transferable; </w:t>
      </w:r>
      <w:r>
        <mc:AlternateContent>
          <mc:Choice Requires="wps">
            <w:drawing>
              <wp:anchor behindDoc="0" distT="76200" distB="0" distL="254000" distR="0" simplePos="0" locked="0" layoutInCell="1" allowOverlap="1" relativeHeight="96">
                <wp:simplePos x="0" y="0"/>
                <wp:positionH relativeFrom="column">
                  <wp:align>left</wp:align>
                </wp:positionH>
                <wp:positionV relativeFrom="line">
                  <wp:align>top</wp:align>
                </wp:positionV>
                <wp:extent cx="127000" cy="350520"/>
                <wp:effectExtent l="0" t="0" r="0" b="0"/>
                <wp:wrapSquare wrapText="right"/>
                <wp:docPr id="92" name="Frame9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number of shares of common stock or shares of preferred stock that may be purchased upon exercise of a warrant and the price at which the shares may be purchased upon exercise; </w:t>
      </w:r>
      <w:r>
        <mc:AlternateContent>
          <mc:Choice Requires="wps">
            <w:drawing>
              <wp:anchor behindDoc="0" distT="76200" distB="0" distL="254000" distR="0" simplePos="0" locked="0" layoutInCell="1" allowOverlap="1" relativeHeight="97">
                <wp:simplePos x="0" y="0"/>
                <wp:positionH relativeFrom="column">
                  <wp:align>left</wp:align>
                </wp:positionH>
                <wp:positionV relativeFrom="line">
                  <wp:align>top</wp:align>
                </wp:positionV>
                <wp:extent cx="127000" cy="350520"/>
                <wp:effectExtent l="0" t="0" r="0" b="0"/>
                <wp:wrapSquare wrapText="right"/>
                <wp:docPr id="93" name="Frame9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dates on which the right to exercise the warrants commence and expire; </w:t>
      </w:r>
      <w:r>
        <mc:AlternateContent>
          <mc:Choice Requires="wps">
            <w:drawing>
              <wp:anchor behindDoc="0" distT="76200" distB="0" distL="254000" distR="0" simplePos="0" locked="0" layoutInCell="1" allowOverlap="1" relativeHeight="98">
                <wp:simplePos x="0" y="0"/>
                <wp:positionH relativeFrom="column">
                  <wp:align>left</wp:align>
                </wp:positionH>
                <wp:positionV relativeFrom="line">
                  <wp:align>top</wp:align>
                </wp:positionV>
                <wp:extent cx="127000" cy="350520"/>
                <wp:effectExtent l="0" t="0" r="0" b="0"/>
                <wp:wrapSquare wrapText="right"/>
                <wp:docPr id="94" name="Frame9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applicable, the minimum or maximum amount of the warrants that may be exercised at any one time; </w:t>
      </w:r>
      <w:r>
        <mc:AlternateContent>
          <mc:Choice Requires="wps">
            <w:drawing>
              <wp:anchor behindDoc="0" distT="76200" distB="0" distL="254000" distR="0" simplePos="0" locked="0" layoutInCell="1" allowOverlap="1" relativeHeight="99">
                <wp:simplePos x="0" y="0"/>
                <wp:positionH relativeFrom="column">
                  <wp:align>left</wp:align>
                </wp:positionH>
                <wp:positionV relativeFrom="line">
                  <wp:align>top</wp:align>
                </wp:positionV>
                <wp:extent cx="127000" cy="350520"/>
                <wp:effectExtent l="0" t="0" r="0" b="0"/>
                <wp:wrapSquare wrapText="right"/>
                <wp:docPr id="95" name="Frame9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currency or currency units in which the offering price, if any, and the exercise price are payable; </w:t>
      </w:r>
      <w:r>
        <mc:AlternateContent>
          <mc:Choice Requires="wps">
            <w:drawing>
              <wp:anchor behindDoc="0" distT="76200" distB="0" distL="254000" distR="0" simplePos="0" locked="0" layoutInCell="1" allowOverlap="1" relativeHeight="100">
                <wp:simplePos x="0" y="0"/>
                <wp:positionH relativeFrom="column">
                  <wp:align>left</wp:align>
                </wp:positionH>
                <wp:positionV relativeFrom="line">
                  <wp:align>top</wp:align>
                </wp:positionV>
                <wp:extent cx="127000" cy="350520"/>
                <wp:effectExtent l="0" t="0" r="0" b="0"/>
                <wp:wrapSquare wrapText="right"/>
                <wp:docPr id="96" name="Frame9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applicable, a discussion of material United States federal income tax considerations; </w:t>
      </w:r>
      <w:r>
        <mc:AlternateContent>
          <mc:Choice Requires="wps">
            <w:drawing>
              <wp:anchor behindDoc="0" distT="76200" distB="0" distL="254000" distR="0" simplePos="0" locked="0" layoutInCell="1" allowOverlap="1" relativeHeight="101">
                <wp:simplePos x="0" y="0"/>
                <wp:positionH relativeFrom="column">
                  <wp:align>left</wp:align>
                </wp:positionH>
                <wp:positionV relativeFrom="line">
                  <wp:align>top</wp:align>
                </wp:positionV>
                <wp:extent cx="127000" cy="350520"/>
                <wp:effectExtent l="0" t="0" r="0" b="0"/>
                <wp:wrapSquare wrapText="right"/>
                <wp:docPr id="97" name="Frame9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anti-dilution provisions of the warrants, if any; </w:t>
      </w:r>
      <w:r>
        <mc:AlternateContent>
          <mc:Choice Requires="wps">
            <w:drawing>
              <wp:anchor behindDoc="0" distT="0" distB="0" distL="254000" distR="0" simplePos="0" locked="0" layoutInCell="1" allowOverlap="1" relativeHeight="102">
                <wp:simplePos x="0" y="0"/>
                <wp:positionH relativeFrom="column">
                  <wp:align>left</wp:align>
                </wp:positionH>
                <wp:positionV relativeFrom="line">
                  <wp:posOffset>635</wp:posOffset>
                </wp:positionV>
                <wp:extent cx="127000" cy="350520"/>
                <wp:effectExtent l="0" t="0" r="0" b="0"/>
                <wp:wrapSquare wrapText="right"/>
                <wp:docPr id="98" name="Frame9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redemption or call provisions, if any, applicable to the warrants; </w:t>
      </w:r>
      <w:r>
        <mc:AlternateContent>
          <mc:Choice Requires="wps">
            <w:drawing>
              <wp:anchor behindDoc="0" distT="71120" distB="0" distL="254000" distR="0" simplePos="0" locked="0" layoutInCell="1" allowOverlap="1" relativeHeight="103">
                <wp:simplePos x="0" y="0"/>
                <wp:positionH relativeFrom="column">
                  <wp:align>left</wp:align>
                </wp:positionH>
                <wp:positionV relativeFrom="line">
                  <wp:align>top</wp:align>
                </wp:positionV>
                <wp:extent cx="127000" cy="350520"/>
                <wp:effectExtent l="0" t="0" r="0" b="0"/>
                <wp:wrapSquare wrapText="right"/>
                <wp:docPr id="99" name="Frame9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6pt;mso-wrap-distance-bottom:0pt;margin-top:5.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additional terms of the warrants, including terms, procedures and limitations relating to the exchange and exercise of the warrants; and </w:t>
      </w:r>
      <w:r>
        <mc:AlternateContent>
          <mc:Choice Requires="wps">
            <w:drawing>
              <wp:anchor behindDoc="0" distT="71120" distB="0" distL="254000" distR="0" simplePos="0" locked="0" layoutInCell="1" allowOverlap="1" relativeHeight="104">
                <wp:simplePos x="0" y="0"/>
                <wp:positionH relativeFrom="column">
                  <wp:align>left</wp:align>
                </wp:positionH>
                <wp:positionV relativeFrom="line">
                  <wp:align>top</wp:align>
                </wp:positionV>
                <wp:extent cx="127000" cy="350520"/>
                <wp:effectExtent l="0" t="0" r="0" b="0"/>
                <wp:wrapSquare wrapText="right"/>
                <wp:docPr id="100" name="Frame9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6pt;mso-wrap-distance-bottom:0pt;margin-top:5.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other information we think is important about the warrants. </w:t>
      </w:r>
      <w:r>
        <mc:AlternateContent>
          <mc:Choice Requires="wps">
            <w:drawing>
              <wp:anchor behindDoc="0" distT="71120" distB="0" distL="254000" distR="0" simplePos="0" locked="0" layoutInCell="1" allowOverlap="1" relativeHeight="105">
                <wp:simplePos x="0" y="0"/>
                <wp:positionH relativeFrom="column">
                  <wp:align>left</wp:align>
                </wp:positionH>
                <wp:positionV relativeFrom="line">
                  <wp:align>top</wp:align>
                </wp:positionV>
                <wp:extent cx="127000" cy="350520"/>
                <wp:effectExtent l="0" t="0" r="0" b="0"/>
                <wp:wrapSquare wrapText="right"/>
                <wp:docPr id="101" name="Frame10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6pt;mso-wrap-distance-bottom:0pt;margin-top:5.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Debt Warrants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prospectus supplement relating to a particular issue of warrants to issue debt securities will describe the terms of those warrants, including the following: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title of the warrants; </w:t>
      </w:r>
      <w:r>
        <mc:AlternateContent>
          <mc:Choice Requires="wps">
            <w:drawing>
              <wp:anchor behindDoc="0" distT="73660" distB="0" distL="254000" distR="0" simplePos="0" locked="0" layoutInCell="1" allowOverlap="1" relativeHeight="106">
                <wp:simplePos x="0" y="0"/>
                <wp:positionH relativeFrom="column">
                  <wp:align>left</wp:align>
                </wp:positionH>
                <wp:positionV relativeFrom="line">
                  <wp:align>top</wp:align>
                </wp:positionV>
                <wp:extent cx="127000" cy="350520"/>
                <wp:effectExtent l="0" t="0" r="0" b="0"/>
                <wp:wrapSquare wrapText="right"/>
                <wp:docPr id="102" name="Frame10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offering price for the warrants, if any; </w:t>
      </w:r>
      <w:r>
        <mc:AlternateContent>
          <mc:Choice Requires="wps">
            <w:drawing>
              <wp:anchor behindDoc="0" distT="71120" distB="0" distL="254000" distR="0" simplePos="0" locked="0" layoutInCell="1" allowOverlap="1" relativeHeight="107">
                <wp:simplePos x="0" y="0"/>
                <wp:positionH relativeFrom="column">
                  <wp:align>left</wp:align>
                </wp:positionH>
                <wp:positionV relativeFrom="line">
                  <wp:align>top</wp:align>
                </wp:positionV>
                <wp:extent cx="127000" cy="350520"/>
                <wp:effectExtent l="0" t="0" r="0" b="0"/>
                <wp:wrapSquare wrapText="right"/>
                <wp:docPr id="103" name="Frame10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6pt;mso-wrap-distance-bottom:0pt;margin-top:5.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aggregate number of the warrants; </w:t>
      </w:r>
      <w:r>
        <mc:AlternateContent>
          <mc:Choice Requires="wps">
            <w:drawing>
              <wp:anchor behindDoc="0" distT="71120" distB="0" distL="254000" distR="0" simplePos="0" locked="0" layoutInCell="1" allowOverlap="1" relativeHeight="108">
                <wp:simplePos x="0" y="0"/>
                <wp:positionH relativeFrom="column">
                  <wp:align>left</wp:align>
                </wp:positionH>
                <wp:positionV relativeFrom="line">
                  <wp:align>top</wp:align>
                </wp:positionV>
                <wp:extent cx="127000" cy="350520"/>
                <wp:effectExtent l="0" t="0" r="0" b="0"/>
                <wp:wrapSquare wrapText="right"/>
                <wp:docPr id="104" name="Frame10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6pt;mso-wrap-distance-bottom:0pt;margin-top:5.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designation and terms of the debt securities purchasable upon exercise of the warrants; </w:t>
      </w:r>
      <w:r>
        <mc:AlternateContent>
          <mc:Choice Requires="wps">
            <w:drawing>
              <wp:anchor behindDoc="0" distT="71120" distB="0" distL="254000" distR="0" simplePos="0" locked="0" layoutInCell="1" allowOverlap="1" relativeHeight="109">
                <wp:simplePos x="0" y="0"/>
                <wp:positionH relativeFrom="column">
                  <wp:align>left</wp:align>
                </wp:positionH>
                <wp:positionV relativeFrom="line">
                  <wp:align>top</wp:align>
                </wp:positionV>
                <wp:extent cx="127000" cy="350520"/>
                <wp:effectExtent l="0" t="0" r="0" b="0"/>
                <wp:wrapSquare wrapText="right"/>
                <wp:docPr id="105" name="Frame10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6pt;mso-wrap-distance-bottom:0pt;margin-top:5.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terms for changes or adjustments to the exercise price of the warrants; </w:t>
      </w:r>
      <w:r>
        <mc:AlternateContent>
          <mc:Choice Requires="wps">
            <w:drawing>
              <wp:anchor behindDoc="0" distT="71120" distB="0" distL="254000" distR="0" simplePos="0" locked="0" layoutInCell="1" allowOverlap="1" relativeHeight="110">
                <wp:simplePos x="0" y="0"/>
                <wp:positionH relativeFrom="column">
                  <wp:align>left</wp:align>
                </wp:positionH>
                <wp:positionV relativeFrom="line">
                  <wp:align>top</wp:align>
                </wp:positionV>
                <wp:extent cx="127000" cy="350520"/>
                <wp:effectExtent l="0" t="0" r="0" b="0"/>
                <wp:wrapSquare wrapText="right"/>
                <wp:docPr id="106" name="Frame10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6pt;mso-wrap-distance-bottom:0pt;margin-top:5.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applicable, the designation and terms of the debt securities that the warrants are issued with and the number of warrants issued with each debt security; </w:t>
      </w:r>
      <w:r>
        <mc:AlternateContent>
          <mc:Choice Requires="wps">
            <w:drawing>
              <wp:anchor behindDoc="0" distT="71120" distB="0" distL="254000" distR="0" simplePos="0" locked="0" layoutInCell="1" allowOverlap="1" relativeHeight="111">
                <wp:simplePos x="0" y="0"/>
                <wp:positionH relativeFrom="column">
                  <wp:align>left</wp:align>
                </wp:positionH>
                <wp:positionV relativeFrom="line">
                  <wp:align>top</wp:align>
                </wp:positionV>
                <wp:extent cx="127000" cy="350520"/>
                <wp:effectExtent l="0" t="0" r="0" b="0"/>
                <wp:wrapSquare wrapText="right"/>
                <wp:docPr id="107" name="Frame10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6pt;mso-wrap-distance-bottom:0pt;margin-top:5.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applicable, the date from and after which the warrants and any debt securities issued with them will be separately transferable; </w:t>
      </w:r>
      <w:r>
        <mc:AlternateContent>
          <mc:Choice Requires="wps">
            <w:drawing>
              <wp:anchor behindDoc="0" distT="71120" distB="0" distL="254000" distR="0" simplePos="0" locked="0" layoutInCell="1" allowOverlap="1" relativeHeight="112">
                <wp:simplePos x="0" y="0"/>
                <wp:positionH relativeFrom="column">
                  <wp:align>left</wp:align>
                </wp:positionH>
                <wp:positionV relativeFrom="line">
                  <wp:align>top</wp:align>
                </wp:positionV>
                <wp:extent cx="127000" cy="350520"/>
                <wp:effectExtent l="0" t="0" r="0" b="0"/>
                <wp:wrapSquare wrapText="right"/>
                <wp:docPr id="108" name="Frame10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6pt;mso-wrap-distance-bottom:0pt;margin-top:5.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principal amount of debt securities that may be purchased upon exercise of a warrant and the price at which the debt securities may be purchased upon exercise; </w:t>
      </w:r>
      <w:r>
        <mc:AlternateContent>
          <mc:Choice Requires="wps">
            <w:drawing>
              <wp:anchor behindDoc="0" distT="71120" distB="0" distL="254000" distR="0" simplePos="0" locked="0" layoutInCell="1" allowOverlap="1" relativeHeight="113">
                <wp:simplePos x="0" y="0"/>
                <wp:positionH relativeFrom="column">
                  <wp:align>left</wp:align>
                </wp:positionH>
                <wp:positionV relativeFrom="line">
                  <wp:align>top</wp:align>
                </wp:positionV>
                <wp:extent cx="127000" cy="350520"/>
                <wp:effectExtent l="0" t="0" r="0" b="0"/>
                <wp:wrapSquare wrapText="right"/>
                <wp:docPr id="109" name="Frame10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6pt;mso-wrap-distance-bottom:0pt;margin-top:5.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dates on which the right to exercise the warrants will commence and expire; </w:t>
      </w:r>
      <w:r>
        <mc:AlternateContent>
          <mc:Choice Requires="wps">
            <w:drawing>
              <wp:anchor behindDoc="0" distT="71120" distB="0" distL="254000" distR="0" simplePos="0" locked="0" layoutInCell="1" allowOverlap="1" relativeHeight="114">
                <wp:simplePos x="0" y="0"/>
                <wp:positionH relativeFrom="column">
                  <wp:align>left</wp:align>
                </wp:positionH>
                <wp:positionV relativeFrom="line">
                  <wp:align>top</wp:align>
                </wp:positionV>
                <wp:extent cx="127000" cy="350520"/>
                <wp:effectExtent l="0" t="0" r="0" b="0"/>
                <wp:wrapSquare wrapText="right"/>
                <wp:docPr id="110" name="Frame10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6pt;mso-wrap-distance-bottom:0pt;margin-top:5.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applicable, the minimum or maximum amount of the warrants that may be exercised at any one time; </w:t>
      </w:r>
      <w:r>
        <mc:AlternateContent>
          <mc:Choice Requires="wps">
            <w:drawing>
              <wp:anchor behindDoc="0" distT="71120" distB="0" distL="254000" distR="0" simplePos="0" locked="0" layoutInCell="1" allowOverlap="1" relativeHeight="115">
                <wp:simplePos x="0" y="0"/>
                <wp:positionH relativeFrom="column">
                  <wp:align>left</wp:align>
                </wp:positionH>
                <wp:positionV relativeFrom="line">
                  <wp:align>top</wp:align>
                </wp:positionV>
                <wp:extent cx="127000" cy="350520"/>
                <wp:effectExtent l="0" t="0" r="0" b="0"/>
                <wp:wrapSquare wrapText="right"/>
                <wp:docPr id="111" name="Frame1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6pt;mso-wrap-distance-bottom:0pt;margin-top:5.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the warrants represented by the warrant certificates or debt securities that may be issued upon exercise of the warrants will be issued in registered or bearer form; </w:t>
      </w:r>
      <w:r>
        <mc:AlternateContent>
          <mc:Choice Requires="wps">
            <w:drawing>
              <wp:anchor behindDoc="0" distT="71120" distB="0" distL="254000" distR="0" simplePos="0" locked="0" layoutInCell="1" allowOverlap="1" relativeHeight="116">
                <wp:simplePos x="0" y="0"/>
                <wp:positionH relativeFrom="column">
                  <wp:align>left</wp:align>
                </wp:positionH>
                <wp:positionV relativeFrom="line">
                  <wp:align>top</wp:align>
                </wp:positionV>
                <wp:extent cx="127000" cy="350520"/>
                <wp:effectExtent l="0" t="0" r="0" b="0"/>
                <wp:wrapSquare wrapText="right"/>
                <wp:docPr id="112" name="Frame1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6pt;mso-wrap-distance-bottom:0pt;margin-top:5.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information relating to book-entry procedures, if any; </w:t>
      </w:r>
      <w:r>
        <mc:AlternateContent>
          <mc:Choice Requires="wps">
            <w:drawing>
              <wp:anchor behindDoc="0" distT="71120" distB="0" distL="254000" distR="0" simplePos="0" locked="0" layoutInCell="1" allowOverlap="1" relativeHeight="117">
                <wp:simplePos x="0" y="0"/>
                <wp:positionH relativeFrom="column">
                  <wp:align>left</wp:align>
                </wp:positionH>
                <wp:positionV relativeFrom="line">
                  <wp:align>top</wp:align>
                </wp:positionV>
                <wp:extent cx="127000" cy="350520"/>
                <wp:effectExtent l="0" t="0" r="0" b="0"/>
                <wp:wrapSquare wrapText="right"/>
                <wp:docPr id="113" name="Frame1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6pt;mso-wrap-distance-bottom:0pt;margin-top:5.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currency or currency units in which the offering price, if any, and the exercise price are payable; </w:t>
      </w:r>
      <w:r>
        <mc:AlternateContent>
          <mc:Choice Requires="wps">
            <w:drawing>
              <wp:anchor behindDoc="0" distT="71120" distB="0" distL="254000" distR="0" simplePos="0" locked="0" layoutInCell="1" allowOverlap="1" relativeHeight="118">
                <wp:simplePos x="0" y="0"/>
                <wp:positionH relativeFrom="column">
                  <wp:align>left</wp:align>
                </wp:positionH>
                <wp:positionV relativeFrom="line">
                  <wp:align>top</wp:align>
                </wp:positionV>
                <wp:extent cx="127000" cy="350520"/>
                <wp:effectExtent l="0" t="0" r="0" b="0"/>
                <wp:wrapSquare wrapText="right"/>
                <wp:docPr id="114" name="Frame1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6pt;mso-wrap-distance-bottom:0pt;margin-top:5.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applicable, a discussion of material United States federal income tax considerations; </w:t>
      </w:r>
      <w:r>
        <mc:AlternateContent>
          <mc:Choice Requires="wps">
            <w:drawing>
              <wp:anchor behindDoc="0" distT="71120" distB="0" distL="254000" distR="0" simplePos="0" locked="0" layoutInCell="1" allowOverlap="1" relativeHeight="119">
                <wp:simplePos x="0" y="0"/>
                <wp:positionH relativeFrom="column">
                  <wp:align>left</wp:align>
                </wp:positionH>
                <wp:positionV relativeFrom="line">
                  <wp:align>top</wp:align>
                </wp:positionV>
                <wp:extent cx="127000" cy="350520"/>
                <wp:effectExtent l="0" t="0" r="0" b="0"/>
                <wp:wrapSquare wrapText="right"/>
                <wp:docPr id="115" name="Frame1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6pt;mso-wrap-distance-bottom:0pt;margin-top:5.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anti-dilution provisions of the warrants, if any; </w:t>
      </w:r>
      <w:r>
        <mc:AlternateContent>
          <mc:Choice Requires="wps">
            <w:drawing>
              <wp:anchor behindDoc="0" distT="71120" distB="0" distL="254000" distR="0" simplePos="0" locked="0" layoutInCell="1" allowOverlap="1" relativeHeight="120">
                <wp:simplePos x="0" y="0"/>
                <wp:positionH relativeFrom="column">
                  <wp:align>left</wp:align>
                </wp:positionH>
                <wp:positionV relativeFrom="line">
                  <wp:align>top</wp:align>
                </wp:positionV>
                <wp:extent cx="127000" cy="350520"/>
                <wp:effectExtent l="0" t="0" r="0" b="0"/>
                <wp:wrapSquare wrapText="right"/>
                <wp:docPr id="116" name="Frame1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6pt;mso-wrap-distance-bottom:0pt;margin-top:5.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redemption or call provisions, if any, applicable to the warrants; </w:t>
      </w:r>
      <w:r>
        <mc:AlternateContent>
          <mc:Choice Requires="wps">
            <w:drawing>
              <wp:anchor behindDoc="0" distT="71120" distB="0" distL="254000" distR="0" simplePos="0" locked="0" layoutInCell="1" allowOverlap="1" relativeHeight="121">
                <wp:simplePos x="0" y="0"/>
                <wp:positionH relativeFrom="column">
                  <wp:align>left</wp:align>
                </wp:positionH>
                <wp:positionV relativeFrom="line">
                  <wp:align>top</wp:align>
                </wp:positionV>
                <wp:extent cx="127000" cy="350520"/>
                <wp:effectExtent l="0" t="0" r="0" b="0"/>
                <wp:wrapSquare wrapText="right"/>
                <wp:docPr id="117" name="Frame1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6pt;mso-wrap-distance-bottom:0pt;margin-top:5.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additional terms of the warrants, including terms, procedures and limitations relating to the exchange and exercise of the warrants; and </w:t>
      </w:r>
      <w:r>
        <mc:AlternateContent>
          <mc:Choice Requires="wps">
            <w:drawing>
              <wp:anchor behindDoc="0" distT="69850" distB="0" distL="254000" distR="0" simplePos="0" locked="0" layoutInCell="1" allowOverlap="1" relativeHeight="122">
                <wp:simplePos x="0" y="0"/>
                <wp:positionH relativeFrom="column">
                  <wp:align>left</wp:align>
                </wp:positionH>
                <wp:positionV relativeFrom="line">
                  <wp:align>top</wp:align>
                </wp:positionV>
                <wp:extent cx="127000" cy="350520"/>
                <wp:effectExtent l="0" t="0" r="0" b="0"/>
                <wp:wrapSquare wrapText="right"/>
                <wp:docPr id="118" name="Frame1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other information we think is important about the warrants. </w:t>
      </w:r>
      <w:r>
        <mc:AlternateContent>
          <mc:Choice Requires="wps">
            <w:drawing>
              <wp:anchor behindDoc="0" distT="69850" distB="0" distL="254000" distR="0" simplePos="0" locked="0" layoutInCell="1" allowOverlap="1" relativeHeight="123">
                <wp:simplePos x="0" y="0"/>
                <wp:positionH relativeFrom="column">
                  <wp:align>left</wp:align>
                </wp:positionH>
                <wp:positionV relativeFrom="line">
                  <wp:align>top</wp:align>
                </wp:positionV>
                <wp:extent cx="127000" cy="350520"/>
                <wp:effectExtent l="0" t="0" r="0" b="0"/>
                <wp:wrapSquare wrapText="right"/>
                <wp:docPr id="119" name="Frame1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Exercise of Warrants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warrant will entitle the holder of the warrant to purchase at the exercise price set forth in the applicable prospectus supplement the number of shares of common stock, shares of preferred stock or the principal amount of debt securities being offered. Holders may exercise warrants at any time up to the close of business on the expiration date set forth in the applicable prospectus supplement. After the close of business on the expiration date, unexercised warrants are void. Holders may exercise warrants as set forth in the prospectus supplement relating to the warrants being offered.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Until a holder exercises the warrants to purchase our shares of common stock, shares of preferred stock or debt securities, the holder will not have any rights as a holder of our shares of common stock, shares of preferred stock or debt securities, as the case may be, by virtue of ownership of warrants.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 w:name="tDOU"/>
      <w:bookmarkEnd w:id="11"/>
      <w:r>
        <w:rPr>
          <w:rFonts w:ascii="calibri;arial;sans-serif" w:hAnsi="calibri;arial;sans-serif"/>
          <w:b w:val="false"/>
          <w:i w:val="false"/>
          <w:caps w:val="false"/>
          <w:smallCaps w:val="false"/>
          <w:color w:val="000000"/>
          <w:sz w:val="16"/>
        </w:rPr>
        <w:t>​</w:t>
      </w:r>
      <w:bookmarkStart w:id="12" w:name="tFOS"/>
      <w:bookmarkEnd w:id="1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UNITS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issue, in one or more series, units consisting of common stock, preferred stock, or warrants for the purchase of common stock or preferred stock in any combination. We urge you to read the applicable prospectus supplement and any free writing prospectus that we may authorize to be provided to you related to the series of units being offered, as well as the complete unit agreement that contains the terms of the units. We will incorporate by reference from reports that we file with the SEC, the form of unit agreement and any supplemental agreements that describe the terms of the series of units we are offering before the issuance of the related series of units.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Units may be issued under a unit agreement that we enter into with a unit agent. We will indicate the name and address of the unit agent, if applicable, in the prospectus supplement relating to the particular series of units being offered.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applicable prospectus supplement may describe: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designation and terms of the units and of the securities composing the units, including whether and under what circumstances those securities may be held or transferred separately; </w:t>
      </w:r>
      <w:r>
        <mc:AlternateContent>
          <mc:Choice Requires="wps">
            <w:drawing>
              <wp:anchor behindDoc="0" distT="73660" distB="0" distL="254000" distR="0" simplePos="0" locked="0" layoutInCell="1" allowOverlap="1" relativeHeight="124">
                <wp:simplePos x="0" y="0"/>
                <wp:positionH relativeFrom="column">
                  <wp:align>left</wp:align>
                </wp:positionH>
                <wp:positionV relativeFrom="line">
                  <wp:align>top</wp:align>
                </wp:positionV>
                <wp:extent cx="127000" cy="350520"/>
                <wp:effectExtent l="0" t="0" r="0" b="0"/>
                <wp:wrapSquare wrapText="right"/>
                <wp:docPr id="120" name="Frame1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provisions for the issuance, payment, settlement, transfer or exchange of the units or of the securities composing the units; and </w:t>
      </w:r>
      <w:r>
        <mc:AlternateContent>
          <mc:Choice Requires="wps">
            <w:drawing>
              <wp:anchor behindDoc="0" distT="73660" distB="0" distL="254000" distR="0" simplePos="0" locked="0" layoutInCell="1" allowOverlap="1" relativeHeight="125">
                <wp:simplePos x="0" y="0"/>
                <wp:positionH relativeFrom="column">
                  <wp:align>left</wp:align>
                </wp:positionH>
                <wp:positionV relativeFrom="line">
                  <wp:align>top</wp:align>
                </wp:positionV>
                <wp:extent cx="127000" cy="350520"/>
                <wp:effectExtent l="0" t="0" r="0" b="0"/>
                <wp:wrapSquare wrapText="right"/>
                <wp:docPr id="121" name="Frame1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the units will be issued in fully registered or global form. </w:t>
      </w:r>
      <w:r>
        <mc:AlternateContent>
          <mc:Choice Requires="wps">
            <w:drawing>
              <wp:anchor behindDoc="0" distT="73660" distB="0" distL="254000" distR="0" simplePos="0" locked="0" layoutInCell="1" allowOverlap="1" relativeHeight="126">
                <wp:simplePos x="0" y="0"/>
                <wp:positionH relativeFrom="column">
                  <wp:align>left</wp:align>
                </wp:positionH>
                <wp:positionV relativeFrom="line">
                  <wp:align>top</wp:align>
                </wp:positionV>
                <wp:extent cx="127000" cy="350520"/>
                <wp:effectExtent l="0" t="0" r="0" b="0"/>
                <wp:wrapSquare wrapText="right"/>
                <wp:docPr id="122" name="Frame1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FORMS OF SECURITIES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debt security, warrant and unit will be represented either by a certificate issued in definitive form to a particular investor or by one or more global securities representing the entire issuance of securities. Unless the applicable prospectus supplement provides otherwise, certificated securities in definitive form and global securities will be issued in registered form. Definitive securities name you or your nominee as the owner of the security, and in order to transfer or exchange these securities or to receive payments other than interest or other interim payments, you or your nominee must physically deliver the securities to the trustee, registrar, paying agent or other agent, as applicable. Global securities name a depositary or its nominee as the owner of the debt securities, warrants or units represented by these global securities. The depositary maintains a computerized system that will reflect each investor’s beneficial ownership of the securities through an account maintained by the investor with its broker/dealer, bank, trust company or other representative, as we explain more fully below.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Global Securities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issue the debt securities of a particular series, depositary shares, subscription right, units and warrants in the form of one or more fully registered global securities that will be deposited with a depositary or its nominee identified in the applicable prospectus supplement and registered in the name of that depositary or nominee. In those cases, one or more global securities will be issued in a denomination or aggregate denominations equal to the portion of the aggregate principal or face amount of the securities to be represented by global securities. Unless and until it is exchanged in whole for securities in definitive registered form, a global security may not be transferred except as a whole by and among the depositary for the global security, the nominees of the depositary or any successors of the depositary or those nominees.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not described below, any specific terms of the depositary arrangement with respect to any securities to be represented by a global security will be described in the prospectus supplement relating to those securities. We anticipate that the following provisions will apply to all depositary arrangements.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Ownership of beneficial interests in a global security will be limited to persons, called participants, that have accounts with the depositary or persons that may hold interests through participants. Upon the issuance of a global security, the depositary will credit, on its book-entry registration and transfer system, the participants’ accounts with the respective principal or face amounts of the securities beneficially owned by the participants. Any dealers, underwriters or agents participating in the distribution of the securities will designate the accounts to be credited. Ownership of beneficial interests in a global security will be shown on, and the transfer of ownership interests will be effected only through, records maintained by the depositary,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64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respect to interests of participants, and on the records of participants, with respect to interests of persons holding through participants. The laws of some states may require that some purchasers of securities take physical delivery of these securities in definitive form. These laws may impair your ability to own, transfer or pledge beneficial interests in global securities.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So long as the depositary, or its nominee, is the registered owner of a global security, that depositary or its nominee, as the case may be, will be considered the sole owner or holder of the securities represented by the global security for all purposes under the applicable indenture, deposit agreement, subscription rights agreement, warrant agreement or unit agreement. Except as described below, owners of beneficial interests in a global security will not be entitled to have the securities represented by the global security registered in their names, will not receive or be entitled to receive physical delivery of the securities in definitive form and will not be considered the owners or holders of the securities under the applicable indenture, purchase unit agreement or warrant agreement. Accordingly, each person owning a beneficial interest in a global security must rely on the procedures of the depositary for that global security and, if that person is not a participant, on the procedures of the participant through which the person owns its interest, to exercise any rights of a holder under the applicable indenture, deposit agreement, subscription rights agreement, unit agreement or warrant agreement. We understand that under existing industry practices, if we request any action of holders or if an owner of a beneficial interest in a global security desires to give or take any action that a holder is entitled to give or take under the applicable indenture, unit agreement or warrant agreement, the depositary for the global security would authorize the participants holding the relevant beneficial interests to give or take that action, and the participants would authorize beneficial owners owning through them to give or take that action or would otherwise act upon the instructions of beneficial owners holding through them.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Principal, premium, if any, and interest payments on debt securities, and any payments to holders with respect to warrants, purchase agreements or units, represented by a global security registered in the name of a depositary or its nominee will be made to the depositary or its nominee, as the case may be, as the registered owner of the global security. None of us, or any trustee, warrant agent, unit agent or other agent of ours, or any agent of any trustee, warrant agent or unit agent will have any responsibility or liability for any aspect of the records relating to payments made on account of beneficial ownership interests in the global security or for maintaining, supervising or reviewing any records relating to those beneficial ownership interests.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expect that the depositary for any of the securities represented by a global security, upon receipt of any payment to holders of principal, premium, interest or other distribution of underlying securities or other property on that registered global security, will immediately credit participants’ accounts in amounts proportionate to their respective beneficial interests in that global security as shown on the records of the depositary. We also expect that payments by participants to owners of beneficial interests in a global security held through participants will be governed by standing customer instructions and customary practices, as is now the case with the securities held for the accounts of customers or registered in “street name,” and will be the responsibility of those participants.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If the depositary for any of the securities represented by a global security is at any time unwilling or unable to continue as depositary or ceases to be a clearing agency registered under the Exchange Act, and a successor depositary registered as a clearing agency under the Exchange Act is not appointed by us within 90 days, we will issue securities in definitive form in exchange for the global security that had been held by the depositary. Any securities issued in definitive form in exchange for a global security will be registered in the name or names that the depositary gives to the relevant trustee, warrant agent, unit agent or other relevant agent of ours or theirs. It is expected that the depositary’s instructions will be based upon directions received by the depositary from participants with respect to ownership of beneficial interests in the global security that had been held by the depositary.</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3" w:name="tPOD"/>
      <w:bookmarkEnd w:id="1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PLAN OF DISTRIBUTION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sell the securities offered through this prospectus: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through underwriters; </w:t>
      </w:r>
      <w:r>
        <mc:AlternateContent>
          <mc:Choice Requires="wps">
            <w:drawing>
              <wp:anchor behindDoc="0" distT="77470" distB="0" distL="254000" distR="0" simplePos="0" locked="0" layoutInCell="1" allowOverlap="1" relativeHeight="127">
                <wp:simplePos x="0" y="0"/>
                <wp:positionH relativeFrom="column">
                  <wp:align>left</wp:align>
                </wp:positionH>
                <wp:positionV relativeFrom="line">
                  <wp:align>top</wp:align>
                </wp:positionV>
                <wp:extent cx="127000" cy="350520"/>
                <wp:effectExtent l="0" t="0" r="0" b="0"/>
                <wp:wrapSquare wrapText="right"/>
                <wp:docPr id="123" name="Frame1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through dealers; </w:t>
      </w:r>
      <w:r>
        <mc:AlternateContent>
          <mc:Choice Requires="wps">
            <w:drawing>
              <wp:anchor behindDoc="0" distT="77470" distB="0" distL="254000" distR="0" simplePos="0" locked="0" layoutInCell="1" allowOverlap="1" relativeHeight="128">
                <wp:simplePos x="0" y="0"/>
                <wp:positionH relativeFrom="column">
                  <wp:align>left</wp:align>
                </wp:positionH>
                <wp:positionV relativeFrom="line">
                  <wp:align>top</wp:align>
                </wp:positionV>
                <wp:extent cx="127000" cy="350520"/>
                <wp:effectExtent l="0" t="0" r="0" b="0"/>
                <wp:wrapSquare wrapText="right"/>
                <wp:docPr id="124" name="Frame1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through agents; </w:t>
      </w:r>
      <w:r>
        <mc:AlternateContent>
          <mc:Choice Requires="wps">
            <w:drawing>
              <wp:anchor behindDoc="0" distT="77470" distB="0" distL="254000" distR="0" simplePos="0" locked="0" layoutInCell="1" allowOverlap="1" relativeHeight="129">
                <wp:simplePos x="0" y="0"/>
                <wp:positionH relativeFrom="column">
                  <wp:align>left</wp:align>
                </wp:positionH>
                <wp:positionV relativeFrom="line">
                  <wp:align>top</wp:align>
                </wp:positionV>
                <wp:extent cx="127000" cy="350520"/>
                <wp:effectExtent l="0" t="0" r="0" b="0"/>
                <wp:wrapSquare wrapText="right"/>
                <wp:docPr id="125" name="Frame1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directly to purchasers; </w:t>
      </w:r>
      <w:r>
        <mc:AlternateContent>
          <mc:Choice Requires="wps">
            <w:drawing>
              <wp:anchor behindDoc="0" distT="77470" distB="0" distL="254000" distR="0" simplePos="0" locked="0" layoutInCell="1" allowOverlap="1" relativeHeight="130">
                <wp:simplePos x="0" y="0"/>
                <wp:positionH relativeFrom="column">
                  <wp:align>left</wp:align>
                </wp:positionH>
                <wp:positionV relativeFrom="line">
                  <wp:align>top</wp:align>
                </wp:positionV>
                <wp:extent cx="127000" cy="350520"/>
                <wp:effectExtent l="0" t="0" r="0" b="0"/>
                <wp:wrapSquare wrapText="right"/>
                <wp:docPr id="126" name="Frame1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an “at the market offering,” within the meaning of Rule 415(a)(4) of the Securities Act; </w:t>
      </w:r>
      <w:r>
        <mc:AlternateContent>
          <mc:Choice Requires="wps">
            <w:drawing>
              <wp:anchor behindDoc="0" distT="77470" distB="0" distL="254000" distR="0" simplePos="0" locked="0" layoutInCell="1" allowOverlap="1" relativeHeight="131">
                <wp:simplePos x="0" y="0"/>
                <wp:positionH relativeFrom="column">
                  <wp:align>left</wp:align>
                </wp:positionH>
                <wp:positionV relativeFrom="line">
                  <wp:align>top</wp:align>
                </wp:positionV>
                <wp:extent cx="127000" cy="350520"/>
                <wp:effectExtent l="0" t="0" r="0" b="0"/>
                <wp:wrapSquare wrapText="right"/>
                <wp:docPr id="127" name="Frame1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negotiated transactions; </w:t>
      </w:r>
      <w:r>
        <mc:AlternateContent>
          <mc:Choice Requires="wps">
            <w:drawing>
              <wp:anchor behindDoc="0" distT="77470" distB="0" distL="254000" distR="0" simplePos="0" locked="0" layoutInCell="1" allowOverlap="1" relativeHeight="132">
                <wp:simplePos x="0" y="0"/>
                <wp:positionH relativeFrom="column">
                  <wp:align>left</wp:align>
                </wp:positionH>
                <wp:positionV relativeFrom="line">
                  <wp:align>top</wp:align>
                </wp:positionV>
                <wp:extent cx="127000" cy="350520"/>
                <wp:effectExtent l="0" t="0" r="0" b="0"/>
                <wp:wrapSquare wrapText="right"/>
                <wp:docPr id="128" name="Frame1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block trades; or </w:t>
      </w:r>
      <w:r>
        <mc:AlternateContent>
          <mc:Choice Requires="wps">
            <w:drawing>
              <wp:anchor behindDoc="0" distT="77470" distB="0" distL="254000" distR="0" simplePos="0" locked="0" layoutInCell="1" allowOverlap="1" relativeHeight="133">
                <wp:simplePos x="0" y="0"/>
                <wp:positionH relativeFrom="column">
                  <wp:align>left</wp:align>
                </wp:positionH>
                <wp:positionV relativeFrom="line">
                  <wp:align>top</wp:align>
                </wp:positionV>
                <wp:extent cx="127000" cy="350520"/>
                <wp:effectExtent l="0" t="0" r="0" b="0"/>
                <wp:wrapSquare wrapText="right"/>
                <wp:docPr id="129" name="Frame1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through a combination of any of these methods or any other method permitted by law. </w:t>
      </w:r>
      <w:r>
        <mc:AlternateContent>
          <mc:Choice Requires="wps">
            <w:drawing>
              <wp:anchor behindDoc="0" distT="77470" distB="0" distL="254000" distR="0" simplePos="0" locked="0" layoutInCell="1" allowOverlap="1" relativeHeight="134">
                <wp:simplePos x="0" y="0"/>
                <wp:positionH relativeFrom="column">
                  <wp:align>left</wp:align>
                </wp:positionH>
                <wp:positionV relativeFrom="line">
                  <wp:align>top</wp:align>
                </wp:positionV>
                <wp:extent cx="127000" cy="350520"/>
                <wp:effectExtent l="0" t="0" r="0" b="0"/>
                <wp:wrapSquare wrapText="right"/>
                <wp:docPr id="130" name="Frame1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we may issue the securities as a dividend or distribution to our existing security holders. We may directly solicit offers to purchase securities, or agents may be designated to solicit such offers.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prospectus supplement relating to such offering, we will name any agent that could be viewed as an underwriter under the Securities Act and describe any commissions that we must pay to any such agent. Any such agent will be acting on a best efforts basis for the period of its appointment or, if indicated in the applicable prospectus supplement, on a firm commitment basis. This prospectus may be used in connection with any offering of our securities through any of these methods or other methods described in the applicable prospectus supplement.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distribution of the securities may be effected from time to time in one or more transactions: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a fixed price, or prices, which may be changed from time to time; </w:t>
      </w:r>
      <w:r>
        <mc:AlternateContent>
          <mc:Choice Requires="wps">
            <w:drawing>
              <wp:anchor behindDoc="0" distT="77470" distB="0" distL="254000" distR="0" simplePos="0" locked="0" layoutInCell="1" allowOverlap="1" relativeHeight="135">
                <wp:simplePos x="0" y="0"/>
                <wp:positionH relativeFrom="column">
                  <wp:align>left</wp:align>
                </wp:positionH>
                <wp:positionV relativeFrom="line">
                  <wp:align>top</wp:align>
                </wp:positionV>
                <wp:extent cx="127000" cy="350520"/>
                <wp:effectExtent l="0" t="0" r="0" b="0"/>
                <wp:wrapSquare wrapText="right"/>
                <wp:docPr id="131" name="Frame1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market prices prevailing at the time of sale; </w:t>
      </w:r>
      <w:r>
        <mc:AlternateContent>
          <mc:Choice Requires="wps">
            <w:drawing>
              <wp:anchor behindDoc="0" distT="77470" distB="0" distL="254000" distR="0" simplePos="0" locked="0" layoutInCell="1" allowOverlap="1" relativeHeight="136">
                <wp:simplePos x="0" y="0"/>
                <wp:positionH relativeFrom="column">
                  <wp:align>left</wp:align>
                </wp:positionH>
                <wp:positionV relativeFrom="line">
                  <wp:align>top</wp:align>
                </wp:positionV>
                <wp:extent cx="127000" cy="350520"/>
                <wp:effectExtent l="0" t="0" r="0" b="0"/>
                <wp:wrapSquare wrapText="right"/>
                <wp:docPr id="132" name="Frame1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prices related to such prevailing market prices; or </w:t>
      </w:r>
      <w:r>
        <mc:AlternateContent>
          <mc:Choice Requires="wps">
            <w:drawing>
              <wp:anchor behindDoc="0" distT="77470" distB="0" distL="254000" distR="0" simplePos="0" locked="0" layoutInCell="1" allowOverlap="1" relativeHeight="137">
                <wp:simplePos x="0" y="0"/>
                <wp:positionH relativeFrom="column">
                  <wp:align>left</wp:align>
                </wp:positionH>
                <wp:positionV relativeFrom="line">
                  <wp:align>top</wp:align>
                </wp:positionV>
                <wp:extent cx="127000" cy="350520"/>
                <wp:effectExtent l="0" t="0" r="0" b="0"/>
                <wp:wrapSquare wrapText="right"/>
                <wp:docPr id="133" name="Frame1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negotiated prices. </w:t>
      </w:r>
      <w:r>
        <mc:AlternateContent>
          <mc:Choice Requires="wps">
            <w:drawing>
              <wp:anchor behindDoc="0" distT="77470" distB="0" distL="254000" distR="0" simplePos="0" locked="0" layoutInCell="1" allowOverlap="1" relativeHeight="138">
                <wp:simplePos x="0" y="0"/>
                <wp:positionH relativeFrom="column">
                  <wp:align>left</wp:align>
                </wp:positionH>
                <wp:positionV relativeFrom="line">
                  <wp:align>top</wp:align>
                </wp:positionV>
                <wp:extent cx="127000" cy="350520"/>
                <wp:effectExtent l="0" t="0" r="0" b="0"/>
                <wp:wrapSquare wrapText="right"/>
                <wp:docPr id="134" name="Frame1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prospectus supplement will describe the method of distribution of the securities and any applicable restrictions. The prospectus supplement with respect to the securities of a particular series will describe the terms of the offering of the securities, including the following: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a fixed price, or prices, which may be changed from time to time; </w:t>
      </w:r>
      <w:r>
        <mc:AlternateContent>
          <mc:Choice Requires="wps">
            <w:drawing>
              <wp:anchor behindDoc="0" distT="77470" distB="0" distL="254000" distR="0" simplePos="0" locked="0" layoutInCell="1" allowOverlap="1" relativeHeight="139">
                <wp:simplePos x="0" y="0"/>
                <wp:positionH relativeFrom="column">
                  <wp:align>left</wp:align>
                </wp:positionH>
                <wp:positionV relativeFrom="line">
                  <wp:align>top</wp:align>
                </wp:positionV>
                <wp:extent cx="127000" cy="350520"/>
                <wp:effectExtent l="0" t="0" r="0" b="0"/>
                <wp:wrapSquare wrapText="right"/>
                <wp:docPr id="135" name="Frame1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name of the agent or any underwriters; </w:t>
      </w:r>
      <w:r>
        <mc:AlternateContent>
          <mc:Choice Requires="wps">
            <w:drawing>
              <wp:anchor behindDoc="0" distT="77470" distB="0" distL="254000" distR="0" simplePos="0" locked="0" layoutInCell="1" allowOverlap="1" relativeHeight="140">
                <wp:simplePos x="0" y="0"/>
                <wp:positionH relativeFrom="column">
                  <wp:align>left</wp:align>
                </wp:positionH>
                <wp:positionV relativeFrom="line">
                  <wp:align>top</wp:align>
                </wp:positionV>
                <wp:extent cx="127000" cy="350520"/>
                <wp:effectExtent l="0" t="0" r="0" b="0"/>
                <wp:wrapSquare wrapText="right"/>
                <wp:docPr id="136" name="Frame1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public offering or purchase price; </w:t>
      </w:r>
      <w:r>
        <mc:AlternateContent>
          <mc:Choice Requires="wps">
            <w:drawing>
              <wp:anchor behindDoc="0" distT="77470" distB="0" distL="254000" distR="0" simplePos="0" locked="0" layoutInCell="1" allowOverlap="1" relativeHeight="141">
                <wp:simplePos x="0" y="0"/>
                <wp:positionH relativeFrom="column">
                  <wp:align>left</wp:align>
                </wp:positionH>
                <wp:positionV relativeFrom="line">
                  <wp:align>top</wp:align>
                </wp:positionV>
                <wp:extent cx="127000" cy="350520"/>
                <wp:effectExtent l="0" t="0" r="0" b="0"/>
                <wp:wrapSquare wrapText="right"/>
                <wp:docPr id="137" name="Frame1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discounts and commissions to be allowed or paid to the agent or underwriters; </w:t>
      </w:r>
      <w:r>
        <mc:AlternateContent>
          <mc:Choice Requires="wps">
            <w:drawing>
              <wp:anchor behindDoc="0" distT="77470" distB="0" distL="254000" distR="0" simplePos="0" locked="0" layoutInCell="1" allowOverlap="1" relativeHeight="142">
                <wp:simplePos x="0" y="0"/>
                <wp:positionH relativeFrom="column">
                  <wp:align>left</wp:align>
                </wp:positionH>
                <wp:positionV relativeFrom="line">
                  <wp:align>top</wp:align>
                </wp:positionV>
                <wp:extent cx="127000" cy="350520"/>
                <wp:effectExtent l="0" t="0" r="0" b="0"/>
                <wp:wrapSquare wrapText="right"/>
                <wp:docPr id="138" name="Frame1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other items constituting underwriting compensation; </w:t>
      </w:r>
      <w:r>
        <mc:AlternateContent>
          <mc:Choice Requires="wps">
            <w:drawing>
              <wp:anchor behindDoc="0" distT="77470" distB="0" distL="254000" distR="0" simplePos="0" locked="0" layoutInCell="1" allowOverlap="1" relativeHeight="143">
                <wp:simplePos x="0" y="0"/>
                <wp:positionH relativeFrom="column">
                  <wp:align>left</wp:align>
                </wp:positionH>
                <wp:positionV relativeFrom="line">
                  <wp:align>top</wp:align>
                </wp:positionV>
                <wp:extent cx="127000" cy="350520"/>
                <wp:effectExtent l="0" t="0" r="0" b="0"/>
                <wp:wrapSquare wrapText="right"/>
                <wp:docPr id="139" name="Frame1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discounts and commissions to be allowed or paid to dealers; and </w:t>
      </w:r>
      <w:r>
        <mc:AlternateContent>
          <mc:Choice Requires="wps">
            <w:drawing>
              <wp:anchor behindDoc="0" distT="77470" distB="0" distL="254000" distR="0" simplePos="0" locked="0" layoutInCell="1" allowOverlap="1" relativeHeight="144">
                <wp:simplePos x="0" y="0"/>
                <wp:positionH relativeFrom="column">
                  <wp:align>left</wp:align>
                </wp:positionH>
                <wp:positionV relativeFrom="line">
                  <wp:align>top</wp:align>
                </wp:positionV>
                <wp:extent cx="127000" cy="350520"/>
                <wp:effectExtent l="0" t="0" r="0" b="0"/>
                <wp:wrapSquare wrapText="right"/>
                <wp:docPr id="140" name="Frame1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exchanges on which the securities will be listed. </w:t>
      </w:r>
      <w:r>
        <mc:AlternateContent>
          <mc:Choice Requires="wps">
            <w:drawing>
              <wp:anchor behindDoc="0" distT="76200" distB="0" distL="254000" distR="0" simplePos="0" locked="0" layoutInCell="1" allowOverlap="1" relativeHeight="145">
                <wp:simplePos x="0" y="0"/>
                <wp:positionH relativeFrom="column">
                  <wp:align>left</wp:align>
                </wp:positionH>
                <wp:positionV relativeFrom="line">
                  <wp:align>top</wp:align>
                </wp:positionV>
                <wp:extent cx="127000" cy="350520"/>
                <wp:effectExtent l="0" t="0" r="0" b="0"/>
                <wp:wrapSquare wrapText="right"/>
                <wp:docPr id="141" name="Frame1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any underwriters or agents are used in the sale of the securities in respect of which this prospectus is delivered, we will enter into an underwriting agreement, sales agreement or other agreement with them at the time of sale to them, and we will set forth in the prospectus supplement relating to such offering the names of the underwriters or agents and the terms of the related agreement with them.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the offering of securities, we may grant to the underwriters an option to purchase additional securities with an additional underwriting commission, as may be set forth in any accompanying prospectus supplement. If we grant any such option, the terms of such option will be set forth in the prospectus supplement for such securities.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 dealer is used in the sale of the securities in respect of which the prospectus is delivered, we will sell such securities to the dealer, as principal. The dealer, who may be deemed to be an “underwriter” as that term is defined in the Securities Act, may then resell such securities to the public at varying prices to be determined by such dealer at the time of resale.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Agents, underwriters, dealers and other persons may be entitled under agreements which they may enter into with us to indemnification by us against certain civil liabilities, including liabilities under the Securities Act, and may be customers of, engage in transactions with or perform services for us in the ordinary course of business.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so indicated in the applicable prospectus supplement, we will authorize underwriters or other persons acting as our agents to solicit offers by certain institutions to purchase securities from us pursuant to delayed delivery contracts providing for payment and delivery on the date stated in the prospectus supplement. Each contract will be for an amount not less than, and the aggregate amount of securities sold pursuant to such contracts shall not be less nor more than, the respective amounts stated in the prospectus supplement. Institutions with whom the contracts, when authorized, may be made include commercial and savings banks, insurance companies, pension funds, investment companies, educational and charitable institutions and other institutions, but shall in all cases be subject to our approval. Delayed delivery contracts will not be subject to any conditions except that: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purchase by an institution of the securities covered under that contract shall not at the time of delivery be prohibited under the laws of the jurisdiction to which that institution is subject; and </w:t>
      </w:r>
      <w:r>
        <mc:AlternateContent>
          <mc:Choice Requires="wps">
            <w:drawing>
              <wp:anchor behindDoc="0" distT="73660" distB="0" distL="254000" distR="0" simplePos="0" locked="0" layoutInCell="1" allowOverlap="1" relativeHeight="146">
                <wp:simplePos x="0" y="0"/>
                <wp:positionH relativeFrom="column">
                  <wp:align>left</wp:align>
                </wp:positionH>
                <wp:positionV relativeFrom="line">
                  <wp:align>top</wp:align>
                </wp:positionV>
                <wp:extent cx="127000" cy="350520"/>
                <wp:effectExtent l="0" t="0" r="0" b="0"/>
                <wp:wrapSquare wrapText="right"/>
                <wp:docPr id="142" name="Frame1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securities are also being sold to underwriters acting as principals for their own account, the underwriters shall have purchased such securities not sold for delayed delivery. The underwriters and other persons acting as our agents will not have any responsibility in respect of the validity or performance of delayed delivery contracts. </w:t>
      </w:r>
      <w:r>
        <mc:AlternateContent>
          <mc:Choice Requires="wps">
            <w:drawing>
              <wp:anchor behindDoc="0" distT="73660" distB="0" distL="254000" distR="0" simplePos="0" locked="0" layoutInCell="1" allowOverlap="1" relativeHeight="147">
                <wp:simplePos x="0" y="0"/>
                <wp:positionH relativeFrom="column">
                  <wp:align>left</wp:align>
                </wp:positionH>
                <wp:positionV relativeFrom="line">
                  <wp:align>top</wp:align>
                </wp:positionV>
                <wp:extent cx="127000" cy="350520"/>
                <wp:effectExtent l="0" t="0" r="0" b="0"/>
                <wp:wrapSquare wrapText="right"/>
                <wp:docPr id="143" name="Frame1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Offered securities may also be offered and sold, if so indicated in the prospectus supplement, in connection with a remarketing upon their purchase, in accordance with a redemption or repayment pursuant to their terms, or otherwise, by one or more remarketing firms, acting as principals for their own accounts or as agents for us. Any remarketing firm will be identified and the terms of its agreement, if any, with us and its compensation will be described in the applicable prospectus supplement. Remarketing firms may be deemed to be underwriters in connection with their remarketing of offered securities.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agents, underwriters and dealers, and their associates and affiliates, may be customers of, have borrowing relationships with, engage in other transactions with, or perform services, including investment banking services, for us or one or more of our respective affiliates in the ordinary course of business.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order to facilitate the offering of the securities, any underwriters may engage in transactions that stabilize, maintain or otherwise affect the price of the securities or any other securities the prices of which may be used to determine payments on such securities. Specifically, any underwriters may overallot in connection with the offering, creating a short position for their own accounts. In addition, to cover overallotments or to stabilize the price of the securities or of any such other securities, the underwriters may bid for, and purchase, the securities or any such other securities in the open market. Finally, in any offering of the securities through a syndicate of underwriters,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Any such underwriters are not required to engage in these activities and may end any of these activities at any time.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engage in at the market offerings into an existing trading market in accordance with Rule 415(a)(4) under the Securities Act. In addition, we may enter into derivative transactions with third parties, or sell securities not covered by this prospectus to third parties in privately negotiated transactions. If the applicable prospectus supplement so indicates, in 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related open borrowings of stock, and may use securities received from us in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488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settlement of those derivatives to close out any related open borrowings of stock. The third party in such sale transactions will be an underwriter and, if not identified in this prospectus, will be named in the applicable prospectus supplement (or a post-effective amendment). In addition, we may otherwise loan or pledge securities to a financial institution or other third party that in turn may sell the securities short using this prospectus and an applicable prospectus supplement. Such financial institution or other third party may transfer its economic short position to investors in our securities or in connection with a concurrent offering of other securities.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Rule 15c6-1 of the Exchange Act, trades in the secondary market generally are required to settle in one business day, unless the parties to any such trade expressly agree otherwise. The applicable prospectus supplement may provide that the original issue date for your securities may be more than two scheduled business days after the trade date for your securities. Accordingly, in such a case, if you wish to trade securities on any date prior to the second business day before the original issue date for your securities, you will be required, by virtue of the fact that your securities initially are expected to settle in more than two scheduled business days after the trade date for your securities, to make alternative settlement arrangements to prevent a failed settlement.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securities may be new issues of securities and may have no established trading market. The securities may or may not be listed on a national securities exchange. We can make no assurance as to the liquidity of or the existence of trading markets for any of the securities.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compliance with the guidelines of the Financial Industry Regulatory Authority, Inc., or FINRA, the aggregate maximum discount, commission or agency fees or other items constituting underwriting compensation to be received by any FINRA member or independent broker-dealer will not exceed 8% of the proceeds from any offering pursuant to this prospectus and any applicable prospectus supplement.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specific terms of any lock-up provisions in respect of any given offering will be described in the applicable prospectus supplement.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underwriters, dealers and agents may engage in transactions with us, or perform services for us, in the ordinary course of business for which they receive compensation.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anticipated date of delivery of offered securities will be set forth in the applicable prospectus supplement relating to each offer.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4" w:name="tLEMA"/>
      <w:bookmarkEnd w:id="14"/>
      <w:r>
        <w:rPr>
          <w:rFonts w:ascii="calibri;arial;sans-serif" w:hAnsi="calibri;arial;sans-serif"/>
          <w:b w:val="false"/>
          <w:i w:val="false"/>
          <w:caps w:val="false"/>
          <w:smallCaps w:val="false"/>
          <w:color w:val="000000"/>
          <w:sz w:val="16"/>
        </w:rPr>
        <w:t>​</w:t>
      </w:r>
      <w:bookmarkStart w:id="15" w:name="tEXP"/>
      <w:bookmarkEnd w:id="15"/>
      <w:r>
        <w:rPr>
          <w:rFonts w:ascii="calibri;arial;sans-serif" w:hAnsi="calibri;arial;sans-serif"/>
          <w:b w:val="false"/>
          <w:i w:val="false"/>
          <w:caps w:val="false"/>
          <w:smallCaps w:val="false"/>
          <w:color w:val="000000"/>
          <w:sz w:val="16"/>
        </w:rPr>
        <w:t>​</w:t>
      </w:r>
      <w:bookmarkStart w:id="16" w:name="tWYCF"/>
      <w:bookmarkEnd w:id="1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568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LEGAL MATTERS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validity of the securities offered hereby and other legal matters will be passed upon for us by Morgan, Lewis &amp; Bockius LLP, New York, New York. Additional legal matters may be passed upon by us or any underwriters, dealers or agents, by counsel that we will name in the applicable prospectus supplement.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EXPERTS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 xml:space="preserve">The financial statements incorporated in this Prospectus by reference to the </w:t>
      </w:r>
      <w:hyperlink r:id="rId6">
        <w:r>
          <w:rPr>
            <w:rStyle w:val="InternetLink"/>
          </w:rPr>
          <w:t>Annual Report on Form 10-K for the year ended March 31, 2026</w:t>
        </w:r>
      </w:hyperlink>
      <w:r>
        <w:rPr>
          <w:rFonts w:ascii="Times New Roman;Times;serif" w:hAnsi="Times New Roman;Times;serif"/>
          <w:b w:val="false"/>
          <w:i w:val="false"/>
          <w:caps w:val="false"/>
          <w:smallCaps w:val="false"/>
          <w:color w:val="000000"/>
          <w:spacing w:val="4"/>
          <w:sz w:val="20"/>
        </w:rPr>
        <w:t xml:space="preserve"> have been so incorporated in reliance on the report (which contains an explanatory paragraph relating to the Company’s ability to continue as a going concern as described in Note 1 to the financial statements) of PricewaterhouseCoopers LLP, an independent registered public accounting firm, given on the authority of said firm as experts in auditing and accounting.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WHERE YOU CAN FIND MORE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subject to the information requirements of the Exchange Act, and in accordance with the Exchange Act, file annual, quarterly and special reports, proxy statements and other information with the SEC. These documents may be accessed through the SEC’s electronic data gathering, analysis and retrieval system, or EDGAR, via electronic means, including the SEC’s home page on the Internet (www.sec.gov). Our corporate website address is www.replimune.com. Information contained on or accessible through our website is not a part of this prospectus, and the inclusion of our website address in this prospectus is an inactive textual reference only.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is part of a shelf registration statement on Form S-3 we filed with the SEC under the Securities Act and does not contain all the information set forth in the registration statement. Whenever a reference is made in this prospectus to any of our contracts, agreements or other documents, the reference may not be complete and you should refer to the exhibits that are a part of the registration statement or the exhibits to the reports or other documents incorporated by reference into this prospectus for a copy of such contract, agreement or other document.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7" w:name="tIOCI"/>
      <w:bookmarkEnd w:id="1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INCORPORATION OF CERTAIN INFORMATION BY REFERENCE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SEC allows us to incorporate by reference into this prospectus the information contained in documents that we file with them, which means that we can disclose important information to you by referring you to those documents. The information incorporated by reference is considered to be part of this prospectus. Information in this prospectus supersedes information incorporated by reference that we filed with the SEC before the date of this prospectus, while information that we file later with the SEC will automatically update and supersede prior information. Any information so updated and superseded shall not be deemed, except as so updated and superseded, to constitute a part of this prospectus. We incorporate by reference the documents listed below and any future filings we will make with the SEC under Sections 13(a), 13(c), 14 or 15(d) of the Exchange Act, after the date of the initial registration statement and prior to the effectiveness of the registration statement, and prior to the termination of the offering. Notwithstanding the foregoing, unless specifically stated to the contrary, none of the information that is not deemed “filed” with the SEC, including information furnished under Items 2.02 or 7.01 of any Current Report on Form 8-K, will be incorporated by reference into, or otherwise included in, this prospectus: </w:t>
      </w:r>
    </w:p>
    <w:p>
      <w:pPr>
        <w:pStyle w:val="TextBody"/>
        <w:bidi w:val="0"/>
        <w:spacing w:lineRule="atLeast" w:line="240" w:before="160" w:after="0"/>
        <w:ind w:left="2193" w:right="0" w:hanging="0"/>
        <w:jc w:val="left"/>
        <w:rPr/>
      </w:pPr>
      <w:r>
        <w:rPr>
          <w:rFonts w:ascii="Times New Roman;Times;serif" w:hAnsi="Times New Roman;Times;serif"/>
          <w:b w:val="false"/>
          <w:i w:val="false"/>
          <w:caps w:val="false"/>
          <w:smallCaps w:val="false"/>
          <w:color w:val="000000"/>
          <w:spacing w:val="4"/>
          <w:sz w:val="20"/>
        </w:rPr>
        <w:t xml:space="preserve">our Annual Report on </w:t>
      </w:r>
      <w:hyperlink r:id="rId7">
        <w:r>
          <w:rPr>
            <w:rStyle w:val="InternetLink"/>
          </w:rPr>
          <w:t>Form 10-K</w:t>
        </w:r>
      </w:hyperlink>
      <w:r>
        <w:rPr>
          <w:rFonts w:ascii="Times New Roman;Times;serif" w:hAnsi="Times New Roman;Times;serif"/>
          <w:b w:val="false"/>
          <w:i w:val="false"/>
          <w:caps w:val="false"/>
          <w:smallCaps w:val="false"/>
          <w:color w:val="000000"/>
          <w:spacing w:val="4"/>
          <w:sz w:val="20"/>
        </w:rPr>
        <w:t xml:space="preserve"> for the fiscal year ended March 31, 2026, filed with the SEC on June 29, 2026; </w:t>
      </w:r>
      <w:r>
        <mc:AlternateContent>
          <mc:Choice Requires="wps">
            <w:drawing>
              <wp:anchor behindDoc="0" distT="101600" distB="0" distL="254000" distR="0" simplePos="0" locked="0" layoutInCell="1" allowOverlap="1" relativeHeight="148">
                <wp:simplePos x="0" y="0"/>
                <wp:positionH relativeFrom="column">
                  <wp:align>left</wp:align>
                </wp:positionH>
                <wp:positionV relativeFrom="line">
                  <wp:align>top</wp:align>
                </wp:positionV>
                <wp:extent cx="254000" cy="350520"/>
                <wp:effectExtent l="0" t="0" r="0" b="0"/>
                <wp:wrapSquare wrapText="right"/>
                <wp:docPr id="144" name="Frame14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pPr>
      <w:hyperlink r:id="rId8">
        <w:r>
          <w:rPr>
            <w:rStyle w:val="InternetLink"/>
          </w:rPr>
          <w:t>our Quarterly Report on Form 10-Q for the quarter ended June 30, 2026, filed with the SEC on August 14, 2026;</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101600" distB="0" distL="254000" distR="0" simplePos="0" locked="0" layoutInCell="1" allowOverlap="1" relativeHeight="149">
                <wp:simplePos x="0" y="0"/>
                <wp:positionH relativeFrom="column">
                  <wp:align>left</wp:align>
                </wp:positionH>
                <wp:positionV relativeFrom="line">
                  <wp:align>top</wp:align>
                </wp:positionV>
                <wp:extent cx="254000" cy="350520"/>
                <wp:effectExtent l="0" t="0" r="0" b="0"/>
                <wp:wrapSquare wrapText="right"/>
                <wp:docPr id="145" name="Frame14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pPr>
      <w:r>
        <w:rPr>
          <w:rFonts w:ascii="Times New Roman;Times;serif" w:hAnsi="Times New Roman;Times;serif"/>
          <w:b w:val="false"/>
          <w:i w:val="false"/>
          <w:caps w:val="false"/>
          <w:smallCaps w:val="false"/>
          <w:color w:val="000000"/>
          <w:spacing w:val="4"/>
          <w:sz w:val="20"/>
        </w:rPr>
        <w:t xml:space="preserve">the portions of our </w:t>
      </w:r>
      <w:hyperlink r:id="rId9">
        <w:r>
          <w:rPr>
            <w:rStyle w:val="InternetLink"/>
          </w:rPr>
          <w:t>Definitive Proxy Statement on Schedule 14A filed with the SEC on July 29, 2026</w:t>
        </w:r>
      </w:hyperlink>
      <w:r>
        <w:rPr>
          <w:rFonts w:ascii="Times New Roman;Times;serif" w:hAnsi="Times New Roman;Times;serif"/>
          <w:b w:val="false"/>
          <w:i w:val="false"/>
          <w:caps w:val="false"/>
          <w:smallCaps w:val="false"/>
          <w:color w:val="000000"/>
          <w:spacing w:val="4"/>
          <w:sz w:val="20"/>
        </w:rPr>
        <w:t xml:space="preserve"> that are specifically incorporated by reference into our Annual Report on Form 10-K for the fiscal year ended March 31, 2026; </w:t>
      </w:r>
      <w:r>
        <mc:AlternateContent>
          <mc:Choice Requires="wps">
            <w:drawing>
              <wp:anchor behindDoc="0" distT="101600" distB="0" distL="254000" distR="0" simplePos="0" locked="0" layoutInCell="1" allowOverlap="1" relativeHeight="150">
                <wp:simplePos x="0" y="0"/>
                <wp:positionH relativeFrom="column">
                  <wp:align>left</wp:align>
                </wp:positionH>
                <wp:positionV relativeFrom="line">
                  <wp:align>top</wp:align>
                </wp:positionV>
                <wp:extent cx="254000" cy="350520"/>
                <wp:effectExtent l="0" t="0" r="0" b="0"/>
                <wp:wrapSquare wrapText="right"/>
                <wp:docPr id="146" name="Frame14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pPr>
      <w:r>
        <w:rPr>
          <w:rFonts w:ascii="Times New Roman;Times;serif" w:hAnsi="Times New Roman;Times;serif"/>
          <w:b w:val="false"/>
          <w:i w:val="false"/>
          <w:caps w:val="false"/>
          <w:smallCaps w:val="false"/>
          <w:color w:val="000000"/>
          <w:spacing w:val="4"/>
          <w:sz w:val="20"/>
        </w:rPr>
        <w:t xml:space="preserve">our Current Reports on Form 8-K and 8-K/A filed with the SEC on </w:t>
      </w:r>
      <w:hyperlink r:id="rId10">
        <w:r>
          <w:rPr>
            <w:rStyle w:val="InternetLink"/>
          </w:rPr>
          <w:t>April 13, 2026</w:t>
        </w:r>
      </w:hyperlink>
      <w:r>
        <w:rPr>
          <w:rFonts w:ascii="Times New Roman;Times;serif" w:hAnsi="Times New Roman;Times;serif"/>
          <w:b w:val="false"/>
          <w:i w:val="false"/>
          <w:caps w:val="false"/>
          <w:smallCaps w:val="false"/>
          <w:color w:val="000000"/>
          <w:spacing w:val="4"/>
          <w:sz w:val="20"/>
        </w:rPr>
        <w:t xml:space="preserve"> (only with respect to Item 8.01), </w:t>
      </w:r>
      <w:hyperlink r:id="rId11">
        <w:r>
          <w:rPr>
            <w:rStyle w:val="InternetLink"/>
          </w:rPr>
          <w:t>July 31, 2026</w:t>
        </w:r>
      </w:hyperlink>
      <w:r>
        <w:rPr>
          <w:rFonts w:ascii="Times New Roman;Times;serif" w:hAnsi="Times New Roman;Times;serif"/>
          <w:b w:val="false"/>
          <w:i w:val="false"/>
          <w:caps w:val="false"/>
          <w:smallCaps w:val="false"/>
          <w:color w:val="000000"/>
          <w:spacing w:val="4"/>
          <w:sz w:val="20"/>
        </w:rPr>
        <w:t xml:space="preserve"> (only with respect to Item 8.01), </w:t>
      </w:r>
      <w:hyperlink r:id="rId12">
        <w:r>
          <w:rPr>
            <w:rStyle w:val="InternetLink"/>
          </w:rPr>
          <w:t>August </w:t>
        </w:r>
      </w:hyperlink>
      <w:hyperlink r:id="rId13">
        <w:r>
          <w:rPr>
            <w:rStyle w:val="InternetLink"/>
          </w:rPr>
          <w:t>7, 2026</w:t>
        </w:r>
      </w:hyperlink>
      <w:r>
        <w:rPr>
          <w:rFonts w:ascii="Times New Roman;Times;serif" w:hAnsi="Times New Roman;Times;serif"/>
          <w:b w:val="false"/>
          <w:i w:val="false"/>
          <w:caps w:val="false"/>
          <w:smallCaps w:val="false"/>
          <w:color w:val="000000"/>
          <w:spacing w:val="4"/>
          <w:sz w:val="20"/>
        </w:rPr>
        <w:t xml:space="preserve">, </w:t>
      </w:r>
      <w:hyperlink r:id="rId14">
        <w:r>
          <w:rPr>
            <w:rStyle w:val="InternetLink"/>
          </w:rPr>
          <w:t>August 10, 2026</w:t>
        </w:r>
      </w:hyperlink>
      <w:r>
        <w:rPr>
          <w:rFonts w:ascii="Times New Roman;Times;serif" w:hAnsi="Times New Roman;Times;serif"/>
          <w:b w:val="false"/>
          <w:i w:val="false"/>
          <w:caps w:val="false"/>
          <w:smallCaps w:val="false"/>
          <w:color w:val="000000"/>
          <w:spacing w:val="4"/>
          <w:sz w:val="20"/>
        </w:rPr>
        <w:t xml:space="preserve"> and </w:t>
      </w:r>
      <w:hyperlink r:id="rId15">
        <w:r>
          <w:rPr>
            <w:rStyle w:val="InternetLink"/>
          </w:rPr>
          <w:t>August 11, 2026</w:t>
        </w:r>
      </w:hyperlink>
      <w:r>
        <w:rPr>
          <w:rFonts w:ascii="Times New Roman;Times;serif" w:hAnsi="Times New Roman;Times;serif"/>
          <w:b w:val="false"/>
          <w:i w:val="false"/>
          <w:caps w:val="false"/>
          <w:smallCaps w:val="false"/>
          <w:color w:val="000000"/>
          <w:spacing w:val="4"/>
          <w:sz w:val="20"/>
        </w:rPr>
        <w:t xml:space="preserve">; and </w:t>
      </w:r>
      <w:r>
        <mc:AlternateContent>
          <mc:Choice Requires="wps">
            <w:drawing>
              <wp:anchor behindDoc="0" distT="101600" distB="0" distL="254000" distR="0" simplePos="0" locked="0" layoutInCell="1" allowOverlap="1" relativeHeight="151">
                <wp:simplePos x="0" y="0"/>
                <wp:positionH relativeFrom="column">
                  <wp:align>left</wp:align>
                </wp:positionH>
                <wp:positionV relativeFrom="line">
                  <wp:align>top</wp:align>
                </wp:positionV>
                <wp:extent cx="254000" cy="350520"/>
                <wp:effectExtent l="0" t="0" r="0" b="0"/>
                <wp:wrapSquare wrapText="right"/>
                <wp:docPr id="147" name="Frame14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pPr>
      <w:r>
        <w:rPr>
          <w:rFonts w:ascii="Times New Roman;Times;serif" w:hAnsi="Times New Roman;Times;serif"/>
          <w:b w:val="false"/>
          <w:i w:val="false"/>
          <w:caps w:val="false"/>
          <w:smallCaps w:val="false"/>
          <w:color w:val="000000"/>
          <w:spacing w:val="4"/>
          <w:sz w:val="20"/>
        </w:rPr>
        <w:t xml:space="preserve">our description of our common stock contained in the registration statement on </w:t>
      </w:r>
      <w:hyperlink r:id="rId16">
        <w:r>
          <w:rPr>
            <w:rStyle w:val="InternetLink"/>
          </w:rPr>
          <w:t>Form 8-A, filed on July 17, 2018</w:t>
        </w:r>
      </w:hyperlink>
      <w:r>
        <w:rPr>
          <w:rFonts w:ascii="Times New Roman;Times;serif" w:hAnsi="Times New Roman;Times;serif"/>
          <w:b w:val="false"/>
          <w:i w:val="false"/>
          <w:caps w:val="false"/>
          <w:smallCaps w:val="false"/>
          <w:color w:val="000000"/>
          <w:spacing w:val="4"/>
          <w:sz w:val="20"/>
        </w:rPr>
        <w:t xml:space="preserve">, as updated by </w:t>
      </w:r>
      <w:hyperlink r:id="rId17">
        <w:r>
          <w:rPr>
            <w:rStyle w:val="InternetLink"/>
          </w:rPr>
          <w:t>Exhibit 4.3</w:t>
        </w:r>
      </w:hyperlink>
      <w:r>
        <w:rPr>
          <w:rFonts w:ascii="Times New Roman;Times;serif" w:hAnsi="Times New Roman;Times;serif"/>
          <w:b w:val="false"/>
          <w:i w:val="false"/>
          <w:caps w:val="false"/>
          <w:smallCaps w:val="false"/>
          <w:color w:val="000000"/>
          <w:spacing w:val="4"/>
          <w:sz w:val="20"/>
        </w:rPr>
        <w:t xml:space="preserve"> to our Annual Report on Form 10-K for the fiscal year ended March 31, 2026, and all amendments and reports updating such description. </w:t>
      </w:r>
      <w:r>
        <mc:AlternateContent>
          <mc:Choice Requires="wps">
            <w:drawing>
              <wp:anchor behindDoc="0" distT="101600" distB="0" distL="254000" distR="0" simplePos="0" locked="0" layoutInCell="1" allowOverlap="1" relativeHeight="152">
                <wp:simplePos x="0" y="0"/>
                <wp:positionH relativeFrom="column">
                  <wp:align>left</wp:align>
                </wp:positionH>
                <wp:positionV relativeFrom="line">
                  <wp:align>top</wp:align>
                </wp:positionV>
                <wp:extent cx="254000" cy="350520"/>
                <wp:effectExtent l="0" t="0" r="0" b="0"/>
                <wp:wrapSquare wrapText="right"/>
                <wp:docPr id="148" name="Frame14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make available, free of charge, through our website at www.replimune.com under “Investors &amp; Media” our Annual Reports on Form 10-K, Quarterly Reports on Form 10-Q, Current Reports on Form 8-K, Proxy Statements for our annual meetings of stockholders, and amendments to those reports filed or furnished pursuant to Section 13(a), 13(c), 14 or 15(d) of the Exchange Act as soon as reasonably practicable after we electronically file such material with, or furnish it to, the SEC. The information contained on or accessible through our website is not included as a part of, or incorporated by reference into, this prospectus. In addition, the SEC maintains an Internet website that contains reports, proxy and information statements, and other information that we file with the SEC at www.sec.gov. You may also obtain, free of charge, a copy of any of these documents (other than exhibits to these documents unless the exhibits are specifically incorporated by reference into these documents or referred to in this prospectus) by writing or calling us at the following address and telephone number: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Replimune Group, Inc.</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Attention: Investor Relations</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500 Unicorn Park Drive, Suite 303</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Woburn, MA 01801</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 xml:space="preserve">+1 (781) 222-9600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You should rely only on the information incorporated by reference or provided in this prospectus. We have not authorized anyone to provide you with different information. We are not making an offer of these securities in any state where the offer is not permitted. You should not assume that the information in this prospectus or in the documents incorporated by reference is accurate as of any date other than the date on the front of this prospectus or those documents.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PART II. INFORMATION NOT REQUIRED IN PROSPECTUS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Item 14.   Other Expenses of Issuance and Distribution.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sets forth an estimate of the costs and expenses payable by us in connection with the offering described in this registration statement. All of the amounts shown are estimates except the SEC registration fee: </w:t>
      </w:r>
    </w:p>
    <w:tbl>
      <w:tblPr>
        <w:tblW w:w="6053" w:type="dxa"/>
        <w:jc w:val="left"/>
        <w:tblInd w:w="1393" w:type="dxa"/>
        <w:tblLayout w:type="fixed"/>
        <w:tblCellMar>
          <w:top w:w="0" w:type="dxa"/>
          <w:left w:w="0" w:type="dxa"/>
          <w:bottom w:w="0" w:type="dxa"/>
          <w:right w:w="0" w:type="dxa"/>
        </w:tblCellMar>
      </w:tblPr>
      <w:tblGrid>
        <w:gridCol w:w="124"/>
        <w:gridCol w:w="4062"/>
        <w:gridCol w:w="109"/>
        <w:gridCol w:w="109"/>
        <w:gridCol w:w="109"/>
        <w:gridCol w:w="226"/>
        <w:gridCol w:w="1051"/>
        <w:gridCol w:w="109"/>
        <w:gridCol w:w="154"/>
      </w:tblGrid>
      <w:tr>
        <w:trPr/>
        <w:tc>
          <w:tcPr>
            <w:tcW w:w="124" w:type="dxa"/>
            <w:tcBorders/>
            <w:shd w:fill="CCEEFF" w:val="clear"/>
            <w:vAlign w:val="center"/>
          </w:tcPr>
          <w:p>
            <w:pPr>
              <w:pStyle w:val="TableContents"/>
              <w:bidi w:val="0"/>
              <w:spacing w:before="0" w:after="283"/>
              <w:jc w:val="left"/>
              <w:rPr/>
            </w:pPr>
            <w:r>
              <w:rPr/>
              <w:t>​</w:t>
            </w:r>
          </w:p>
        </w:tc>
        <w:tc>
          <w:tcPr>
            <w:tcW w:w="4062" w:type="dxa"/>
            <w:tcBorders/>
            <w:shd w:fill="CCEEFF" w:val="clear"/>
            <w:vAlign w:val="center"/>
          </w:tcPr>
          <w:p>
            <w:pPr>
              <w:pStyle w:val="TableContents"/>
              <w:bidi w:val="0"/>
              <w:spacing w:before="0" w:after="0"/>
              <w:jc w:val="left"/>
              <w:rPr>
                <w:spacing w:val="4"/>
              </w:rPr>
            </w:pPr>
            <w:r>
              <w:rPr>
                <w:spacing w:val="4"/>
              </w:rPr>
              <w:t xml:space="preserve">SEC registration fee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26" w:type="dxa"/>
            <w:tcBorders/>
            <w:shd w:fill="CCEEFF" w:val="clear"/>
            <w:vAlign w:val="center"/>
          </w:tcPr>
          <w:p>
            <w:pPr>
              <w:pStyle w:val="TableContents"/>
              <w:bidi w:val="0"/>
              <w:spacing w:before="0" w:after="283"/>
              <w:jc w:val="right"/>
              <w:rPr/>
            </w:pPr>
            <w:r>
              <w:rPr/>
              <w:t>$</w:t>
            </w:r>
          </w:p>
        </w:tc>
        <w:tc>
          <w:tcPr>
            <w:tcW w:w="1051" w:type="dxa"/>
            <w:tcBorders/>
            <w:shd w:fill="CCEEFF" w:val="clear"/>
            <w:vAlign w:val="center"/>
          </w:tcPr>
          <w:p>
            <w:pPr>
              <w:pStyle w:val="TableContents"/>
              <w:bidi w:val="0"/>
              <w:spacing w:before="0" w:after="283"/>
              <w:jc w:val="right"/>
              <w:rPr/>
            </w:pPr>
            <w:r>
              <w:rPr/>
              <w:t>      </w:t>
            </w:r>
            <w:r>
              <w:rPr>
                <w:sz w:val="13"/>
              </w:rPr>
              <w:t>(1)</w:t>
            </w:r>
            <w:r>
              <w:rPr/>
              <w:t xml:space="preserve"> </w:t>
            </w:r>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062" w:type="dxa"/>
            <w:tcBorders/>
            <w:vAlign w:val="center"/>
          </w:tcPr>
          <w:p>
            <w:pPr>
              <w:pStyle w:val="TableContents"/>
              <w:bidi w:val="0"/>
              <w:spacing w:before="0" w:after="0"/>
              <w:jc w:val="left"/>
              <w:rPr>
                <w:spacing w:val="4"/>
              </w:rPr>
            </w:pPr>
            <w:r>
              <w:rPr>
                <w:spacing w:val="4"/>
              </w:rPr>
              <w:t xml:space="preserve">Legal fees and expenses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051" w:type="dxa"/>
            <w:tcBorders/>
            <w:vAlign w:val="center"/>
          </w:tcPr>
          <w:p>
            <w:pPr>
              <w:pStyle w:val="TableContents"/>
              <w:bidi w:val="0"/>
              <w:spacing w:before="0" w:after="283"/>
              <w:jc w:val="right"/>
              <w:rPr/>
            </w:pPr>
            <w:r>
              <w:rPr/>
              <w:t>​</w:t>
            </w:r>
            <w:r>
              <w:rPr>
                <w:sz w:val="13"/>
              </w:rPr>
              <w:t>(2)</w:t>
            </w:r>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4062" w:type="dxa"/>
            <w:tcBorders/>
            <w:shd w:fill="CCEEFF" w:val="clear"/>
            <w:vAlign w:val="center"/>
          </w:tcPr>
          <w:p>
            <w:pPr>
              <w:pStyle w:val="TableContents"/>
              <w:bidi w:val="0"/>
              <w:spacing w:before="0" w:after="0"/>
              <w:jc w:val="left"/>
              <w:rPr>
                <w:spacing w:val="4"/>
              </w:rPr>
            </w:pPr>
            <w:r>
              <w:rPr>
                <w:spacing w:val="4"/>
              </w:rPr>
              <w:t xml:space="preserve">Accounting fees and expenses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26" w:type="dxa"/>
            <w:tcBorders/>
            <w:shd w:fill="CCEEFF" w:val="clear"/>
            <w:vAlign w:val="center"/>
          </w:tcPr>
          <w:p>
            <w:pPr>
              <w:pStyle w:val="TableContents"/>
              <w:bidi w:val="0"/>
              <w:spacing w:before="0" w:after="283"/>
              <w:jc w:val="right"/>
              <w:rPr/>
            </w:pPr>
            <w:r>
              <w:rPr/>
              <w:t>$</w:t>
            </w:r>
          </w:p>
        </w:tc>
        <w:tc>
          <w:tcPr>
            <w:tcW w:w="1051" w:type="dxa"/>
            <w:tcBorders/>
            <w:shd w:fill="CCEEFF" w:val="clear"/>
            <w:vAlign w:val="center"/>
          </w:tcPr>
          <w:p>
            <w:pPr>
              <w:pStyle w:val="TableContents"/>
              <w:bidi w:val="0"/>
              <w:spacing w:before="0" w:after="283"/>
              <w:jc w:val="right"/>
              <w:rPr/>
            </w:pPr>
            <w:r>
              <w:rPr/>
              <w:t>​</w:t>
            </w:r>
            <w:r>
              <w:rPr>
                <w:sz w:val="13"/>
              </w:rPr>
              <w:t>(2)</w:t>
            </w:r>
            <w:r>
              <w:rPr/>
              <w:t xml:space="preserve"> </w:t>
            </w:r>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062" w:type="dxa"/>
            <w:tcBorders/>
            <w:vAlign w:val="center"/>
          </w:tcPr>
          <w:p>
            <w:pPr>
              <w:pStyle w:val="TableContents"/>
              <w:bidi w:val="0"/>
              <w:spacing w:before="0" w:after="0"/>
              <w:jc w:val="left"/>
              <w:rPr>
                <w:spacing w:val="4"/>
              </w:rPr>
            </w:pPr>
            <w:r>
              <w:rPr>
                <w:spacing w:val="4"/>
              </w:rPr>
              <w:t xml:space="preserve">Printing expenses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051" w:type="dxa"/>
            <w:tcBorders/>
            <w:vAlign w:val="center"/>
          </w:tcPr>
          <w:p>
            <w:pPr>
              <w:pStyle w:val="TableContents"/>
              <w:bidi w:val="0"/>
              <w:spacing w:before="0" w:after="283"/>
              <w:jc w:val="right"/>
              <w:rPr/>
            </w:pPr>
            <w:r>
              <w:rPr/>
              <w:t>​</w:t>
            </w:r>
            <w:r>
              <w:rPr>
                <w:sz w:val="13"/>
              </w:rPr>
              <w:t>(2)</w:t>
            </w:r>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4062" w:type="dxa"/>
            <w:tcBorders/>
            <w:shd w:fill="CCEEFF" w:val="clear"/>
            <w:vAlign w:val="center"/>
          </w:tcPr>
          <w:p>
            <w:pPr>
              <w:pStyle w:val="TableContents"/>
              <w:bidi w:val="0"/>
              <w:spacing w:before="0" w:after="0"/>
              <w:jc w:val="left"/>
              <w:rPr>
                <w:spacing w:val="4"/>
              </w:rPr>
            </w:pPr>
            <w:r>
              <w:rPr>
                <w:spacing w:val="4"/>
              </w:rPr>
              <w:t xml:space="preserve">Transfer and registrar fees and expenses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26" w:type="dxa"/>
            <w:tcBorders/>
            <w:shd w:fill="CCEEFF" w:val="clear"/>
            <w:vAlign w:val="center"/>
          </w:tcPr>
          <w:p>
            <w:pPr>
              <w:pStyle w:val="TableContents"/>
              <w:bidi w:val="0"/>
              <w:spacing w:before="0" w:after="283"/>
              <w:jc w:val="right"/>
              <w:rPr/>
            </w:pPr>
            <w:r>
              <w:rPr/>
              <w:t>$</w:t>
            </w:r>
          </w:p>
        </w:tc>
        <w:tc>
          <w:tcPr>
            <w:tcW w:w="1051" w:type="dxa"/>
            <w:tcBorders/>
            <w:shd w:fill="CCEEFF" w:val="clear"/>
            <w:vAlign w:val="center"/>
          </w:tcPr>
          <w:p>
            <w:pPr>
              <w:pStyle w:val="TableContents"/>
              <w:bidi w:val="0"/>
              <w:spacing w:before="0" w:after="283"/>
              <w:jc w:val="right"/>
              <w:rPr/>
            </w:pPr>
            <w:r>
              <w:rPr/>
              <w:t>​</w:t>
            </w:r>
            <w:r>
              <w:rPr>
                <w:sz w:val="13"/>
              </w:rPr>
              <w:t>(2)</w:t>
            </w:r>
            <w:r>
              <w:rPr/>
              <w:t xml:space="preserve"> </w:t>
            </w:r>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062" w:type="dxa"/>
            <w:tcBorders/>
            <w:vAlign w:val="center"/>
          </w:tcPr>
          <w:p>
            <w:pPr>
              <w:pStyle w:val="TableContents"/>
              <w:bidi w:val="0"/>
              <w:spacing w:before="0" w:after="0"/>
              <w:jc w:val="left"/>
              <w:rPr>
                <w:spacing w:val="4"/>
              </w:rPr>
            </w:pPr>
            <w:r>
              <w:rPr>
                <w:spacing w:val="4"/>
              </w:rPr>
              <w:t xml:space="preserve">Miscellaneous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051" w:type="dxa"/>
            <w:tcBorders/>
            <w:vAlign w:val="center"/>
          </w:tcPr>
          <w:p>
            <w:pPr>
              <w:pStyle w:val="TableContents"/>
              <w:bidi w:val="0"/>
              <w:spacing w:before="0" w:after="283"/>
              <w:jc w:val="right"/>
              <w:rPr/>
            </w:pPr>
            <w:r>
              <w:rPr/>
              <w:t>​</w:t>
            </w:r>
            <w:r>
              <w:rPr>
                <w:sz w:val="13"/>
              </w:rPr>
              <w:t>(2)</w:t>
            </w:r>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4062" w:type="dxa"/>
            <w:tcBorders/>
            <w:shd w:fill="CCEEFF" w:val="clear"/>
            <w:vAlign w:val="center"/>
          </w:tcPr>
          <w:p>
            <w:pPr>
              <w:pStyle w:val="TableContents"/>
              <w:bidi w:val="0"/>
              <w:spacing w:before="0" w:after="0"/>
              <w:jc w:val="left"/>
              <w:rPr>
                <w:spacing w:val="4"/>
              </w:rPr>
            </w:pPr>
            <w:r>
              <w:rPr>
                <w:spacing w:val="4"/>
              </w:rPr>
              <w:t xml:space="preserve">Total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26" w:type="dxa"/>
            <w:tcBorders/>
            <w:shd w:fill="CCEEFF" w:val="clear"/>
            <w:vAlign w:val="center"/>
          </w:tcPr>
          <w:p>
            <w:pPr>
              <w:pStyle w:val="TableContents"/>
              <w:bidi w:val="0"/>
              <w:spacing w:before="0" w:after="283"/>
              <w:jc w:val="right"/>
              <w:rPr/>
            </w:pPr>
            <w:r>
              <w:rPr/>
              <w:t>$</w:t>
            </w:r>
          </w:p>
        </w:tc>
        <w:tc>
          <w:tcPr>
            <w:tcW w:w="1051" w:type="dxa"/>
            <w:tcBorders/>
            <w:shd w:fill="CCEEFF" w:val="clear"/>
            <w:vAlign w:val="center"/>
          </w:tcPr>
          <w:p>
            <w:pPr>
              <w:pStyle w:val="TableContents"/>
              <w:bidi w:val="0"/>
              <w:spacing w:before="0" w:after="283"/>
              <w:jc w:val="right"/>
              <w:rPr/>
            </w:pPr>
            <w:r>
              <w:rPr/>
              <w:t>​</w:t>
            </w:r>
            <w:r>
              <w:rPr>
                <w:sz w:val="13"/>
              </w:rPr>
              <w:t>(2)</w:t>
            </w:r>
            <w:r>
              <w:rPr/>
              <w:t xml:space="preserve"> </w:t>
            </w:r>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6"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Rules 456(b) and 457(r) under the Securities Act, the SEC registration fee will be paid at the time of any particular offering of securities under the registration statement. </w:t>
      </w:r>
      <w:r>
        <mc:AlternateContent>
          <mc:Choice Requires="wps">
            <w:drawing>
              <wp:anchor behindDoc="0" distT="105410" distB="0" distL="0" distR="0" simplePos="0" locked="0" layoutInCell="1" allowOverlap="1" relativeHeight="153">
                <wp:simplePos x="0" y="0"/>
                <wp:positionH relativeFrom="column">
                  <wp:align>left</wp:align>
                </wp:positionH>
                <wp:positionV relativeFrom="line">
                  <wp:align>top</wp:align>
                </wp:positionV>
                <wp:extent cx="254000" cy="350520"/>
                <wp:effectExtent l="0" t="0" r="0" b="0"/>
                <wp:wrapSquare wrapText="right"/>
                <wp:docPr id="149" name="Frame14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3pt;mso-wrap-distance-bottom:0pt;margin-top:8.3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6"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These fees and expenses are calculated based on the securities offered and the number of issuances and accordingly cannot be estimated at this time. </w:t>
      </w:r>
      <w:r>
        <mc:AlternateContent>
          <mc:Choice Requires="wps">
            <w:drawing>
              <wp:anchor behindDoc="0" distT="54610" distB="0" distL="0" distR="0" simplePos="0" locked="0" layoutInCell="1" allowOverlap="1" relativeHeight="154">
                <wp:simplePos x="0" y="0"/>
                <wp:positionH relativeFrom="column">
                  <wp:align>left</wp:align>
                </wp:positionH>
                <wp:positionV relativeFrom="line">
                  <wp:align>top</wp:align>
                </wp:positionV>
                <wp:extent cx="254000" cy="350520"/>
                <wp:effectExtent l="0" t="0" r="0" b="0"/>
                <wp:wrapSquare wrapText="right"/>
                <wp:docPr id="150" name="Frame14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3pt;mso-wrap-distance-bottom:0pt;margin-top:4.3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Item 15.   Indemnification of Directors and Officers.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Section 145 of the Delaware General Corporation Law authorizes a corporation’s board of directors to grant, and authorizes a court to award, indemnity to officers, directors, and other corporate agents.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permitted by Delaware law, our Certificate of Incorporation provides that, to the fullest extent permitted by Delaware law, no director will be personally liable to us or our stockholders for monetary damages for breach of fiduciary duty as a director. Pursuant to Delaware law such protection would be not available for liability: </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any breach of a duty of loyalty to us or our stockholders; </w:t>
      </w:r>
      <w:r>
        <mc:AlternateContent>
          <mc:Choice Requires="wps">
            <w:drawing>
              <wp:anchor behindDoc="0" distT="80010" distB="0" distL="254000" distR="0" simplePos="0" locked="0" layoutInCell="1" allowOverlap="1" relativeHeight="155">
                <wp:simplePos x="0" y="0"/>
                <wp:positionH relativeFrom="column">
                  <wp:align>left</wp:align>
                </wp:positionH>
                <wp:positionV relativeFrom="line">
                  <wp:align>top</wp:align>
                </wp:positionV>
                <wp:extent cx="127000" cy="350520"/>
                <wp:effectExtent l="0" t="0" r="0" b="0"/>
                <wp:wrapSquare wrapText="right"/>
                <wp:docPr id="151" name="Frame1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acts or omissions not in good faith or that involve intentional misconduct or a knowing violation of law; </w:t>
      </w:r>
      <w:r>
        <mc:AlternateContent>
          <mc:Choice Requires="wps">
            <w:drawing>
              <wp:anchor behindDoc="0" distT="80010" distB="0" distL="254000" distR="0" simplePos="0" locked="0" layoutInCell="1" allowOverlap="1" relativeHeight="156">
                <wp:simplePos x="0" y="0"/>
                <wp:positionH relativeFrom="column">
                  <wp:align>left</wp:align>
                </wp:positionH>
                <wp:positionV relativeFrom="line">
                  <wp:align>top</wp:align>
                </wp:positionV>
                <wp:extent cx="127000" cy="350520"/>
                <wp:effectExtent l="0" t="0" r="0" b="0"/>
                <wp:wrapSquare wrapText="right"/>
                <wp:docPr id="152" name="Frame1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any transaction from which the director derived an improper benefit; or </w:t>
      </w:r>
      <w:r>
        <mc:AlternateContent>
          <mc:Choice Requires="wps">
            <w:drawing>
              <wp:anchor behindDoc="0" distT="78740" distB="0" distL="254000" distR="0" simplePos="0" locked="0" layoutInCell="1" allowOverlap="1" relativeHeight="157">
                <wp:simplePos x="0" y="0"/>
                <wp:positionH relativeFrom="column">
                  <wp:align>left</wp:align>
                </wp:positionH>
                <wp:positionV relativeFrom="line">
                  <wp:align>top</wp:align>
                </wp:positionV>
                <wp:extent cx="127000" cy="350520"/>
                <wp:effectExtent l="0" t="0" r="0" b="0"/>
                <wp:wrapSquare wrapText="right"/>
                <wp:docPr id="153" name="Frame1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an act or omission for which the liability of a director is expressly provided by an applicable statute, including unlawful payments of dividends or unlawful stock repurchases or redemptions as provided in Section 174 of the Delaware General Corporation Law. </w:t>
      </w:r>
      <w:r>
        <mc:AlternateContent>
          <mc:Choice Requires="wps">
            <w:drawing>
              <wp:anchor behindDoc="0" distT="78740" distB="0" distL="254000" distR="0" simplePos="0" locked="0" layoutInCell="1" allowOverlap="1" relativeHeight="158">
                <wp:simplePos x="0" y="0"/>
                <wp:positionH relativeFrom="column">
                  <wp:align>left</wp:align>
                </wp:positionH>
                <wp:positionV relativeFrom="line">
                  <wp:align>top</wp:align>
                </wp:positionV>
                <wp:extent cx="127000" cy="350520"/>
                <wp:effectExtent l="0" t="0" r="0" b="0"/>
                <wp:wrapSquare wrapText="right"/>
                <wp:docPr id="154" name="Frame1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Certificate of Incorporation also provides that if Delaware law is amended after the approval by our stockholders of the Certificate of Incorporation to authorize corporate action further eliminating or limiting the personal liability of directors, then the liability of our directors will be eliminated or limited to the fullest extent permitted by Delaware law.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Bylaws further provide that we must indemnify our directors and officers to the fullest extent permitted by Delaware law. Our Bylaws also authorize us to indemnify any of our employees or agents and permit us to secure insurance on behalf of any officer, director, employee or agent for any liability arising out of his or her action in that capacity, whether or not Delaware law would otherwise permit indemnification.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our Bylaws also provide that we are required to advance expenses to our directors and officers as incurred in connection with legal proceedings against them for which they may be indemnified and that the rights conferred in the Bylaws are not exclusive.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entered into indemnification agreements with each of our directors and executive officers.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These agreements, among other things, require us to indemnify each director and officer to the fullest extent permitted by Delaware law, the Certificate of Incorporation and Bylaws, for expenses such as, among other things, attorneys’ fees, judgments, fines, and settlement amounts incurred by the director or executive officer in any action or proceeding, including any action by or in our right, arising out of the person’s services as our director or executive officer or as the director or executive officer of any subsidiary of ours or any other company or enterprise to which the person provides services at our request. We also have directors’ and officers’ liability insurance. </w:t>
      </w:r>
    </w:p>
    <w:p>
      <w:pPr>
        <w:pStyle w:val="TextBody"/>
        <w:bidi w:val="0"/>
        <w:spacing w:lineRule="atLeast" w:line="230" w:before="146"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SEC has taken the position that personal liability of directors for violation of the federal securities laws cannot be limited and that indemnification by us for any such violation is unenforceable. The limitation of liability and indemnification provisions in our Certificate of Incorporation and Bylaws may discourage stockholders from bringing a lawsuit against our directors and officers for breach of their fiduciary duty. They may also reduce the likelihood of derivative litigation against our directors and officers, even though an action, if successful, might benefit us and other stockholders. Further, a stockholder’s investment may be adversely affected to the extent that we pay the costs of settlement and damage awards against directors and officers as required by these indemnification provisions. </w:t>
      </w:r>
    </w:p>
    <w:p>
      <w:pPr>
        <w:pStyle w:val="TextBody"/>
        <w:bidi w:val="0"/>
        <w:spacing w:lineRule="atLeast" w:line="240" w:before="204"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Item 16.   Exhibits</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28" w:type="dxa"/>
          <w:right w:w="0" w:type="dxa"/>
        </w:tblCellMar>
      </w:tblPr>
      <w:tblGrid>
        <w:gridCol w:w="124"/>
        <w:gridCol w:w="874"/>
        <w:gridCol w:w="109"/>
        <w:gridCol w:w="109"/>
        <w:gridCol w:w="3754"/>
        <w:gridCol w:w="109"/>
        <w:gridCol w:w="109"/>
        <w:gridCol w:w="617"/>
        <w:gridCol w:w="109"/>
        <w:gridCol w:w="109"/>
        <w:gridCol w:w="1540"/>
        <w:gridCol w:w="109"/>
        <w:gridCol w:w="109"/>
        <w:gridCol w:w="874"/>
        <w:gridCol w:w="157"/>
      </w:tblGrid>
      <w:tr>
        <w:trPr/>
        <w:tc>
          <w:tcPr>
            <w:tcW w:w="124" w:type="dxa"/>
            <w:tcBorders>
              <w:bottom w:val="single" w:sz="2" w:space="0" w:color="FFFFFF"/>
            </w:tcBorders>
            <w:vAlign w:val="center"/>
          </w:tcPr>
          <w:p>
            <w:pPr>
              <w:pStyle w:val="TableContents"/>
              <w:bidi w:val="0"/>
              <w:spacing w:before="0" w:after="283"/>
              <w:jc w:val="left"/>
              <w:rPr/>
            </w:pPr>
            <w:r>
              <w:rPr/>
              <w:t>​</w:t>
            </w:r>
          </w:p>
        </w:tc>
        <w:tc>
          <w:tcPr>
            <w:tcW w:w="874"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754"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467" w:type="dxa"/>
            <w:gridSpan w:val="7"/>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Incorporated by Reference </w:t>
            </w:r>
          </w:p>
        </w:tc>
        <w:tc>
          <w:tcPr>
            <w:tcW w:w="157" w:type="dxa"/>
            <w:tcBorders>
              <w:bottom w:val="single" w:sz="2" w:space="0" w:color="FFFFFF"/>
            </w:tcBorders>
            <w:vAlign w:val="center"/>
          </w:tcPr>
          <w:p>
            <w:pPr>
              <w:pStyle w:val="TableContents"/>
              <w:bidi w:val="0"/>
              <w:spacing w:before="0" w:after="283"/>
              <w:jc w:val="left"/>
              <w:rPr/>
            </w:pPr>
            <w:r>
              <w:rPr/>
              <w:t>​</w:t>
            </w:r>
          </w:p>
        </w:tc>
      </w:tr>
      <w:tr>
        <w:trPr/>
        <w:tc>
          <w:tcPr>
            <w:tcW w:w="124" w:type="dxa"/>
            <w:tcBorders>
              <w:bottom w:val="single" w:sz="2" w:space="0" w:color="FFFFFF"/>
            </w:tcBorders>
            <w:vAlign w:val="center"/>
          </w:tcPr>
          <w:p>
            <w:pPr>
              <w:pStyle w:val="TableContents"/>
              <w:bidi w:val="0"/>
              <w:spacing w:before="0" w:after="283"/>
              <w:jc w:val="left"/>
              <w:rPr/>
            </w:pPr>
            <w:r>
              <w:rPr/>
              <w:t>​</w:t>
            </w:r>
          </w:p>
        </w:tc>
        <w:tc>
          <w:tcPr>
            <w:tcW w:w="874" w:type="dxa"/>
            <w:tcBorders>
              <w:bottom w:val="single" w:sz="2" w:space="0" w:color="000000"/>
            </w:tcBorders>
            <w:tcMar>
              <w:bottom w:w="43" w:type="dxa"/>
            </w:tcMar>
            <w:vAlign w:val="center"/>
          </w:tcPr>
          <w:p>
            <w:pPr>
              <w:pStyle w:val="TableContents"/>
              <w:bidi w:val="0"/>
              <w:spacing w:before="0" w:after="0"/>
              <w:jc w:val="center"/>
              <w:rPr/>
            </w:pPr>
            <w:r>
              <w:rPr>
                <w:spacing w:val="-3"/>
              </w:rPr>
              <w:t>Exhibit</w:t>
            </w:r>
            <w:r>
              <w:rPr/>
              <w:t xml:space="preserve"> </w:t>
              <w:br/>
            </w:r>
            <w:r>
              <w:rPr>
                <w:spacing w:val="-3"/>
              </w:rPr>
              <w:t xml:space="preserve">Number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754" w:type="dxa"/>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Exhibit Description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617" w:type="dxa"/>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Form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40" w:type="dxa"/>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Date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874" w:type="dxa"/>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Number </w:t>
            </w:r>
          </w:p>
        </w:tc>
        <w:tc>
          <w:tcPr>
            <w:tcW w:w="157"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74" w:type="dxa"/>
            <w:tcBorders/>
            <w:tcMar>
              <w:bottom w:w="0" w:type="dxa"/>
            </w:tcMar>
            <w:vAlign w:val="center"/>
          </w:tcPr>
          <w:p>
            <w:pPr>
              <w:pStyle w:val="TableContents"/>
              <w:bidi w:val="0"/>
              <w:spacing w:before="0" w:after="283"/>
              <w:ind w:left="100" w:right="0" w:hanging="0"/>
              <w:jc w:val="left"/>
              <w:rPr>
                <w:spacing w:val="4"/>
              </w:rPr>
            </w:pPr>
            <w:r>
              <w:rPr>
                <w:spacing w:val="4"/>
              </w:rPr>
              <w:t xml:space="preserve">1.1*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754" w:type="dxa"/>
            <w:tcBorders/>
            <w:tcMar>
              <w:bottom w:w="0" w:type="dxa"/>
            </w:tcMar>
            <w:vAlign w:val="center"/>
          </w:tcPr>
          <w:p>
            <w:pPr>
              <w:pStyle w:val="TableContents"/>
              <w:bidi w:val="0"/>
              <w:spacing w:before="0" w:after="283"/>
              <w:jc w:val="left"/>
              <w:rPr>
                <w:spacing w:val="4"/>
              </w:rPr>
            </w:pPr>
            <w:r>
              <w:rPr>
                <w:spacing w:val="4"/>
              </w:rPr>
              <w:t xml:space="preserve">Form of Underwriting Agreement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17" w:type="dxa"/>
            <w:tcBorders/>
            <w:tcMar>
              <w:bottom w:w="0" w:type="dxa"/>
            </w:tcMar>
            <w:vAlign w:val="center"/>
          </w:tcPr>
          <w:p>
            <w:pPr>
              <w:pStyle w:val="TableContents"/>
              <w:bidi w:val="0"/>
              <w:spacing w:before="0" w:after="283"/>
              <w:jc w:val="center"/>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74" w:type="dxa"/>
            <w:tcBorders/>
            <w:tcMar>
              <w:bottom w:w="0" w:type="dxa"/>
            </w:tcMar>
            <w:vAlign w:val="center"/>
          </w:tcPr>
          <w:p>
            <w:pPr>
              <w:pStyle w:val="TableContents"/>
              <w:bidi w:val="0"/>
              <w:spacing w:before="0" w:after="283"/>
              <w:jc w:val="center"/>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74" w:type="dxa"/>
            <w:tcBorders/>
            <w:tcMar>
              <w:bottom w:w="0" w:type="dxa"/>
            </w:tcMar>
            <w:vAlign w:val="center"/>
          </w:tcPr>
          <w:p>
            <w:pPr>
              <w:pStyle w:val="TableContents"/>
              <w:bidi w:val="0"/>
              <w:spacing w:before="0" w:after="283"/>
              <w:ind w:left="100" w:right="0" w:hanging="0"/>
              <w:jc w:val="left"/>
              <w:rPr>
                <w:spacing w:val="4"/>
              </w:rPr>
            </w:pPr>
            <w:r>
              <w:rPr>
                <w:spacing w:val="4"/>
              </w:rPr>
              <w:t xml:space="preserve">3.1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754" w:type="dxa"/>
            <w:tcBorders/>
            <w:tcMar>
              <w:bottom w:w="0" w:type="dxa"/>
            </w:tcMar>
            <w:vAlign w:val="center"/>
          </w:tcPr>
          <w:p>
            <w:pPr>
              <w:pStyle w:val="TableContents"/>
              <w:bidi w:val="0"/>
              <w:spacing w:before="0" w:after="0"/>
              <w:jc w:val="left"/>
              <w:rPr/>
            </w:pPr>
            <w:hyperlink r:id="rId18">
              <w:r>
                <w:rPr>
                  <w:rStyle w:val="InternetLink"/>
                  <w:spacing w:val="4"/>
                </w:rPr>
                <w:t>Third Amended and Restated Certificate of Incorporation of Replimune Group, Inc. (conformed to include the Certificate of Amendment to the Third Amended and Restated Certificate of Incorporation filed on September 9, 2019)</w:t>
              </w:r>
            </w:hyperlink>
            <w:r>
              <w:rPr>
                <w:spacing w:val="4"/>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17" w:type="dxa"/>
            <w:tcBorders/>
            <w:tcMar>
              <w:bottom w:w="0" w:type="dxa"/>
            </w:tcMar>
            <w:vAlign w:val="center"/>
          </w:tcPr>
          <w:p>
            <w:pPr>
              <w:pStyle w:val="TableContents"/>
              <w:bidi w:val="0"/>
              <w:spacing w:before="0" w:after="0"/>
              <w:jc w:val="center"/>
              <w:rPr>
                <w:spacing w:val="4"/>
              </w:rPr>
            </w:pPr>
            <w:r>
              <w:rPr>
                <w:spacing w:val="4"/>
              </w:rPr>
              <w:t xml:space="preserve">10-K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0" w:type="dxa"/>
            <w:tcBorders/>
            <w:tcMar>
              <w:bottom w:w="0" w:type="dxa"/>
            </w:tcMar>
            <w:vAlign w:val="center"/>
          </w:tcPr>
          <w:p>
            <w:pPr>
              <w:pStyle w:val="TableContents"/>
              <w:bidi w:val="0"/>
              <w:spacing w:before="0" w:after="283"/>
              <w:jc w:val="left"/>
              <w:rPr>
                <w:spacing w:val="4"/>
              </w:rPr>
            </w:pPr>
            <w:r>
              <w:rPr>
                <w:spacing w:val="4"/>
              </w:rPr>
              <w:t xml:space="preserve">June 3, 2020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74" w:type="dxa"/>
            <w:tcBorders/>
            <w:tcMar>
              <w:bottom w:w="0" w:type="dxa"/>
            </w:tcMar>
            <w:vAlign w:val="center"/>
          </w:tcPr>
          <w:p>
            <w:pPr>
              <w:pStyle w:val="TableContents"/>
              <w:bidi w:val="0"/>
              <w:spacing w:before="0" w:after="0"/>
              <w:jc w:val="center"/>
              <w:rPr>
                <w:spacing w:val="4"/>
              </w:rPr>
            </w:pPr>
            <w:r>
              <w:rPr>
                <w:spacing w:val="4"/>
              </w:rPr>
              <w:t xml:space="preserve">3.1 </w:t>
            </w:r>
          </w:p>
        </w:tc>
        <w:tc>
          <w:tcPr>
            <w:tcW w:w="157"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74" w:type="dxa"/>
            <w:tcBorders/>
            <w:tcMar>
              <w:bottom w:w="0" w:type="dxa"/>
            </w:tcMar>
            <w:vAlign w:val="center"/>
          </w:tcPr>
          <w:p>
            <w:pPr>
              <w:pStyle w:val="TableContents"/>
              <w:bidi w:val="0"/>
              <w:spacing w:before="0" w:after="283"/>
              <w:ind w:left="100" w:right="0" w:hanging="0"/>
              <w:jc w:val="left"/>
              <w:rPr>
                <w:spacing w:val="4"/>
              </w:rPr>
            </w:pPr>
            <w:r>
              <w:rPr>
                <w:spacing w:val="4"/>
              </w:rPr>
              <w:t xml:space="preserve">3.2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754" w:type="dxa"/>
            <w:tcBorders/>
            <w:tcMar>
              <w:bottom w:w="0" w:type="dxa"/>
            </w:tcMar>
            <w:vAlign w:val="center"/>
          </w:tcPr>
          <w:p>
            <w:pPr>
              <w:pStyle w:val="TableContents"/>
              <w:bidi w:val="0"/>
              <w:spacing w:before="0" w:after="0"/>
              <w:jc w:val="left"/>
              <w:rPr/>
            </w:pPr>
            <w:hyperlink r:id="rId19">
              <w:r>
                <w:rPr>
                  <w:rStyle w:val="InternetLink"/>
                  <w:spacing w:val="4"/>
                </w:rPr>
                <w:t>Amended and Restated By-laws of Replimune Group, Inc.</w:t>
              </w:r>
            </w:hyperlink>
            <w:r>
              <w:rPr>
                <w:spacing w:val="4"/>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17" w:type="dxa"/>
            <w:tcBorders/>
            <w:tcMar>
              <w:bottom w:w="0" w:type="dxa"/>
            </w:tcMar>
            <w:vAlign w:val="center"/>
          </w:tcPr>
          <w:p>
            <w:pPr>
              <w:pStyle w:val="TableContents"/>
              <w:bidi w:val="0"/>
              <w:spacing w:before="0" w:after="0"/>
              <w:jc w:val="center"/>
              <w:rPr>
                <w:spacing w:val="4"/>
              </w:rPr>
            </w:pPr>
            <w:r>
              <w:rPr>
                <w:spacing w:val="4"/>
              </w:rPr>
              <w:t xml:space="preserve">8-K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0" w:type="dxa"/>
            <w:tcBorders/>
            <w:tcMar>
              <w:bottom w:w="0" w:type="dxa"/>
            </w:tcMar>
            <w:vAlign w:val="center"/>
          </w:tcPr>
          <w:p>
            <w:pPr>
              <w:pStyle w:val="TableContents"/>
              <w:bidi w:val="0"/>
              <w:spacing w:before="0" w:after="283"/>
              <w:jc w:val="left"/>
              <w:rPr>
                <w:spacing w:val="4"/>
              </w:rPr>
            </w:pPr>
            <w:r>
              <w:rPr>
                <w:spacing w:val="4"/>
              </w:rPr>
              <w:t xml:space="preserve">July 24, 2018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74" w:type="dxa"/>
            <w:tcBorders/>
            <w:tcMar>
              <w:bottom w:w="0" w:type="dxa"/>
            </w:tcMar>
            <w:vAlign w:val="center"/>
          </w:tcPr>
          <w:p>
            <w:pPr>
              <w:pStyle w:val="TableContents"/>
              <w:bidi w:val="0"/>
              <w:spacing w:before="0" w:after="0"/>
              <w:jc w:val="center"/>
              <w:rPr>
                <w:spacing w:val="4"/>
              </w:rPr>
            </w:pPr>
            <w:r>
              <w:rPr>
                <w:spacing w:val="4"/>
              </w:rPr>
              <w:t xml:space="preserve">3.2 </w:t>
            </w:r>
          </w:p>
        </w:tc>
        <w:tc>
          <w:tcPr>
            <w:tcW w:w="157"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74" w:type="dxa"/>
            <w:tcBorders/>
            <w:tcMar>
              <w:bottom w:w="0" w:type="dxa"/>
            </w:tcMar>
            <w:vAlign w:val="center"/>
          </w:tcPr>
          <w:p>
            <w:pPr>
              <w:pStyle w:val="TableContents"/>
              <w:bidi w:val="0"/>
              <w:spacing w:before="0" w:after="283"/>
              <w:ind w:left="100" w:right="0" w:hanging="0"/>
              <w:jc w:val="left"/>
              <w:rPr>
                <w:spacing w:val="4"/>
              </w:rPr>
            </w:pPr>
            <w:r>
              <w:rPr>
                <w:spacing w:val="4"/>
              </w:rPr>
              <w:t xml:space="preserve">4.1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754" w:type="dxa"/>
            <w:tcBorders/>
            <w:tcMar>
              <w:bottom w:w="0" w:type="dxa"/>
            </w:tcMar>
            <w:vAlign w:val="center"/>
          </w:tcPr>
          <w:p>
            <w:pPr>
              <w:pStyle w:val="TableContents"/>
              <w:bidi w:val="0"/>
              <w:spacing w:before="0" w:after="0"/>
              <w:jc w:val="left"/>
              <w:rPr/>
            </w:pPr>
            <w:hyperlink r:id="rId20">
              <w:r>
                <w:rPr>
                  <w:rStyle w:val="InternetLink"/>
                  <w:spacing w:val="4"/>
                </w:rPr>
                <w:t>Form of Common Stock Certificate of the Registrant</w:t>
              </w:r>
            </w:hyperlink>
            <w:r>
              <w:rPr>
                <w:spacing w:val="4"/>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17" w:type="dxa"/>
            <w:tcBorders/>
            <w:tcMar>
              <w:bottom w:w="0" w:type="dxa"/>
            </w:tcMar>
            <w:vAlign w:val="center"/>
          </w:tcPr>
          <w:p>
            <w:pPr>
              <w:pStyle w:val="TableContents"/>
              <w:bidi w:val="0"/>
              <w:spacing w:before="0" w:after="0"/>
              <w:jc w:val="center"/>
              <w:rPr>
                <w:spacing w:val="4"/>
              </w:rPr>
            </w:pPr>
            <w:r>
              <w:rPr>
                <w:spacing w:val="4"/>
              </w:rPr>
              <w:t xml:space="preserve">S-1/A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0" w:type="dxa"/>
            <w:tcBorders/>
            <w:tcMar>
              <w:bottom w:w="0" w:type="dxa"/>
            </w:tcMar>
            <w:vAlign w:val="center"/>
          </w:tcPr>
          <w:p>
            <w:pPr>
              <w:pStyle w:val="TableContents"/>
              <w:bidi w:val="0"/>
              <w:spacing w:before="0" w:after="283"/>
              <w:jc w:val="left"/>
              <w:rPr>
                <w:spacing w:val="4"/>
              </w:rPr>
            </w:pPr>
            <w:r>
              <w:rPr>
                <w:spacing w:val="4"/>
              </w:rPr>
              <w:t xml:space="preserve">July 10, 2018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74" w:type="dxa"/>
            <w:tcBorders/>
            <w:tcMar>
              <w:bottom w:w="0" w:type="dxa"/>
            </w:tcMar>
            <w:vAlign w:val="center"/>
          </w:tcPr>
          <w:p>
            <w:pPr>
              <w:pStyle w:val="TableContents"/>
              <w:bidi w:val="0"/>
              <w:spacing w:before="0" w:after="0"/>
              <w:jc w:val="center"/>
              <w:rPr>
                <w:spacing w:val="4"/>
              </w:rPr>
            </w:pPr>
            <w:r>
              <w:rPr>
                <w:spacing w:val="4"/>
              </w:rPr>
              <w:t xml:space="preserve">4.1 </w:t>
            </w:r>
          </w:p>
        </w:tc>
        <w:tc>
          <w:tcPr>
            <w:tcW w:w="157"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74" w:type="dxa"/>
            <w:tcBorders/>
            <w:tcMar>
              <w:bottom w:w="0" w:type="dxa"/>
            </w:tcMar>
            <w:vAlign w:val="center"/>
          </w:tcPr>
          <w:p>
            <w:pPr>
              <w:pStyle w:val="TableContents"/>
              <w:bidi w:val="0"/>
              <w:spacing w:before="0" w:after="283"/>
              <w:ind w:left="100" w:right="0" w:hanging="0"/>
              <w:jc w:val="left"/>
              <w:rPr>
                <w:spacing w:val="4"/>
              </w:rPr>
            </w:pPr>
            <w:r>
              <w:rPr>
                <w:spacing w:val="4"/>
              </w:rPr>
              <w:t xml:space="preserve">4.2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754" w:type="dxa"/>
            <w:tcBorders/>
            <w:tcMar>
              <w:bottom w:w="0" w:type="dxa"/>
            </w:tcMar>
            <w:vAlign w:val="center"/>
          </w:tcPr>
          <w:p>
            <w:pPr>
              <w:pStyle w:val="TableContents"/>
              <w:bidi w:val="0"/>
              <w:spacing w:before="0" w:after="0"/>
              <w:jc w:val="left"/>
              <w:rPr/>
            </w:pPr>
            <w:hyperlink r:id="rId21">
              <w:r>
                <w:rPr>
                  <w:rStyle w:val="InternetLink"/>
                  <w:spacing w:val="4"/>
                </w:rPr>
                <w:t>Form of Pre-Funded Warrant (2019)</w:t>
              </w:r>
            </w:hyperlink>
            <w:r>
              <w:rPr>
                <w:spacing w:val="4"/>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17" w:type="dxa"/>
            <w:tcBorders/>
            <w:tcMar>
              <w:bottom w:w="0" w:type="dxa"/>
            </w:tcMar>
            <w:vAlign w:val="center"/>
          </w:tcPr>
          <w:p>
            <w:pPr>
              <w:pStyle w:val="TableContents"/>
              <w:bidi w:val="0"/>
              <w:spacing w:before="0" w:after="0"/>
              <w:jc w:val="center"/>
              <w:rPr>
                <w:spacing w:val="4"/>
              </w:rPr>
            </w:pPr>
            <w:r>
              <w:rPr>
                <w:spacing w:val="4"/>
              </w:rPr>
              <w:t xml:space="preserve">8-K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0" w:type="dxa"/>
            <w:tcBorders/>
            <w:tcMar>
              <w:bottom w:w="0" w:type="dxa"/>
            </w:tcMar>
            <w:vAlign w:val="center"/>
          </w:tcPr>
          <w:p>
            <w:pPr>
              <w:pStyle w:val="TableContents"/>
              <w:bidi w:val="0"/>
              <w:spacing w:before="0" w:after="0"/>
              <w:jc w:val="left"/>
              <w:rPr>
                <w:spacing w:val="4"/>
              </w:rPr>
            </w:pPr>
            <w:r>
              <w:rPr>
                <w:spacing w:val="4"/>
              </w:rPr>
              <w:t xml:space="preserve">November 18, 2019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74" w:type="dxa"/>
            <w:tcBorders/>
            <w:tcMar>
              <w:bottom w:w="0" w:type="dxa"/>
            </w:tcMar>
            <w:vAlign w:val="center"/>
          </w:tcPr>
          <w:p>
            <w:pPr>
              <w:pStyle w:val="TableContents"/>
              <w:bidi w:val="0"/>
              <w:spacing w:before="0" w:after="0"/>
              <w:jc w:val="center"/>
              <w:rPr>
                <w:spacing w:val="4"/>
              </w:rPr>
            </w:pPr>
            <w:r>
              <w:rPr>
                <w:spacing w:val="4"/>
              </w:rPr>
              <w:t xml:space="preserve">4.1 </w:t>
            </w:r>
          </w:p>
        </w:tc>
        <w:tc>
          <w:tcPr>
            <w:tcW w:w="157"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74" w:type="dxa"/>
            <w:tcBorders/>
            <w:tcMar>
              <w:bottom w:w="0" w:type="dxa"/>
            </w:tcMar>
            <w:vAlign w:val="center"/>
          </w:tcPr>
          <w:p>
            <w:pPr>
              <w:pStyle w:val="TableContents"/>
              <w:bidi w:val="0"/>
              <w:spacing w:before="0" w:after="283"/>
              <w:ind w:left="100" w:right="0" w:hanging="0"/>
              <w:jc w:val="left"/>
              <w:rPr>
                <w:spacing w:val="4"/>
              </w:rPr>
            </w:pPr>
            <w:r>
              <w:rPr>
                <w:spacing w:val="4"/>
              </w:rPr>
              <w:t xml:space="preserve">4.3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754" w:type="dxa"/>
            <w:tcBorders/>
            <w:tcMar>
              <w:bottom w:w="0" w:type="dxa"/>
            </w:tcMar>
            <w:vAlign w:val="center"/>
          </w:tcPr>
          <w:p>
            <w:pPr>
              <w:pStyle w:val="TableContents"/>
              <w:bidi w:val="0"/>
              <w:spacing w:before="0" w:after="0"/>
              <w:jc w:val="left"/>
              <w:rPr/>
            </w:pPr>
            <w:hyperlink r:id="rId22">
              <w:r>
                <w:rPr>
                  <w:rStyle w:val="InternetLink"/>
                  <w:spacing w:val="4"/>
                </w:rPr>
                <w:t>Form of Pre-Funded Warrant (2020)</w:t>
              </w:r>
            </w:hyperlink>
            <w:r>
              <w:rPr>
                <w:spacing w:val="4"/>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17" w:type="dxa"/>
            <w:tcBorders/>
            <w:tcMar>
              <w:bottom w:w="0" w:type="dxa"/>
            </w:tcMar>
            <w:vAlign w:val="center"/>
          </w:tcPr>
          <w:p>
            <w:pPr>
              <w:pStyle w:val="TableContents"/>
              <w:bidi w:val="0"/>
              <w:spacing w:before="0" w:after="0"/>
              <w:jc w:val="center"/>
              <w:rPr>
                <w:spacing w:val="4"/>
              </w:rPr>
            </w:pPr>
            <w:r>
              <w:rPr>
                <w:spacing w:val="4"/>
              </w:rPr>
              <w:t xml:space="preserve">8-K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0" w:type="dxa"/>
            <w:tcBorders/>
            <w:tcMar>
              <w:bottom w:w="0" w:type="dxa"/>
            </w:tcMar>
            <w:vAlign w:val="center"/>
          </w:tcPr>
          <w:p>
            <w:pPr>
              <w:pStyle w:val="TableContents"/>
              <w:bidi w:val="0"/>
              <w:spacing w:before="0" w:after="283"/>
              <w:jc w:val="left"/>
              <w:rPr>
                <w:spacing w:val="4"/>
              </w:rPr>
            </w:pPr>
            <w:r>
              <w:rPr>
                <w:spacing w:val="4"/>
              </w:rPr>
              <w:t xml:space="preserve">June 10, 2020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74" w:type="dxa"/>
            <w:tcBorders/>
            <w:tcMar>
              <w:bottom w:w="0" w:type="dxa"/>
            </w:tcMar>
            <w:vAlign w:val="center"/>
          </w:tcPr>
          <w:p>
            <w:pPr>
              <w:pStyle w:val="TableContents"/>
              <w:bidi w:val="0"/>
              <w:spacing w:before="0" w:after="0"/>
              <w:jc w:val="center"/>
              <w:rPr>
                <w:spacing w:val="4"/>
              </w:rPr>
            </w:pPr>
            <w:r>
              <w:rPr>
                <w:spacing w:val="4"/>
              </w:rPr>
              <w:t xml:space="preserve">4.1 </w:t>
            </w:r>
          </w:p>
        </w:tc>
        <w:tc>
          <w:tcPr>
            <w:tcW w:w="157"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74" w:type="dxa"/>
            <w:tcBorders/>
            <w:tcMar>
              <w:bottom w:w="0" w:type="dxa"/>
            </w:tcMar>
            <w:vAlign w:val="center"/>
          </w:tcPr>
          <w:p>
            <w:pPr>
              <w:pStyle w:val="TableContents"/>
              <w:bidi w:val="0"/>
              <w:spacing w:before="0" w:after="283"/>
              <w:ind w:left="100" w:right="0" w:hanging="0"/>
              <w:jc w:val="left"/>
              <w:rPr>
                <w:spacing w:val="4"/>
              </w:rPr>
            </w:pPr>
            <w:r>
              <w:rPr>
                <w:spacing w:val="4"/>
              </w:rPr>
              <w:t xml:space="preserve">4.4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754" w:type="dxa"/>
            <w:tcBorders/>
            <w:tcMar>
              <w:bottom w:w="0" w:type="dxa"/>
            </w:tcMar>
            <w:vAlign w:val="center"/>
          </w:tcPr>
          <w:p>
            <w:pPr>
              <w:pStyle w:val="TableContents"/>
              <w:bidi w:val="0"/>
              <w:spacing w:before="0" w:after="0"/>
              <w:jc w:val="left"/>
              <w:rPr/>
            </w:pPr>
            <w:hyperlink r:id="rId23">
              <w:r>
                <w:rPr>
                  <w:rStyle w:val="InternetLink"/>
                  <w:spacing w:val="4"/>
                </w:rPr>
                <w:t>Form of Pre-Funded Warrant (2022)</w:t>
              </w:r>
            </w:hyperlink>
            <w:r>
              <w:rPr>
                <w:spacing w:val="4"/>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17" w:type="dxa"/>
            <w:tcBorders/>
            <w:tcMar>
              <w:bottom w:w="0" w:type="dxa"/>
            </w:tcMar>
            <w:vAlign w:val="center"/>
          </w:tcPr>
          <w:p>
            <w:pPr>
              <w:pStyle w:val="TableContents"/>
              <w:bidi w:val="0"/>
              <w:spacing w:before="0" w:after="0"/>
              <w:jc w:val="center"/>
              <w:rPr>
                <w:spacing w:val="4"/>
              </w:rPr>
            </w:pPr>
            <w:r>
              <w:rPr>
                <w:spacing w:val="4"/>
              </w:rPr>
              <w:t xml:space="preserve">8-K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0" w:type="dxa"/>
            <w:tcBorders/>
            <w:tcMar>
              <w:bottom w:w="0" w:type="dxa"/>
            </w:tcMar>
            <w:vAlign w:val="center"/>
          </w:tcPr>
          <w:p>
            <w:pPr>
              <w:pStyle w:val="TableContents"/>
              <w:bidi w:val="0"/>
              <w:spacing w:before="0" w:after="0"/>
              <w:jc w:val="left"/>
              <w:rPr>
                <w:spacing w:val="4"/>
              </w:rPr>
            </w:pPr>
            <w:r>
              <w:rPr>
                <w:spacing w:val="4"/>
              </w:rPr>
              <w:t xml:space="preserve">December 12, 2022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74" w:type="dxa"/>
            <w:tcBorders/>
            <w:tcMar>
              <w:bottom w:w="0" w:type="dxa"/>
            </w:tcMar>
            <w:vAlign w:val="center"/>
          </w:tcPr>
          <w:p>
            <w:pPr>
              <w:pStyle w:val="TableContents"/>
              <w:bidi w:val="0"/>
              <w:spacing w:before="0" w:after="0"/>
              <w:jc w:val="center"/>
              <w:rPr>
                <w:spacing w:val="4"/>
              </w:rPr>
            </w:pPr>
            <w:r>
              <w:rPr>
                <w:spacing w:val="4"/>
              </w:rPr>
              <w:t xml:space="preserve">4.1 </w:t>
            </w:r>
          </w:p>
        </w:tc>
        <w:tc>
          <w:tcPr>
            <w:tcW w:w="157"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74" w:type="dxa"/>
            <w:tcBorders/>
            <w:tcMar>
              <w:bottom w:w="0" w:type="dxa"/>
            </w:tcMar>
            <w:vAlign w:val="center"/>
          </w:tcPr>
          <w:p>
            <w:pPr>
              <w:pStyle w:val="TableContents"/>
              <w:bidi w:val="0"/>
              <w:spacing w:before="0" w:after="283"/>
              <w:ind w:left="100" w:right="0" w:hanging="0"/>
              <w:jc w:val="left"/>
              <w:rPr>
                <w:spacing w:val="4"/>
              </w:rPr>
            </w:pPr>
            <w:r>
              <w:rPr>
                <w:spacing w:val="4"/>
              </w:rPr>
              <w:t xml:space="preserve">4.5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754" w:type="dxa"/>
            <w:tcBorders/>
            <w:tcMar>
              <w:bottom w:w="0" w:type="dxa"/>
            </w:tcMar>
            <w:vAlign w:val="center"/>
          </w:tcPr>
          <w:p>
            <w:pPr>
              <w:pStyle w:val="TableContents"/>
              <w:bidi w:val="0"/>
              <w:spacing w:before="0" w:after="0"/>
              <w:jc w:val="left"/>
              <w:rPr/>
            </w:pPr>
            <w:hyperlink r:id="rId24">
              <w:r>
                <w:rPr>
                  <w:rStyle w:val="InternetLink"/>
                  <w:spacing w:val="4"/>
                </w:rPr>
                <w:t>Form of Pre-Funded Warrant (June 2024)</w:t>
              </w:r>
            </w:hyperlink>
            <w:r>
              <w:rPr>
                <w:spacing w:val="4"/>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17" w:type="dxa"/>
            <w:tcBorders/>
            <w:tcMar>
              <w:bottom w:w="0" w:type="dxa"/>
            </w:tcMar>
            <w:vAlign w:val="center"/>
          </w:tcPr>
          <w:p>
            <w:pPr>
              <w:pStyle w:val="TableContents"/>
              <w:bidi w:val="0"/>
              <w:spacing w:before="0" w:after="0"/>
              <w:jc w:val="center"/>
              <w:rPr>
                <w:spacing w:val="4"/>
              </w:rPr>
            </w:pPr>
            <w:r>
              <w:rPr>
                <w:spacing w:val="4"/>
              </w:rPr>
              <w:t xml:space="preserve">8-K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0" w:type="dxa"/>
            <w:tcBorders/>
            <w:tcMar>
              <w:bottom w:w="0" w:type="dxa"/>
            </w:tcMar>
            <w:vAlign w:val="center"/>
          </w:tcPr>
          <w:p>
            <w:pPr>
              <w:pStyle w:val="TableContents"/>
              <w:bidi w:val="0"/>
              <w:spacing w:before="0" w:after="283"/>
              <w:jc w:val="left"/>
              <w:rPr>
                <w:spacing w:val="4"/>
              </w:rPr>
            </w:pPr>
            <w:r>
              <w:rPr>
                <w:spacing w:val="4"/>
              </w:rPr>
              <w:t xml:space="preserve">June 13, 2024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74" w:type="dxa"/>
            <w:tcBorders/>
            <w:tcMar>
              <w:bottom w:w="0" w:type="dxa"/>
            </w:tcMar>
            <w:vAlign w:val="center"/>
          </w:tcPr>
          <w:p>
            <w:pPr>
              <w:pStyle w:val="TableContents"/>
              <w:bidi w:val="0"/>
              <w:spacing w:before="0" w:after="0"/>
              <w:jc w:val="center"/>
              <w:rPr>
                <w:spacing w:val="4"/>
              </w:rPr>
            </w:pPr>
            <w:r>
              <w:rPr>
                <w:spacing w:val="4"/>
              </w:rPr>
              <w:t xml:space="preserve">4.1 </w:t>
            </w:r>
          </w:p>
        </w:tc>
        <w:tc>
          <w:tcPr>
            <w:tcW w:w="157"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74" w:type="dxa"/>
            <w:tcBorders/>
            <w:tcMar>
              <w:bottom w:w="0" w:type="dxa"/>
            </w:tcMar>
            <w:vAlign w:val="center"/>
          </w:tcPr>
          <w:p>
            <w:pPr>
              <w:pStyle w:val="TableContents"/>
              <w:bidi w:val="0"/>
              <w:spacing w:before="0" w:after="283"/>
              <w:ind w:left="100" w:right="0" w:hanging="0"/>
              <w:jc w:val="left"/>
              <w:rPr>
                <w:spacing w:val="4"/>
              </w:rPr>
            </w:pPr>
            <w:r>
              <w:rPr>
                <w:spacing w:val="4"/>
              </w:rPr>
              <w:t xml:space="preserve">4.6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754" w:type="dxa"/>
            <w:tcBorders/>
            <w:tcMar>
              <w:bottom w:w="0" w:type="dxa"/>
            </w:tcMar>
            <w:vAlign w:val="center"/>
          </w:tcPr>
          <w:p>
            <w:pPr>
              <w:pStyle w:val="TableContents"/>
              <w:bidi w:val="0"/>
              <w:spacing w:before="0" w:after="0"/>
              <w:jc w:val="left"/>
              <w:rPr/>
            </w:pPr>
            <w:hyperlink r:id="rId25">
              <w:r>
                <w:rPr>
                  <w:rStyle w:val="InternetLink"/>
                  <w:spacing w:val="4"/>
                </w:rPr>
                <w:t>Form of Pre-Funded Warrant (December 2024)</w:t>
              </w:r>
            </w:hyperlink>
            <w:r>
              <w:rPr>
                <w:spacing w:val="4"/>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17" w:type="dxa"/>
            <w:tcBorders/>
            <w:tcMar>
              <w:bottom w:w="0" w:type="dxa"/>
            </w:tcMar>
            <w:vAlign w:val="center"/>
          </w:tcPr>
          <w:p>
            <w:pPr>
              <w:pStyle w:val="TableContents"/>
              <w:bidi w:val="0"/>
              <w:spacing w:before="0" w:after="0"/>
              <w:jc w:val="center"/>
              <w:rPr>
                <w:spacing w:val="4"/>
              </w:rPr>
            </w:pPr>
            <w:r>
              <w:rPr>
                <w:spacing w:val="4"/>
              </w:rPr>
              <w:t xml:space="preserve">8-K/A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0" w:type="dxa"/>
            <w:tcBorders/>
            <w:tcMar>
              <w:bottom w:w="0" w:type="dxa"/>
            </w:tcMar>
            <w:vAlign w:val="center"/>
          </w:tcPr>
          <w:p>
            <w:pPr>
              <w:pStyle w:val="TableContents"/>
              <w:bidi w:val="0"/>
              <w:spacing w:before="0" w:after="283"/>
              <w:jc w:val="left"/>
              <w:rPr>
                <w:spacing w:val="4"/>
              </w:rPr>
            </w:pPr>
            <w:r>
              <w:rPr>
                <w:spacing w:val="4"/>
              </w:rPr>
              <w:t xml:space="preserve">December 4, 2024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74" w:type="dxa"/>
            <w:tcBorders/>
            <w:tcMar>
              <w:bottom w:w="0" w:type="dxa"/>
            </w:tcMar>
            <w:vAlign w:val="center"/>
          </w:tcPr>
          <w:p>
            <w:pPr>
              <w:pStyle w:val="TableContents"/>
              <w:bidi w:val="0"/>
              <w:spacing w:before="0" w:after="0"/>
              <w:jc w:val="center"/>
              <w:rPr>
                <w:spacing w:val="4"/>
              </w:rPr>
            </w:pPr>
            <w:r>
              <w:rPr>
                <w:spacing w:val="4"/>
              </w:rPr>
              <w:t xml:space="preserve">4.1 </w:t>
            </w:r>
          </w:p>
        </w:tc>
        <w:tc>
          <w:tcPr>
            <w:tcW w:w="157"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74" w:type="dxa"/>
            <w:tcBorders/>
            <w:tcMar>
              <w:bottom w:w="0" w:type="dxa"/>
            </w:tcMar>
            <w:vAlign w:val="center"/>
          </w:tcPr>
          <w:p>
            <w:pPr>
              <w:pStyle w:val="TableContents"/>
              <w:bidi w:val="0"/>
              <w:spacing w:before="0" w:after="283"/>
              <w:ind w:left="100" w:right="0" w:hanging="0"/>
              <w:jc w:val="left"/>
              <w:rPr>
                <w:spacing w:val="4"/>
              </w:rPr>
            </w:pPr>
            <w:r>
              <w:rPr>
                <w:spacing w:val="4"/>
              </w:rPr>
              <w:t xml:space="preserve">4.7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754" w:type="dxa"/>
            <w:tcBorders/>
            <w:tcMar>
              <w:bottom w:w="0" w:type="dxa"/>
            </w:tcMar>
            <w:vAlign w:val="center"/>
          </w:tcPr>
          <w:p>
            <w:pPr>
              <w:pStyle w:val="TableContents"/>
              <w:bidi w:val="0"/>
              <w:spacing w:before="0" w:after="0"/>
              <w:jc w:val="left"/>
              <w:rPr/>
            </w:pPr>
            <w:hyperlink r:id="rId26">
              <w:r>
                <w:rPr>
                  <w:rStyle w:val="InternetLink"/>
                  <w:spacing w:val="4"/>
                </w:rPr>
                <w:t>Form of Pre-Funded Warrant (August 2026)</w:t>
              </w:r>
            </w:hyperlink>
            <w:r>
              <w:rPr>
                <w:spacing w:val="4"/>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17" w:type="dxa"/>
            <w:tcBorders/>
            <w:tcMar>
              <w:bottom w:w="0" w:type="dxa"/>
            </w:tcMar>
            <w:vAlign w:val="center"/>
          </w:tcPr>
          <w:p>
            <w:pPr>
              <w:pStyle w:val="TableContents"/>
              <w:bidi w:val="0"/>
              <w:spacing w:before="0" w:after="0"/>
              <w:jc w:val="center"/>
              <w:rPr>
                <w:spacing w:val="4"/>
              </w:rPr>
            </w:pPr>
            <w:r>
              <w:rPr>
                <w:spacing w:val="4"/>
              </w:rPr>
              <w:t xml:space="preserve">8-K/A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0" w:type="dxa"/>
            <w:tcBorders/>
            <w:tcMar>
              <w:bottom w:w="0" w:type="dxa"/>
            </w:tcMar>
            <w:vAlign w:val="center"/>
          </w:tcPr>
          <w:p>
            <w:pPr>
              <w:pStyle w:val="TableContents"/>
              <w:bidi w:val="0"/>
              <w:spacing w:before="0" w:after="283"/>
              <w:jc w:val="left"/>
              <w:rPr>
                <w:spacing w:val="4"/>
              </w:rPr>
            </w:pPr>
            <w:r>
              <w:rPr>
                <w:spacing w:val="4"/>
              </w:rPr>
              <w:t xml:space="preserve">August 11, 2026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74" w:type="dxa"/>
            <w:tcBorders/>
            <w:tcMar>
              <w:bottom w:w="0" w:type="dxa"/>
            </w:tcMar>
            <w:vAlign w:val="center"/>
          </w:tcPr>
          <w:p>
            <w:pPr>
              <w:pStyle w:val="TableContents"/>
              <w:bidi w:val="0"/>
              <w:spacing w:before="0" w:after="0"/>
              <w:jc w:val="center"/>
              <w:rPr/>
            </w:pPr>
            <w:r>
              <w:rPr>
                <w:spacing w:val="4"/>
              </w:rPr>
              <w:t>4.1</w:t>
            </w:r>
            <w:r>
              <w:rPr/>
              <w:t xml:space="preserve"> </w:t>
            </w:r>
          </w:p>
        </w:tc>
        <w:tc>
          <w:tcPr>
            <w:tcW w:w="157"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74" w:type="dxa"/>
            <w:tcBorders/>
            <w:tcMar>
              <w:bottom w:w="0" w:type="dxa"/>
            </w:tcMar>
            <w:vAlign w:val="center"/>
          </w:tcPr>
          <w:p>
            <w:pPr>
              <w:pStyle w:val="TableContents"/>
              <w:bidi w:val="0"/>
              <w:spacing w:before="0" w:after="283"/>
              <w:ind w:left="100" w:right="0" w:hanging="0"/>
              <w:jc w:val="left"/>
              <w:rPr>
                <w:spacing w:val="4"/>
              </w:rPr>
            </w:pPr>
            <w:r>
              <w:rPr>
                <w:spacing w:val="4"/>
              </w:rPr>
              <w:t xml:space="preserve">4.8*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754" w:type="dxa"/>
            <w:tcBorders/>
            <w:tcMar>
              <w:bottom w:w="0" w:type="dxa"/>
            </w:tcMar>
            <w:vAlign w:val="center"/>
          </w:tcPr>
          <w:p>
            <w:pPr>
              <w:pStyle w:val="TableContents"/>
              <w:bidi w:val="0"/>
              <w:spacing w:before="0" w:after="283"/>
              <w:jc w:val="left"/>
              <w:rPr>
                <w:spacing w:val="4"/>
              </w:rPr>
            </w:pPr>
            <w:r>
              <w:rPr>
                <w:spacing w:val="4"/>
              </w:rPr>
              <w:t xml:space="preserve">Form of Certificate of Designation with Respect to Any Preferred Stock Issued Hereunder and the Related Form of Preferred Stock Certificate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17" w:type="dxa"/>
            <w:tcBorders/>
            <w:tcMar>
              <w:bottom w:w="0" w:type="dxa"/>
            </w:tcMar>
            <w:vAlign w:val="center"/>
          </w:tcPr>
          <w:p>
            <w:pPr>
              <w:pStyle w:val="TableContents"/>
              <w:bidi w:val="0"/>
              <w:spacing w:before="0" w:after="283"/>
              <w:jc w:val="center"/>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74" w:type="dxa"/>
            <w:tcBorders/>
            <w:tcMar>
              <w:bottom w:w="0" w:type="dxa"/>
            </w:tcMar>
            <w:vAlign w:val="center"/>
          </w:tcPr>
          <w:p>
            <w:pPr>
              <w:pStyle w:val="TableContents"/>
              <w:bidi w:val="0"/>
              <w:spacing w:before="0" w:after="283"/>
              <w:jc w:val="center"/>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74" w:type="dxa"/>
            <w:tcBorders/>
            <w:tcMar>
              <w:bottom w:w="0" w:type="dxa"/>
            </w:tcMar>
            <w:vAlign w:val="center"/>
          </w:tcPr>
          <w:p>
            <w:pPr>
              <w:pStyle w:val="TableContents"/>
              <w:bidi w:val="0"/>
              <w:spacing w:before="0" w:after="283"/>
              <w:ind w:left="100" w:right="0" w:hanging="0"/>
              <w:jc w:val="left"/>
              <w:rPr/>
            </w:pPr>
            <w:r>
              <w:rPr>
                <w:spacing w:val="4"/>
              </w:rPr>
              <w:t>4.9</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754" w:type="dxa"/>
            <w:tcBorders/>
            <w:tcMar>
              <w:bottom w:w="0" w:type="dxa"/>
            </w:tcMar>
            <w:vAlign w:val="center"/>
          </w:tcPr>
          <w:p>
            <w:pPr>
              <w:pStyle w:val="TableContents"/>
              <w:bidi w:val="0"/>
              <w:spacing w:before="0" w:after="0"/>
              <w:jc w:val="left"/>
              <w:rPr/>
            </w:pPr>
            <w:hyperlink w:anchor="tm2621843d2_ex4-9.htm">
              <w:r>
                <w:rPr>
                  <w:rStyle w:val="InternetLink"/>
                  <w:spacing w:val="4"/>
                </w:rPr>
                <w:t>Form of Indenture to Be Entered Into Between Registrant and Trustee Acceptable to the Replimune Group, Inc.</w:t>
              </w:r>
            </w:hyperlink>
            <w:r>
              <w:rPr>
                <w:spacing w:val="4"/>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17" w:type="dxa"/>
            <w:tcBorders/>
            <w:tcMar>
              <w:bottom w:w="0" w:type="dxa"/>
            </w:tcMar>
            <w:vAlign w:val="center"/>
          </w:tcPr>
          <w:p>
            <w:pPr>
              <w:pStyle w:val="TableContents"/>
              <w:bidi w:val="0"/>
              <w:spacing w:before="0" w:after="283"/>
              <w:jc w:val="center"/>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74" w:type="dxa"/>
            <w:tcBorders/>
            <w:tcMar>
              <w:bottom w:w="0" w:type="dxa"/>
            </w:tcMar>
            <w:vAlign w:val="center"/>
          </w:tcPr>
          <w:p>
            <w:pPr>
              <w:pStyle w:val="TableContents"/>
              <w:bidi w:val="0"/>
              <w:spacing w:before="0" w:after="283"/>
              <w:jc w:val="center"/>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74" w:type="dxa"/>
            <w:tcBorders/>
            <w:tcMar>
              <w:bottom w:w="0" w:type="dxa"/>
            </w:tcMar>
            <w:vAlign w:val="center"/>
          </w:tcPr>
          <w:p>
            <w:pPr>
              <w:pStyle w:val="TableContents"/>
              <w:bidi w:val="0"/>
              <w:spacing w:before="0" w:after="283"/>
              <w:ind w:left="100" w:right="0" w:hanging="0"/>
              <w:jc w:val="left"/>
              <w:rPr>
                <w:spacing w:val="4"/>
              </w:rPr>
            </w:pPr>
            <w:r>
              <w:rPr>
                <w:spacing w:val="4"/>
              </w:rPr>
              <w:t xml:space="preserve">4.10*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754" w:type="dxa"/>
            <w:tcBorders/>
            <w:tcMar>
              <w:bottom w:w="0" w:type="dxa"/>
            </w:tcMar>
            <w:vAlign w:val="center"/>
          </w:tcPr>
          <w:p>
            <w:pPr>
              <w:pStyle w:val="TableContents"/>
              <w:bidi w:val="0"/>
              <w:spacing w:before="0" w:after="283"/>
              <w:jc w:val="left"/>
              <w:rPr>
                <w:spacing w:val="4"/>
              </w:rPr>
            </w:pPr>
            <w:r>
              <w:rPr>
                <w:spacing w:val="4"/>
              </w:rPr>
              <w:t xml:space="preserve">Form of Debt Security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17" w:type="dxa"/>
            <w:tcBorders/>
            <w:tcMar>
              <w:bottom w:w="0" w:type="dxa"/>
            </w:tcMar>
            <w:vAlign w:val="center"/>
          </w:tcPr>
          <w:p>
            <w:pPr>
              <w:pStyle w:val="TableContents"/>
              <w:bidi w:val="0"/>
              <w:spacing w:before="0" w:after="283"/>
              <w:jc w:val="center"/>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74" w:type="dxa"/>
            <w:tcBorders/>
            <w:tcMar>
              <w:bottom w:w="0" w:type="dxa"/>
            </w:tcMar>
            <w:vAlign w:val="center"/>
          </w:tcPr>
          <w:p>
            <w:pPr>
              <w:pStyle w:val="TableContents"/>
              <w:bidi w:val="0"/>
              <w:spacing w:before="0" w:after="283"/>
              <w:jc w:val="center"/>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74" w:type="dxa"/>
            <w:tcBorders/>
            <w:tcMar>
              <w:bottom w:w="0" w:type="dxa"/>
            </w:tcMar>
            <w:vAlign w:val="center"/>
          </w:tcPr>
          <w:p>
            <w:pPr>
              <w:pStyle w:val="TableContents"/>
              <w:bidi w:val="0"/>
              <w:spacing w:before="0" w:after="283"/>
              <w:ind w:left="100" w:right="0" w:hanging="0"/>
              <w:jc w:val="left"/>
              <w:rPr>
                <w:spacing w:val="4"/>
              </w:rPr>
            </w:pPr>
            <w:r>
              <w:rPr>
                <w:spacing w:val="4"/>
              </w:rPr>
              <w:t xml:space="preserve">4.11*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754" w:type="dxa"/>
            <w:tcBorders/>
            <w:tcMar>
              <w:bottom w:w="0" w:type="dxa"/>
            </w:tcMar>
            <w:vAlign w:val="center"/>
          </w:tcPr>
          <w:p>
            <w:pPr>
              <w:pStyle w:val="TableContents"/>
              <w:bidi w:val="0"/>
              <w:spacing w:before="0" w:after="283"/>
              <w:jc w:val="left"/>
              <w:rPr>
                <w:spacing w:val="4"/>
              </w:rPr>
            </w:pPr>
            <w:r>
              <w:rPr>
                <w:spacing w:val="4"/>
              </w:rPr>
              <w:t xml:space="preserve">Form of Warrant Agreement and Warrant Certificate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17" w:type="dxa"/>
            <w:tcBorders/>
            <w:tcMar>
              <w:bottom w:w="0" w:type="dxa"/>
            </w:tcMar>
            <w:vAlign w:val="center"/>
          </w:tcPr>
          <w:p>
            <w:pPr>
              <w:pStyle w:val="TableContents"/>
              <w:bidi w:val="0"/>
              <w:spacing w:before="0" w:after="283"/>
              <w:jc w:val="center"/>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74" w:type="dxa"/>
            <w:tcBorders/>
            <w:tcMar>
              <w:bottom w:w="0" w:type="dxa"/>
            </w:tcMar>
            <w:vAlign w:val="center"/>
          </w:tcPr>
          <w:p>
            <w:pPr>
              <w:pStyle w:val="TableContents"/>
              <w:bidi w:val="0"/>
              <w:spacing w:before="0" w:after="283"/>
              <w:jc w:val="center"/>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74" w:type="dxa"/>
            <w:tcBorders/>
            <w:tcMar>
              <w:bottom w:w="0" w:type="dxa"/>
            </w:tcMar>
            <w:vAlign w:val="center"/>
          </w:tcPr>
          <w:p>
            <w:pPr>
              <w:pStyle w:val="TableContents"/>
              <w:bidi w:val="0"/>
              <w:spacing w:before="0" w:after="283"/>
              <w:ind w:left="100" w:right="0" w:hanging="0"/>
              <w:jc w:val="left"/>
              <w:rPr>
                <w:spacing w:val="4"/>
              </w:rPr>
            </w:pPr>
            <w:r>
              <w:rPr>
                <w:spacing w:val="4"/>
              </w:rPr>
              <w:t xml:space="preserve">4.12*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754" w:type="dxa"/>
            <w:tcBorders/>
            <w:tcMar>
              <w:bottom w:w="0" w:type="dxa"/>
            </w:tcMar>
            <w:vAlign w:val="center"/>
          </w:tcPr>
          <w:p>
            <w:pPr>
              <w:pStyle w:val="TableContents"/>
              <w:bidi w:val="0"/>
              <w:spacing w:before="0" w:after="283"/>
              <w:jc w:val="left"/>
              <w:rPr>
                <w:spacing w:val="4"/>
              </w:rPr>
            </w:pPr>
            <w:r>
              <w:rPr>
                <w:spacing w:val="4"/>
              </w:rPr>
              <w:t xml:space="preserve">Form of Unit Agreement and Unit Certificate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17" w:type="dxa"/>
            <w:tcBorders/>
            <w:tcMar>
              <w:bottom w:w="0" w:type="dxa"/>
            </w:tcMar>
            <w:vAlign w:val="center"/>
          </w:tcPr>
          <w:p>
            <w:pPr>
              <w:pStyle w:val="TableContents"/>
              <w:bidi w:val="0"/>
              <w:spacing w:before="0" w:after="283"/>
              <w:jc w:val="center"/>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74" w:type="dxa"/>
            <w:tcBorders/>
            <w:tcMar>
              <w:bottom w:w="0" w:type="dxa"/>
            </w:tcMar>
            <w:vAlign w:val="center"/>
          </w:tcPr>
          <w:p>
            <w:pPr>
              <w:pStyle w:val="TableContents"/>
              <w:bidi w:val="0"/>
              <w:spacing w:before="0" w:after="283"/>
              <w:jc w:val="center"/>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74" w:type="dxa"/>
            <w:tcBorders/>
            <w:tcMar>
              <w:bottom w:w="0" w:type="dxa"/>
            </w:tcMar>
            <w:vAlign w:val="center"/>
          </w:tcPr>
          <w:p>
            <w:pPr>
              <w:pStyle w:val="TableContents"/>
              <w:bidi w:val="0"/>
              <w:spacing w:before="0" w:after="283"/>
              <w:ind w:left="100" w:right="0" w:hanging="0"/>
              <w:jc w:val="left"/>
              <w:rPr/>
            </w:pPr>
            <w:r>
              <w:rPr>
                <w:spacing w:val="4"/>
              </w:rPr>
              <w:t>4.13</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754" w:type="dxa"/>
            <w:tcBorders/>
            <w:tcMar>
              <w:bottom w:w="0" w:type="dxa"/>
            </w:tcMar>
            <w:vAlign w:val="center"/>
          </w:tcPr>
          <w:p>
            <w:pPr>
              <w:pStyle w:val="TableContents"/>
              <w:bidi w:val="0"/>
              <w:spacing w:before="0" w:after="0"/>
              <w:jc w:val="left"/>
              <w:rPr/>
            </w:pPr>
            <w:hyperlink w:anchor="tm2621843d2_ex4-13.htm">
              <w:r>
                <w:rPr>
                  <w:rStyle w:val="InternetLink"/>
                  <w:spacing w:val="4"/>
                </w:rPr>
                <w:t>Form of Pre-Funded Warrant</w:t>
              </w:r>
            </w:hyperlink>
            <w:r>
              <w:rPr>
                <w:spacing w:val="4"/>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17" w:type="dxa"/>
            <w:tcBorders/>
            <w:tcMar>
              <w:bottom w:w="0" w:type="dxa"/>
            </w:tcMar>
            <w:vAlign w:val="center"/>
          </w:tcPr>
          <w:p>
            <w:pPr>
              <w:pStyle w:val="TableContents"/>
              <w:bidi w:val="0"/>
              <w:spacing w:before="0" w:after="283"/>
              <w:jc w:val="center"/>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74" w:type="dxa"/>
            <w:tcBorders/>
            <w:tcMar>
              <w:bottom w:w="0" w:type="dxa"/>
            </w:tcMar>
            <w:vAlign w:val="center"/>
          </w:tcPr>
          <w:p>
            <w:pPr>
              <w:pStyle w:val="TableContents"/>
              <w:bidi w:val="0"/>
              <w:spacing w:before="0" w:after="283"/>
              <w:jc w:val="center"/>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74" w:type="dxa"/>
            <w:tcBorders/>
            <w:tcMar>
              <w:bottom w:w="0" w:type="dxa"/>
            </w:tcMar>
            <w:vAlign w:val="center"/>
          </w:tcPr>
          <w:p>
            <w:pPr>
              <w:pStyle w:val="TableContents"/>
              <w:bidi w:val="0"/>
              <w:spacing w:before="0" w:after="283"/>
              <w:ind w:left="100" w:right="0" w:hanging="0"/>
              <w:jc w:val="left"/>
              <w:rPr>
                <w:spacing w:val="4"/>
              </w:rPr>
            </w:pPr>
            <w:r>
              <w:rPr>
                <w:spacing w:val="4"/>
              </w:rPr>
              <w:t xml:space="preserve">5.1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754" w:type="dxa"/>
            <w:tcBorders/>
            <w:tcMar>
              <w:bottom w:w="0" w:type="dxa"/>
            </w:tcMar>
            <w:vAlign w:val="center"/>
          </w:tcPr>
          <w:p>
            <w:pPr>
              <w:pStyle w:val="TableContents"/>
              <w:bidi w:val="0"/>
              <w:spacing w:before="0" w:after="0"/>
              <w:jc w:val="left"/>
              <w:rPr/>
            </w:pPr>
            <w:hyperlink w:anchor="tm2621843d2_ex5-1.htm">
              <w:r>
                <w:rPr>
                  <w:rStyle w:val="InternetLink"/>
                  <w:spacing w:val="4"/>
                </w:rPr>
                <w:t>Opinion of Morgan, Lewis &amp; Bockius LLP</w:t>
              </w:r>
            </w:hyperlink>
            <w:r>
              <w:rPr>
                <w:spacing w:val="4"/>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17" w:type="dxa"/>
            <w:tcBorders/>
            <w:tcMar>
              <w:bottom w:w="0" w:type="dxa"/>
            </w:tcMar>
            <w:vAlign w:val="center"/>
          </w:tcPr>
          <w:p>
            <w:pPr>
              <w:pStyle w:val="TableContents"/>
              <w:bidi w:val="0"/>
              <w:spacing w:before="0" w:after="283"/>
              <w:jc w:val="center"/>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74" w:type="dxa"/>
            <w:tcBorders/>
            <w:tcMar>
              <w:bottom w:w="0" w:type="dxa"/>
            </w:tcMar>
            <w:vAlign w:val="center"/>
          </w:tcPr>
          <w:p>
            <w:pPr>
              <w:pStyle w:val="TableContents"/>
              <w:bidi w:val="0"/>
              <w:spacing w:before="0" w:after="283"/>
              <w:jc w:val="center"/>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74" w:type="dxa"/>
            <w:tcBorders/>
            <w:tcMar>
              <w:bottom w:w="0" w:type="dxa"/>
            </w:tcMar>
            <w:vAlign w:val="center"/>
          </w:tcPr>
          <w:p>
            <w:pPr>
              <w:pStyle w:val="TableContents"/>
              <w:bidi w:val="0"/>
              <w:spacing w:before="0" w:after="283"/>
              <w:jc w:val="left"/>
              <w:rPr>
                <w:spacing w:val="4"/>
              </w:rPr>
            </w:pPr>
            <w:r>
              <w:rPr>
                <w:spacing w:val="4"/>
              </w:rPr>
              <w:t xml:space="preserve">23.1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754" w:type="dxa"/>
            <w:tcBorders/>
            <w:tcMar>
              <w:bottom w:w="0" w:type="dxa"/>
            </w:tcMar>
            <w:vAlign w:val="center"/>
          </w:tcPr>
          <w:p>
            <w:pPr>
              <w:pStyle w:val="TableContents"/>
              <w:bidi w:val="0"/>
              <w:spacing w:before="0" w:after="0"/>
              <w:jc w:val="left"/>
              <w:rPr/>
            </w:pPr>
            <w:hyperlink w:anchor="tm2621843d2_ex5-1.htm">
              <w:r>
                <w:rPr>
                  <w:rStyle w:val="InternetLink"/>
                  <w:spacing w:val="4"/>
                </w:rPr>
                <w:t>Consent of Morgan, Lewis &amp; Bockius LLP (included in Exhibit 5.1)</w:t>
              </w:r>
            </w:hyperlink>
            <w:r>
              <w:rPr>
                <w:spacing w:val="4"/>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17" w:type="dxa"/>
            <w:tcBorders/>
            <w:tcMar>
              <w:bottom w:w="0" w:type="dxa"/>
            </w:tcMar>
            <w:vAlign w:val="center"/>
          </w:tcPr>
          <w:p>
            <w:pPr>
              <w:pStyle w:val="TableContents"/>
              <w:bidi w:val="0"/>
              <w:spacing w:before="0" w:after="283"/>
              <w:jc w:val="center"/>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74" w:type="dxa"/>
            <w:tcBorders/>
            <w:tcMar>
              <w:bottom w:w="0" w:type="dxa"/>
            </w:tcMar>
            <w:vAlign w:val="center"/>
          </w:tcPr>
          <w:p>
            <w:pPr>
              <w:pStyle w:val="TableContents"/>
              <w:bidi w:val="0"/>
              <w:spacing w:before="0" w:after="283"/>
              <w:jc w:val="center"/>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74" w:type="dxa"/>
            <w:tcBorders/>
            <w:tcMar>
              <w:bottom w:w="0" w:type="dxa"/>
            </w:tcMar>
            <w:vAlign w:val="center"/>
          </w:tcPr>
          <w:p>
            <w:pPr>
              <w:pStyle w:val="TableContents"/>
              <w:bidi w:val="0"/>
              <w:spacing w:before="0" w:after="283"/>
              <w:jc w:val="left"/>
              <w:rPr>
                <w:spacing w:val="4"/>
              </w:rPr>
            </w:pPr>
            <w:r>
              <w:rPr>
                <w:spacing w:val="4"/>
              </w:rPr>
              <w:t xml:space="preserve">23.2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754" w:type="dxa"/>
            <w:tcBorders/>
            <w:tcMar>
              <w:bottom w:w="0" w:type="dxa"/>
            </w:tcMar>
            <w:vAlign w:val="center"/>
          </w:tcPr>
          <w:p>
            <w:pPr>
              <w:pStyle w:val="TableContents"/>
              <w:bidi w:val="0"/>
              <w:spacing w:before="0" w:after="0"/>
              <w:jc w:val="left"/>
              <w:rPr/>
            </w:pPr>
            <w:hyperlink w:anchor="tm2621843d2_ex23-2.htm">
              <w:r>
                <w:rPr>
                  <w:rStyle w:val="InternetLink"/>
                  <w:spacing w:val="4"/>
                </w:rPr>
                <w:t>Consent of PricewaterhouseCoopers LLP, Independent Registered Public Accounting Firm</w:t>
              </w:r>
            </w:hyperlink>
            <w:r>
              <w:rPr>
                <w:spacing w:val="4"/>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17" w:type="dxa"/>
            <w:tcBorders/>
            <w:tcMar>
              <w:bottom w:w="0" w:type="dxa"/>
            </w:tcMar>
            <w:vAlign w:val="center"/>
          </w:tcPr>
          <w:p>
            <w:pPr>
              <w:pStyle w:val="TableContents"/>
              <w:bidi w:val="0"/>
              <w:spacing w:before="0" w:after="283"/>
              <w:jc w:val="center"/>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74" w:type="dxa"/>
            <w:tcBorders/>
            <w:tcMar>
              <w:bottom w:w="0" w:type="dxa"/>
            </w:tcMar>
            <w:vAlign w:val="center"/>
          </w:tcPr>
          <w:p>
            <w:pPr>
              <w:pStyle w:val="TableContents"/>
              <w:bidi w:val="0"/>
              <w:spacing w:before="0" w:after="283"/>
              <w:jc w:val="center"/>
              <w:rPr/>
            </w:pPr>
            <w:r>
              <w:rPr/>
              <w:t>​</w:t>
            </w:r>
          </w:p>
        </w:tc>
        <w:tc>
          <w:tcPr>
            <w:tcW w:w="157"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28" w:type="dxa"/>
          <w:right w:w="0" w:type="dxa"/>
        </w:tblCellMar>
      </w:tblPr>
      <w:tblGrid>
        <w:gridCol w:w="124"/>
        <w:gridCol w:w="900"/>
        <w:gridCol w:w="109"/>
        <w:gridCol w:w="109"/>
        <w:gridCol w:w="4647"/>
        <w:gridCol w:w="109"/>
        <w:gridCol w:w="109"/>
        <w:gridCol w:w="636"/>
        <w:gridCol w:w="109"/>
        <w:gridCol w:w="109"/>
        <w:gridCol w:w="576"/>
        <w:gridCol w:w="109"/>
        <w:gridCol w:w="109"/>
        <w:gridCol w:w="900"/>
        <w:gridCol w:w="157"/>
      </w:tblGrid>
      <w:tr>
        <w:trPr/>
        <w:tc>
          <w:tcPr>
            <w:tcW w:w="124" w:type="dxa"/>
            <w:tcBorders>
              <w:bottom w:val="single" w:sz="2" w:space="0" w:color="FFFFFF"/>
            </w:tcBorders>
            <w:vAlign w:val="center"/>
          </w:tcPr>
          <w:p>
            <w:pPr>
              <w:pStyle w:val="TableContents"/>
              <w:bidi w:val="0"/>
              <w:spacing w:before="0" w:after="283"/>
              <w:jc w:val="left"/>
              <w:rPr/>
            </w:pPr>
            <w:r>
              <w:rPr/>
              <w:t>​</w:t>
            </w:r>
          </w:p>
        </w:tc>
        <w:tc>
          <w:tcPr>
            <w:tcW w:w="90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4647"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548" w:type="dxa"/>
            <w:gridSpan w:val="7"/>
            <w:tcBorders>
              <w:bottom w:val="single" w:sz="2" w:space="0" w:color="000000"/>
            </w:tcBorders>
            <w:tcMar>
              <w:bottom w:w="50" w:type="dxa"/>
            </w:tcMar>
            <w:vAlign w:val="center"/>
          </w:tcPr>
          <w:p>
            <w:pPr>
              <w:pStyle w:val="TableContents"/>
              <w:bidi w:val="0"/>
              <w:spacing w:lineRule="atLeast" w:line="180" w:before="0" w:after="0"/>
              <w:jc w:val="center"/>
              <w:rPr>
                <w:spacing w:val="-3"/>
              </w:rPr>
            </w:pPr>
            <w:r>
              <w:rPr>
                <w:spacing w:val="-3"/>
              </w:rPr>
              <w:t xml:space="preserve">Incorporated by Reference </w:t>
            </w:r>
          </w:p>
        </w:tc>
        <w:tc>
          <w:tcPr>
            <w:tcW w:w="157" w:type="dxa"/>
            <w:tcBorders>
              <w:bottom w:val="single" w:sz="2" w:space="0" w:color="FFFFFF"/>
            </w:tcBorders>
            <w:vAlign w:val="center"/>
          </w:tcPr>
          <w:p>
            <w:pPr>
              <w:pStyle w:val="TableContents"/>
              <w:bidi w:val="0"/>
              <w:spacing w:before="0" w:after="283"/>
              <w:jc w:val="left"/>
              <w:rPr/>
            </w:pPr>
            <w:r>
              <w:rPr/>
              <w:t>​</w:t>
            </w:r>
          </w:p>
        </w:tc>
      </w:tr>
      <w:tr>
        <w:trPr/>
        <w:tc>
          <w:tcPr>
            <w:tcW w:w="124" w:type="dxa"/>
            <w:tcBorders>
              <w:bottom w:val="single" w:sz="2" w:space="0" w:color="FFFFFF"/>
            </w:tcBorders>
            <w:vAlign w:val="center"/>
          </w:tcPr>
          <w:p>
            <w:pPr>
              <w:pStyle w:val="TableContents"/>
              <w:bidi w:val="0"/>
              <w:spacing w:before="0" w:after="283"/>
              <w:jc w:val="left"/>
              <w:rPr/>
            </w:pPr>
            <w:r>
              <w:rPr/>
              <w:t>​</w:t>
            </w:r>
          </w:p>
        </w:tc>
        <w:tc>
          <w:tcPr>
            <w:tcW w:w="900" w:type="dxa"/>
            <w:tcBorders>
              <w:bottom w:val="single" w:sz="2" w:space="0" w:color="000000"/>
            </w:tcBorders>
            <w:tcMar>
              <w:bottom w:w="43" w:type="dxa"/>
            </w:tcMar>
            <w:vAlign w:val="center"/>
          </w:tcPr>
          <w:p>
            <w:pPr>
              <w:pStyle w:val="TableContents"/>
              <w:bidi w:val="0"/>
              <w:spacing w:before="0" w:after="0"/>
              <w:jc w:val="center"/>
              <w:rPr/>
            </w:pPr>
            <w:r>
              <w:rPr>
                <w:spacing w:val="-3"/>
              </w:rPr>
              <w:t>Exhibit</w:t>
            </w:r>
            <w:r>
              <w:rPr/>
              <w:t xml:space="preserve"> </w:t>
              <w:br/>
            </w:r>
            <w:r>
              <w:rPr>
                <w:spacing w:val="-3"/>
              </w:rPr>
              <w:t xml:space="preserve">Number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4647" w:type="dxa"/>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Exhibit Description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636" w:type="dxa"/>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Form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576" w:type="dxa"/>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Date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00" w:type="dxa"/>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Number </w:t>
            </w:r>
          </w:p>
        </w:tc>
        <w:tc>
          <w:tcPr>
            <w:tcW w:w="157"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900" w:type="dxa"/>
            <w:tcBorders/>
            <w:tcMar>
              <w:bottom w:w="0" w:type="dxa"/>
            </w:tcMar>
            <w:vAlign w:val="center"/>
          </w:tcPr>
          <w:p>
            <w:pPr>
              <w:pStyle w:val="TableContents"/>
              <w:bidi w:val="0"/>
              <w:spacing w:before="0" w:after="283"/>
              <w:jc w:val="left"/>
              <w:rPr>
                <w:spacing w:val="4"/>
              </w:rPr>
            </w:pPr>
            <w:r>
              <w:rPr>
                <w:spacing w:val="4"/>
              </w:rPr>
              <w:t xml:space="preserve">24.1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647" w:type="dxa"/>
            <w:tcBorders/>
            <w:tcMar>
              <w:bottom w:w="0" w:type="dxa"/>
            </w:tcMar>
            <w:vAlign w:val="center"/>
          </w:tcPr>
          <w:p>
            <w:pPr>
              <w:pStyle w:val="TableContents"/>
              <w:bidi w:val="0"/>
              <w:spacing w:before="0" w:after="0"/>
              <w:jc w:val="left"/>
              <w:rPr/>
            </w:pPr>
            <w:hyperlink w:anchor="tSIGN">
              <w:r>
                <w:rPr>
                  <w:rStyle w:val="InternetLink"/>
                  <w:spacing w:val="4"/>
                </w:rPr>
                <w:t>Power of Attorney (incorporated by reference to the signature page hereto).</w:t>
              </w:r>
            </w:hyperlink>
            <w:r>
              <w:rPr>
                <w:spacing w:val="4"/>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36" w:type="dxa"/>
            <w:tcBorders/>
            <w:tcMar>
              <w:bottom w:w="0" w:type="dxa"/>
            </w:tcMar>
            <w:vAlign w:val="center"/>
          </w:tcPr>
          <w:p>
            <w:pPr>
              <w:pStyle w:val="TableContents"/>
              <w:bidi w:val="0"/>
              <w:spacing w:before="0" w:after="283"/>
              <w:jc w:val="center"/>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7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00" w:type="dxa"/>
            <w:tcBorders/>
            <w:tcMar>
              <w:bottom w:w="0" w:type="dxa"/>
            </w:tcMar>
            <w:vAlign w:val="center"/>
          </w:tcPr>
          <w:p>
            <w:pPr>
              <w:pStyle w:val="TableContents"/>
              <w:bidi w:val="0"/>
              <w:spacing w:before="0" w:after="283"/>
              <w:jc w:val="center"/>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900" w:type="dxa"/>
            <w:tcBorders/>
            <w:tcMar>
              <w:bottom w:w="0" w:type="dxa"/>
            </w:tcMar>
            <w:vAlign w:val="center"/>
          </w:tcPr>
          <w:p>
            <w:pPr>
              <w:pStyle w:val="TableContents"/>
              <w:bidi w:val="0"/>
              <w:spacing w:before="0" w:after="0"/>
              <w:jc w:val="both"/>
              <w:rPr>
                <w:spacing w:val="4"/>
              </w:rPr>
            </w:pPr>
            <w:r>
              <w:rPr>
                <w:spacing w:val="4"/>
              </w:rPr>
              <w:t xml:space="preserve">25.1**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647" w:type="dxa"/>
            <w:tcBorders/>
            <w:tcMar>
              <w:bottom w:w="0" w:type="dxa"/>
            </w:tcMar>
            <w:vAlign w:val="center"/>
          </w:tcPr>
          <w:p>
            <w:pPr>
              <w:pStyle w:val="TableContents"/>
              <w:bidi w:val="0"/>
              <w:spacing w:before="0" w:after="283"/>
              <w:jc w:val="left"/>
              <w:rPr>
                <w:spacing w:val="4"/>
              </w:rPr>
            </w:pPr>
            <w:r>
              <w:rPr>
                <w:spacing w:val="4"/>
              </w:rPr>
              <w:t xml:space="preserve">Form T-1 Statement of Eligibility of Trustee under the Indenture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36" w:type="dxa"/>
            <w:tcBorders/>
            <w:tcMar>
              <w:bottom w:w="0" w:type="dxa"/>
            </w:tcMar>
            <w:vAlign w:val="center"/>
          </w:tcPr>
          <w:p>
            <w:pPr>
              <w:pStyle w:val="TableContents"/>
              <w:bidi w:val="0"/>
              <w:spacing w:before="0" w:after="283"/>
              <w:jc w:val="center"/>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7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00" w:type="dxa"/>
            <w:tcBorders/>
            <w:tcMar>
              <w:bottom w:w="0" w:type="dxa"/>
            </w:tcMar>
            <w:vAlign w:val="center"/>
          </w:tcPr>
          <w:p>
            <w:pPr>
              <w:pStyle w:val="TableContents"/>
              <w:bidi w:val="0"/>
              <w:spacing w:before="0" w:after="283"/>
              <w:jc w:val="center"/>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900" w:type="dxa"/>
            <w:tcBorders/>
            <w:tcMar>
              <w:bottom w:w="0" w:type="dxa"/>
            </w:tcMar>
            <w:vAlign w:val="center"/>
          </w:tcPr>
          <w:p>
            <w:pPr>
              <w:pStyle w:val="TableContents"/>
              <w:bidi w:val="0"/>
              <w:spacing w:before="0" w:after="283"/>
              <w:jc w:val="left"/>
              <w:rPr>
                <w:spacing w:val="4"/>
              </w:rPr>
            </w:pPr>
            <w:r>
              <w:rPr>
                <w:spacing w:val="4"/>
              </w:rPr>
              <w:t xml:space="preserve">107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647" w:type="dxa"/>
            <w:tcBorders/>
            <w:tcMar>
              <w:bottom w:w="0" w:type="dxa"/>
            </w:tcMar>
            <w:vAlign w:val="center"/>
          </w:tcPr>
          <w:p>
            <w:pPr>
              <w:pStyle w:val="TableContents"/>
              <w:bidi w:val="0"/>
              <w:spacing w:before="0" w:after="0"/>
              <w:jc w:val="left"/>
              <w:rPr/>
            </w:pPr>
            <w:hyperlink w:anchor="tm2621843d1_ex-filingfees.htm">
              <w:r>
                <w:rPr>
                  <w:rStyle w:val="InternetLink"/>
                  <w:spacing w:val="4"/>
                </w:rPr>
                <w:t>Filing Fee Table</w:t>
              </w:r>
            </w:hyperlink>
            <w:r>
              <w:rPr>
                <w:spacing w:val="4"/>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36" w:type="dxa"/>
            <w:tcBorders/>
            <w:tcMar>
              <w:bottom w:w="0" w:type="dxa"/>
            </w:tcMar>
            <w:vAlign w:val="center"/>
          </w:tcPr>
          <w:p>
            <w:pPr>
              <w:pStyle w:val="TableContents"/>
              <w:bidi w:val="0"/>
              <w:spacing w:before="0" w:after="283"/>
              <w:jc w:val="center"/>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7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00" w:type="dxa"/>
            <w:tcBorders/>
            <w:tcMar>
              <w:bottom w:w="0" w:type="dxa"/>
            </w:tcMar>
            <w:vAlign w:val="center"/>
          </w:tcPr>
          <w:p>
            <w:pPr>
              <w:pStyle w:val="TableContents"/>
              <w:bidi w:val="0"/>
              <w:spacing w:before="0" w:after="283"/>
              <w:jc w:val="center"/>
              <w:rPr/>
            </w:pPr>
            <w:r>
              <w:rPr/>
              <w:t>​</w:t>
            </w:r>
          </w:p>
        </w:tc>
        <w:tc>
          <w:tcPr>
            <w:tcW w:w="157"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be filed by amendment or as an exhibit to a document filed under the Exchange Act and incorporated by reference herein. </w:t>
      </w:r>
      <w:r>
        <mc:AlternateContent>
          <mc:Choice Requires="wps">
            <w:drawing>
              <wp:anchor behindDoc="0" distT="101600" distB="0" distL="0" distR="0" simplePos="0" locked="0" layoutInCell="1" allowOverlap="1" relativeHeight="159">
                <wp:simplePos x="0" y="0"/>
                <wp:positionH relativeFrom="column">
                  <wp:align>left</wp:align>
                </wp:positionH>
                <wp:positionV relativeFrom="line">
                  <wp:align>top</wp:align>
                </wp:positionV>
                <wp:extent cx="254000" cy="350520"/>
                <wp:effectExtent l="0" t="0" r="0" b="0"/>
                <wp:wrapSquare wrapText="right"/>
                <wp:docPr id="155" name="Frame15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before="0" w:after="283"/>
                        <w:jc w:val="left"/>
                        <w:rPr/>
                      </w:pPr>
                      <w:r>
                        <w:rPr>
                          <w:spacing w:val="4"/>
                        </w:rPr>
                        <w:t>*</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be filed separately pursuant to Section 305(b)(2) of the Trust Indenture Act of 1939, as amended, and the appropriate rules and regulations thereunder. </w:t>
      </w:r>
      <w:r>
        <mc:AlternateContent>
          <mc:Choice Requires="wps">
            <w:drawing>
              <wp:anchor behindDoc="0" distT="50800" distB="0" distL="0" distR="0" simplePos="0" locked="0" layoutInCell="1" allowOverlap="1" relativeHeight="160">
                <wp:simplePos x="0" y="0"/>
                <wp:positionH relativeFrom="column">
                  <wp:align>left</wp:align>
                </wp:positionH>
                <wp:positionV relativeFrom="line">
                  <wp:align>top</wp:align>
                </wp:positionV>
                <wp:extent cx="254000" cy="350520"/>
                <wp:effectExtent l="0" t="0" r="0" b="0"/>
                <wp:wrapSquare wrapText="right"/>
                <wp:docPr id="156" name="Frame15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Item 17.   Undertakings.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undersigned registrant hereby undertakes: </w:t>
      </w:r>
      <w:r>
        <mc:AlternateContent>
          <mc:Choice Requires="wps">
            <w:drawing>
              <wp:anchor behindDoc="0" distT="101600" distB="0" distL="254000" distR="0" simplePos="0" locked="0" layoutInCell="1" allowOverlap="1" relativeHeight="161">
                <wp:simplePos x="0" y="0"/>
                <wp:positionH relativeFrom="column">
                  <wp:align>left</wp:align>
                </wp:positionH>
                <wp:positionV relativeFrom="line">
                  <wp:align>top</wp:align>
                </wp:positionV>
                <wp:extent cx="254000" cy="350520"/>
                <wp:effectExtent l="0" t="0" r="0" b="0"/>
                <wp:wrapSquare wrapText="right"/>
                <wp:docPr id="157" name="Frame15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file, during any period in which offers or sales are being made, a post-effective amendment to this registration statement: </w:t>
      </w:r>
      <w:r>
        <mc:AlternateContent>
          <mc:Choice Requires="wps">
            <w:drawing>
              <wp:anchor behindDoc="0" distT="101600" distB="0" distL="508000" distR="0" simplePos="0" locked="0" layoutInCell="1" allowOverlap="1" relativeHeight="162">
                <wp:simplePos x="0" y="0"/>
                <wp:positionH relativeFrom="column">
                  <wp:align>left</wp:align>
                </wp:positionH>
                <wp:positionV relativeFrom="line">
                  <wp:align>top</wp:align>
                </wp:positionV>
                <wp:extent cx="254000" cy="350520"/>
                <wp:effectExtent l="0" t="0" r="0" b="0"/>
                <wp:wrapSquare wrapText="right"/>
                <wp:docPr id="158" name="Frame15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8pt;mso-wrap-distance-bottom:0pt;margin-top: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include any prospectus required by Section 10(a)(3) of the Securities Act of 1933; </w:t>
      </w:r>
      <w:r>
        <mc:AlternateContent>
          <mc:Choice Requires="wps">
            <w:drawing>
              <wp:anchor behindDoc="0" distT="101600" distB="0" distL="762000" distR="0" simplePos="0" locked="0" layoutInCell="1" allowOverlap="1" relativeHeight="163">
                <wp:simplePos x="0" y="0"/>
                <wp:positionH relativeFrom="column">
                  <wp:align>left</wp:align>
                </wp:positionH>
                <wp:positionV relativeFrom="line">
                  <wp:align>top</wp:align>
                </wp:positionV>
                <wp:extent cx="254000" cy="350520"/>
                <wp:effectExtent l="0" t="0" r="0" b="0"/>
                <wp:wrapSquare wrapText="right"/>
                <wp:docPr id="159" name="Frame15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60pt;mso-wrap-distance-right:0pt;mso-wrap-distance-top:8pt;mso-wrap-distance-bottom:0pt;margin-top:8pt;mso-position-vertical:top;mso-position-vertical-relative:text;margin-left:60pt;mso-position-horizontal:left;mso-position-horizontal-relative:text">
                <v:textbox>
                  <w:txbxContent>
                    <w:p>
                      <w:pPr>
                        <w:pStyle w:val="TextBody"/>
                        <w:bidi w:val="0"/>
                        <w:spacing w:lineRule="atLeast" w:line="240" w:before="0" w:after="283"/>
                        <w:jc w:val="left"/>
                        <w:rPr/>
                      </w:pPr>
                      <w:r>
                        <w:rPr>
                          <w:spacing w:val="4"/>
                        </w:rPr>
                        <w:t>(i)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Securities and Exchange Commission pursuant to Rule 424(b) if, in the aggregate, the changes in volume and price represent no more than a 20% change in the maximum aggregate offering price set forth in the “Calculation of Registration Fee” table in the effective registration statement; </w:t>
      </w:r>
      <w:r>
        <mc:AlternateContent>
          <mc:Choice Requires="wps">
            <w:drawing>
              <wp:anchor behindDoc="0" distT="101600" distB="0" distL="762000" distR="0" simplePos="0" locked="0" layoutInCell="1" allowOverlap="1" relativeHeight="164">
                <wp:simplePos x="0" y="0"/>
                <wp:positionH relativeFrom="column">
                  <wp:align>left</wp:align>
                </wp:positionH>
                <wp:positionV relativeFrom="line">
                  <wp:align>top</wp:align>
                </wp:positionV>
                <wp:extent cx="254000" cy="350520"/>
                <wp:effectExtent l="0" t="0" r="0" b="0"/>
                <wp:wrapSquare wrapText="right"/>
                <wp:docPr id="160" name="Frame15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60pt;mso-wrap-distance-right:0pt;mso-wrap-distance-top:8pt;mso-wrap-distance-bottom:0pt;margin-top:8pt;mso-position-vertical:top;mso-position-vertical-relative:text;margin-left:60pt;mso-position-horizontal:left;mso-position-horizontal-relative:text">
                <v:textbox>
                  <w:txbxContent>
                    <w:p>
                      <w:pPr>
                        <w:pStyle w:val="TextBody"/>
                        <w:bidi w:val="0"/>
                        <w:spacing w:lineRule="atLeast" w:line="240" w:before="0" w:after="283"/>
                        <w:jc w:val="left"/>
                        <w:rPr/>
                      </w:pPr>
                      <w:r>
                        <w:rPr>
                          <w:spacing w:val="4"/>
                        </w:rPr>
                        <w:t>(ii)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include any material information with respect to the plan of distribution not previously disclosed in the registration statement or any material change to such information in the registration statement; </w:t>
      </w:r>
      <w:r>
        <mc:AlternateContent>
          <mc:Choice Requires="wps">
            <w:drawing>
              <wp:anchor behindDoc="0" distT="101600" distB="0" distL="762000" distR="0" simplePos="0" locked="0" layoutInCell="1" allowOverlap="1" relativeHeight="165">
                <wp:simplePos x="0" y="0"/>
                <wp:positionH relativeFrom="column">
                  <wp:align>left</wp:align>
                </wp:positionH>
                <wp:positionV relativeFrom="line">
                  <wp:align>top</wp:align>
                </wp:positionV>
                <wp:extent cx="254000" cy="525780"/>
                <wp:effectExtent l="0" t="0" r="0" b="0"/>
                <wp:wrapSquare wrapText="right"/>
                <wp:docPr id="161" name="Frame160"/>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(iii)</w:t>
                            </w:r>
                            <w:r>
                              <w:rPr/>
                              <w:t xml:space="preserve"> </w:t>
                              <w:br/>
                            </w:r>
                          </w:p>
                        </w:txbxContent>
                      </wps:txbx>
                      <wps:bodyPr anchor="t" lIns="0" tIns="0" rIns="0" bIns="0">
                        <a:noAutofit/>
                      </wps:bodyPr>
                    </wps:wsp>
                  </a:graphicData>
                </a:graphic>
              </wp:anchor>
            </w:drawing>
          </mc:Choice>
          <mc:Fallback>
            <w:pict>
              <v:rect style="position:absolute;rotation:-0;width:20pt;height:41.4pt;mso-wrap-distance-left:60pt;mso-wrap-distance-right:0pt;mso-wrap-distance-top:8pt;mso-wrap-distance-bottom:0pt;margin-top:8pt;mso-position-vertical:top;mso-position-vertical-relative:text;margin-left:60pt;mso-position-horizontal:left;mso-position-horizontal-relative:text">
                <v:textbox>
                  <w:txbxContent>
                    <w:p>
                      <w:pPr>
                        <w:pStyle w:val="TextBody"/>
                        <w:bidi w:val="0"/>
                        <w:spacing w:lineRule="atLeast" w:line="240" w:before="0" w:after="283"/>
                        <w:jc w:val="left"/>
                        <w:rPr/>
                      </w:pPr>
                      <w:r>
                        <w:rPr>
                          <w:spacing w:val="4"/>
                        </w:rPr>
                        <w:t>(iii)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provided, however, that the undertakings set forth in paragraphs (a)(1)(i), (a)(1)(ii) and (a)(1)(iii) of this section do not apply if the information required to be included in a post-effective amendment by those paragraphs is contained in reports filed with or furnished to the Securities and Exchange Commission by the registrant pursuant to Section 13 or Section 15(d) of the Securities Exchange Act of 1934 that are incorporated by reference in the registration statement, or is contained in a form of prospectus filed pursuant to Rule 424(b) that is part of the registration statement. </w:t>
      </w:r>
    </w:p>
    <w:p>
      <w:pPr>
        <w:pStyle w:val="TextBody"/>
        <w:bidi w:val="0"/>
        <w:spacing w:lineRule="atLeast" w:line="240" w:before="160"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 </w:t>
      </w:r>
      <w:r>
        <mc:AlternateContent>
          <mc:Choice Requires="wps">
            <w:drawing>
              <wp:anchor behindDoc="0" distT="101600" distB="0" distL="508000" distR="0" simplePos="0" locked="0" layoutInCell="1" allowOverlap="1" relativeHeight="166">
                <wp:simplePos x="0" y="0"/>
                <wp:positionH relativeFrom="column">
                  <wp:align>left</wp:align>
                </wp:positionH>
                <wp:positionV relativeFrom="line">
                  <wp:align>top</wp:align>
                </wp:positionV>
                <wp:extent cx="254000" cy="350520"/>
                <wp:effectExtent l="0" t="0" r="0" b="0"/>
                <wp:wrapSquare wrapText="right"/>
                <wp:docPr id="162" name="Frame16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8pt;mso-wrap-distance-bottom:0pt;margin-top: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remove from registration by means of a post-effective amendment any of the securities being registered which remain unsold at the termination of the offering. </w:t>
      </w:r>
      <w:r>
        <mc:AlternateContent>
          <mc:Choice Requires="wps">
            <w:drawing>
              <wp:anchor behindDoc="0" distT="101600" distB="0" distL="508000" distR="0" simplePos="0" locked="0" layoutInCell="1" allowOverlap="1" relativeHeight="167">
                <wp:simplePos x="0" y="0"/>
                <wp:positionH relativeFrom="column">
                  <wp:align>left</wp:align>
                </wp:positionH>
                <wp:positionV relativeFrom="line">
                  <wp:align>top</wp:align>
                </wp:positionV>
                <wp:extent cx="254000" cy="350520"/>
                <wp:effectExtent l="0" t="0" r="0" b="0"/>
                <wp:wrapSquare wrapText="right"/>
                <wp:docPr id="163" name="Frame16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8pt;mso-wrap-distance-bottom:0pt;margin-top: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That, for the purpose of determining liability under the Securities Act of 1933 to any purchaser: </w:t>
      </w:r>
      <w:r>
        <mc:AlternateContent>
          <mc:Choice Requires="wps">
            <w:drawing>
              <wp:anchor behindDoc="0" distT="101600" distB="0" distL="508000" distR="0" simplePos="0" locked="0" layoutInCell="1" allowOverlap="1" relativeHeight="168">
                <wp:simplePos x="0" y="0"/>
                <wp:positionH relativeFrom="column">
                  <wp:align>left</wp:align>
                </wp:positionH>
                <wp:positionV relativeFrom="line">
                  <wp:align>top</wp:align>
                </wp:positionV>
                <wp:extent cx="254000" cy="350520"/>
                <wp:effectExtent l="0" t="0" r="0" b="0"/>
                <wp:wrapSquare wrapText="right"/>
                <wp:docPr id="164" name="Frame16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8pt;mso-wrap-distance-bottom:0pt;margin-top: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2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prospectus filed by the registrant pursuant to Rule 424(b)(3) shall be deemed to be part of the registration statement as of the date the filed prospectus was deemed part of and included in the registration statement; and </w:t>
      </w:r>
      <w:r>
        <mc:AlternateContent>
          <mc:Choice Requires="wps">
            <w:drawing>
              <wp:anchor behindDoc="0" distT="0" distB="0" distL="762000" distR="0" simplePos="0" locked="0" layoutInCell="1" allowOverlap="1" relativeHeight="169">
                <wp:simplePos x="0" y="0"/>
                <wp:positionH relativeFrom="column">
                  <wp:align>left</wp:align>
                </wp:positionH>
                <wp:positionV relativeFrom="line">
                  <wp:posOffset>635</wp:posOffset>
                </wp:positionV>
                <wp:extent cx="254000" cy="350520"/>
                <wp:effectExtent l="0" t="0" r="0" b="0"/>
                <wp:wrapSquare wrapText="right"/>
                <wp:docPr id="165" name="Frame16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60pt;mso-wrap-distance-right:0pt;mso-wrap-distance-top:0pt;mso-wrap-distance-bottom:0pt;margin-top:0pt;mso-position-vertical:top;mso-position-vertical-relative:text;margin-left:60pt;mso-position-horizontal:left;mso-position-horizontal-relative:text">
                <v:textbox>
                  <w:txbxContent>
                    <w:p>
                      <w:pPr>
                        <w:pStyle w:val="TextBody"/>
                        <w:bidi w:val="0"/>
                        <w:spacing w:lineRule="atLeast" w:line="240" w:before="0" w:after="283"/>
                        <w:jc w:val="left"/>
                        <w:rPr/>
                      </w:pPr>
                      <w:r>
                        <w:rPr>
                          <w:spacing w:val="4"/>
                        </w:rPr>
                        <w:t>(i)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2" w:after="0"/>
        <w:ind w:left="2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w:t>
      </w:r>
      <w:r>
        <mc:AlternateContent>
          <mc:Choice Requires="wps">
            <w:drawing>
              <wp:anchor behindDoc="0" distT="102870" distB="0" distL="762000" distR="0" simplePos="0" locked="0" layoutInCell="1" allowOverlap="1" relativeHeight="170">
                <wp:simplePos x="0" y="0"/>
                <wp:positionH relativeFrom="column">
                  <wp:align>left</wp:align>
                </wp:positionH>
                <wp:positionV relativeFrom="line">
                  <wp:align>top</wp:align>
                </wp:positionV>
                <wp:extent cx="254000" cy="350520"/>
                <wp:effectExtent l="0" t="0" r="0" b="0"/>
                <wp:wrapSquare wrapText="right"/>
                <wp:docPr id="166" name="Frame16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60pt;mso-wrap-distance-right:0pt;mso-wrap-distance-top:8.1pt;mso-wrap-distance-bottom:0pt;margin-top:8.1pt;mso-position-vertical:top;mso-position-vertical-relative:text;margin-left:60pt;mso-position-horizontal:left;mso-position-horizontal-relative:text">
                <v:textbox>
                  <w:txbxContent>
                    <w:p>
                      <w:pPr>
                        <w:pStyle w:val="TextBody"/>
                        <w:bidi w:val="0"/>
                        <w:spacing w:lineRule="atLeast" w:line="240" w:before="0" w:after="283"/>
                        <w:jc w:val="left"/>
                        <w:rPr/>
                      </w:pPr>
                      <w:r>
                        <w:rPr>
                          <w:spacing w:val="4"/>
                        </w:rPr>
                        <w:t>(ii)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 </w:t>
      </w:r>
      <w:r>
        <mc:AlternateContent>
          <mc:Choice Requires="wps">
            <w:drawing>
              <wp:anchor behindDoc="0" distT="101600" distB="0" distL="508000" distR="0" simplePos="0" locked="0" layoutInCell="1" allowOverlap="1" relativeHeight="171">
                <wp:simplePos x="0" y="0"/>
                <wp:positionH relativeFrom="column">
                  <wp:align>left</wp:align>
                </wp:positionH>
                <wp:positionV relativeFrom="line">
                  <wp:align>top</wp:align>
                </wp:positionV>
                <wp:extent cx="254000" cy="350520"/>
                <wp:effectExtent l="0" t="0" r="0" b="0"/>
                <wp:wrapSquare wrapText="right"/>
                <wp:docPr id="167" name="Frame16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8pt;mso-wrap-distance-bottom:0pt;margin-top: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preliminary prospectus or prospectus of the undersigned registrant relating to the offering required to be filed pursuant to Rule 424; </w:t>
      </w:r>
      <w:r>
        <mc:AlternateContent>
          <mc:Choice Requires="wps">
            <w:drawing>
              <wp:anchor behindDoc="0" distT="101600" distB="0" distL="762000" distR="0" simplePos="0" locked="0" layoutInCell="1" allowOverlap="1" relativeHeight="172">
                <wp:simplePos x="0" y="0"/>
                <wp:positionH relativeFrom="column">
                  <wp:align>left</wp:align>
                </wp:positionH>
                <wp:positionV relativeFrom="line">
                  <wp:align>top</wp:align>
                </wp:positionV>
                <wp:extent cx="254000" cy="350520"/>
                <wp:effectExtent l="0" t="0" r="0" b="0"/>
                <wp:wrapSquare wrapText="right"/>
                <wp:docPr id="168" name="Frame16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60pt;mso-wrap-distance-right:0pt;mso-wrap-distance-top:8pt;mso-wrap-distance-bottom:0pt;margin-top:8pt;mso-position-vertical:top;mso-position-vertical-relative:text;margin-left:60pt;mso-position-horizontal:left;mso-position-horizontal-relative:text">
                <v:textbox>
                  <w:txbxContent>
                    <w:p>
                      <w:pPr>
                        <w:pStyle w:val="TextBody"/>
                        <w:bidi w:val="0"/>
                        <w:spacing w:lineRule="atLeast" w:line="240" w:before="0" w:after="283"/>
                        <w:jc w:val="left"/>
                        <w:rPr/>
                      </w:pPr>
                      <w:r>
                        <w:rPr>
                          <w:spacing w:val="4"/>
                        </w:rPr>
                        <w:t>(i)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free writing prospectus relating to the offering prepared by or on behalf of the undersigned registrant or used or referred to by the undersigned registrant; </w:t>
      </w:r>
      <w:r>
        <mc:AlternateContent>
          <mc:Choice Requires="wps">
            <w:drawing>
              <wp:anchor behindDoc="0" distT="101600" distB="0" distL="762000" distR="0" simplePos="0" locked="0" layoutInCell="1" allowOverlap="1" relativeHeight="173">
                <wp:simplePos x="0" y="0"/>
                <wp:positionH relativeFrom="column">
                  <wp:align>left</wp:align>
                </wp:positionH>
                <wp:positionV relativeFrom="line">
                  <wp:align>top</wp:align>
                </wp:positionV>
                <wp:extent cx="254000" cy="350520"/>
                <wp:effectExtent l="0" t="0" r="0" b="0"/>
                <wp:wrapSquare wrapText="right"/>
                <wp:docPr id="169" name="Frame16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60pt;mso-wrap-distance-right:0pt;mso-wrap-distance-top:8pt;mso-wrap-distance-bottom:0pt;margin-top:8pt;mso-position-vertical:top;mso-position-vertical-relative:text;margin-left:60pt;mso-position-horizontal:left;mso-position-horizontal-relative:text">
                <v:textbox>
                  <w:txbxContent>
                    <w:p>
                      <w:pPr>
                        <w:pStyle w:val="TextBody"/>
                        <w:bidi w:val="0"/>
                        <w:spacing w:lineRule="atLeast" w:line="240" w:before="0" w:after="283"/>
                        <w:jc w:val="left"/>
                        <w:rPr/>
                      </w:pPr>
                      <w:r>
                        <w:rPr>
                          <w:spacing w:val="4"/>
                        </w:rPr>
                        <w:t>(ii)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portion of any other free writing prospectus relating to the offering containing material information about the undersigned registrant or its securities provided by or on behalf of the undersigned registrant; and </w:t>
      </w:r>
      <w:r>
        <mc:AlternateContent>
          <mc:Choice Requires="wps">
            <w:drawing>
              <wp:anchor behindDoc="0" distT="101600" distB="0" distL="762000" distR="0" simplePos="0" locked="0" layoutInCell="1" allowOverlap="1" relativeHeight="174">
                <wp:simplePos x="0" y="0"/>
                <wp:positionH relativeFrom="column">
                  <wp:align>left</wp:align>
                </wp:positionH>
                <wp:positionV relativeFrom="line">
                  <wp:align>top</wp:align>
                </wp:positionV>
                <wp:extent cx="254000" cy="525780"/>
                <wp:effectExtent l="0" t="0" r="0" b="0"/>
                <wp:wrapSquare wrapText="right"/>
                <wp:docPr id="170" name="Frame169"/>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(iii)</w:t>
                            </w:r>
                            <w:r>
                              <w:rPr/>
                              <w:t xml:space="preserve"> </w:t>
                              <w:br/>
                            </w:r>
                          </w:p>
                        </w:txbxContent>
                      </wps:txbx>
                      <wps:bodyPr anchor="t" lIns="0" tIns="0" rIns="0" bIns="0">
                        <a:noAutofit/>
                      </wps:bodyPr>
                    </wps:wsp>
                  </a:graphicData>
                </a:graphic>
              </wp:anchor>
            </w:drawing>
          </mc:Choice>
          <mc:Fallback>
            <w:pict>
              <v:rect style="position:absolute;rotation:-0;width:20pt;height:41.4pt;mso-wrap-distance-left:60pt;mso-wrap-distance-right:0pt;mso-wrap-distance-top:8pt;mso-wrap-distance-bottom:0pt;margin-top:8pt;mso-position-vertical:top;mso-position-vertical-relative:text;margin-left:60pt;mso-position-horizontal:left;mso-position-horizontal-relative:text">
                <v:textbox>
                  <w:txbxContent>
                    <w:p>
                      <w:pPr>
                        <w:pStyle w:val="TextBody"/>
                        <w:bidi w:val="0"/>
                        <w:spacing w:lineRule="atLeast" w:line="240" w:before="0" w:after="283"/>
                        <w:jc w:val="left"/>
                        <w:rPr/>
                      </w:pPr>
                      <w:r>
                        <w:rPr>
                          <w:spacing w:val="4"/>
                        </w:rPr>
                        <w:t>(iii)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other communication that is an offer in the offering made by the undersigned registrant to the purchaser. </w:t>
      </w:r>
      <w:r>
        <mc:AlternateContent>
          <mc:Choice Requires="wps">
            <w:drawing>
              <wp:anchor behindDoc="0" distT="101600" distB="0" distL="762000" distR="0" simplePos="0" locked="0" layoutInCell="1" allowOverlap="1" relativeHeight="175">
                <wp:simplePos x="0" y="0"/>
                <wp:positionH relativeFrom="column">
                  <wp:align>left</wp:align>
                </wp:positionH>
                <wp:positionV relativeFrom="line">
                  <wp:align>top</wp:align>
                </wp:positionV>
                <wp:extent cx="254000" cy="525780"/>
                <wp:effectExtent l="0" t="0" r="0" b="0"/>
                <wp:wrapSquare wrapText="right"/>
                <wp:docPr id="171" name="Frame170"/>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(iv)</w:t>
                            </w:r>
                            <w:r>
                              <w:rPr/>
                              <w:t xml:space="preserve"> </w:t>
                              <w:br/>
                            </w:r>
                          </w:p>
                        </w:txbxContent>
                      </wps:txbx>
                      <wps:bodyPr anchor="t" lIns="0" tIns="0" rIns="0" bIns="0">
                        <a:noAutofit/>
                      </wps:bodyPr>
                    </wps:wsp>
                  </a:graphicData>
                </a:graphic>
              </wp:anchor>
            </w:drawing>
          </mc:Choice>
          <mc:Fallback>
            <w:pict>
              <v:rect style="position:absolute;rotation:-0;width:20pt;height:41.4pt;mso-wrap-distance-left:60pt;mso-wrap-distance-right:0pt;mso-wrap-distance-top:8pt;mso-wrap-distance-bottom:0pt;margin-top:8pt;mso-position-vertical:top;mso-position-vertical-relative:text;margin-left:60pt;mso-position-horizontal:left;mso-position-horizontal-relative:text">
                <v:textbox>
                  <w:txbxContent>
                    <w:p>
                      <w:pPr>
                        <w:pStyle w:val="TextBody"/>
                        <w:bidi w:val="0"/>
                        <w:spacing w:lineRule="atLeast" w:line="240" w:before="0" w:after="283"/>
                        <w:jc w:val="left"/>
                        <w:rPr/>
                      </w:pPr>
                      <w:r>
                        <w:rPr>
                          <w:spacing w:val="4"/>
                        </w:rPr>
                        <w:t>(iv)</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 </w:t>
      </w:r>
      <w:r>
        <mc:AlternateContent>
          <mc:Choice Requires="wps">
            <w:drawing>
              <wp:anchor behindDoc="0" distT="101600" distB="0" distL="254000" distR="0" simplePos="0" locked="0" layoutInCell="1" allowOverlap="1" relativeHeight="176">
                <wp:simplePos x="0" y="0"/>
                <wp:positionH relativeFrom="column">
                  <wp:align>left</wp:align>
                </wp:positionH>
                <wp:positionV relativeFrom="line">
                  <wp:align>top</wp:align>
                </wp:positionV>
                <wp:extent cx="254000" cy="350520"/>
                <wp:effectExtent l="0" t="0" r="0" b="0"/>
                <wp:wrapSquare wrapText="right"/>
                <wp:docPr id="172" name="Frame17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Insofar as indemnification for liabilities arising under the Securities Act of 1933 may be permitted to directors, officers and controlling persons of the registrant pursuant to the foregoing provisions, or otherwise, the registrant has been informed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w:t>
      </w:r>
      <w:r>
        <mc:AlternateContent>
          <mc:Choice Requires="wps">
            <w:drawing>
              <wp:anchor behindDoc="0" distT="101600" distB="0" distL="254000" distR="0" simplePos="0" locked="0" layoutInCell="1" allowOverlap="1" relativeHeight="177">
                <wp:simplePos x="0" y="0"/>
                <wp:positionH relativeFrom="column">
                  <wp:align>left</wp:align>
                </wp:positionH>
                <wp:positionV relativeFrom="line">
                  <wp:align>top</wp:align>
                </wp:positionV>
                <wp:extent cx="254000" cy="350520"/>
                <wp:effectExtent l="0" t="0" r="0" b="0"/>
                <wp:wrapSquare wrapText="right"/>
                <wp:docPr id="173" name="Frame17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(c)</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(c)</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112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8" w:name="tSIGN"/>
      <w:bookmarkEnd w:id="1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SIGNATURES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town of Woburn, Commonwealth of Massachusetts on August 14, 2026. </w:t>
      </w:r>
    </w:p>
    <w:p>
      <w:pPr>
        <w:pStyle w:val="TextBody"/>
        <w:bidi w:val="0"/>
        <w:spacing w:lineRule="atLeast" w:line="240" w:before="240" w:after="283"/>
        <w:ind w:left="5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REPLIMUNE GROUP, INC.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0"/>
        <w:ind w:left="6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 Sushil Patel</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101600" distB="0" distL="2794000" distR="0" simplePos="0" locked="0" layoutInCell="1" allowOverlap="1" relativeHeight="178">
                <wp:simplePos x="0" y="0"/>
                <wp:positionH relativeFrom="column">
                  <wp:align>left</wp:align>
                </wp:positionH>
                <wp:positionV relativeFrom="line">
                  <wp:align>top</wp:align>
                </wp:positionV>
                <wp:extent cx="254000" cy="525780"/>
                <wp:effectExtent l="0" t="0" r="0" b="0"/>
                <wp:wrapSquare wrapText="right"/>
                <wp:docPr id="174" name="Frame173"/>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By:</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20pt;mso-wrap-distance-right:0pt;mso-wrap-distance-top:8pt;mso-wrap-distance-bottom:0pt;margin-top:8pt;mso-position-vertical:top;mso-position-vertical-relative:text;margin-left:208.9pt;mso-position-horizontal:left;mso-position-horizontal-relative:text">
                <v:textbox>
                  <w:txbxContent>
                    <w:p>
                      <w:pPr>
                        <w:pStyle w:val="TextBody"/>
                        <w:bidi w:val="0"/>
                        <w:spacing w:lineRule="atLeast" w:line="240" w:before="0" w:after="283"/>
                        <w:jc w:val="left"/>
                        <w:rPr/>
                      </w:pPr>
                      <w:r>
                        <w:rPr>
                          <w:spacing w:val="4"/>
                        </w:rPr>
                        <w:t>By:</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283"/>
        <w:ind w:left="61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44" w:after="283"/>
        <w:ind w:left="6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Sushil Patel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caps w:val="false"/>
          <w:smallCaps w:val="false"/>
          <w:color w:val="000000"/>
          <w:spacing w:val="4"/>
          <w:sz w:val="20"/>
        </w:rPr>
        <w:t>Chief Executive Officer and Director</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KNOW ALL PERSONS BY THESE PRESENTS, that each person whose signature appears below does hereby constitute and appoint Sushil Patel and Shawn Glidden, and each of them, with full power of substitution and full power to act without the other, his true and lawful attorneys-in-fact and agents to act for him in his name, place and stead, in any and all capacities, to sign any and all amendments (including post-effective amendments) to this registration statement, and to file this registration statement and all amendments thereto,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order to effectuate the same as fully, to all intents and purposes, as they or he or she might or could do in person, hereby ratifying and confirming all that said attorneys-in-fact and agents, or any of them, may lawfully do or cause to be done by virtue hereof.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 requirements of the Securities Act of 1933, as amended, this Registration Statement has been signed by the following persons in the capacities and on the date indicated. </w:t>
      </w:r>
    </w:p>
    <w:tbl>
      <w:tblPr>
        <w:tblW w:w="8812" w:type="dxa"/>
        <w:jc w:val="left"/>
        <w:tblInd w:w="1393" w:type="dxa"/>
        <w:tblLayout w:type="fixed"/>
        <w:tblCellMar>
          <w:top w:w="0" w:type="dxa"/>
          <w:left w:w="0" w:type="dxa"/>
          <w:bottom w:w="28" w:type="dxa"/>
          <w:right w:w="0" w:type="dxa"/>
        </w:tblCellMar>
      </w:tblPr>
      <w:tblGrid>
        <w:gridCol w:w="124"/>
        <w:gridCol w:w="2791"/>
        <w:gridCol w:w="109"/>
        <w:gridCol w:w="109"/>
        <w:gridCol w:w="3587"/>
        <w:gridCol w:w="109"/>
        <w:gridCol w:w="109"/>
        <w:gridCol w:w="1719"/>
        <w:gridCol w:w="155"/>
      </w:tblGrid>
      <w:tr>
        <w:trPr/>
        <w:tc>
          <w:tcPr>
            <w:tcW w:w="124" w:type="dxa"/>
            <w:tcBorders>
              <w:bottom w:val="single" w:sz="2" w:space="0" w:color="FFFFFF"/>
            </w:tcBorders>
            <w:vAlign w:val="center"/>
          </w:tcPr>
          <w:p>
            <w:pPr>
              <w:pStyle w:val="TableContents"/>
              <w:bidi w:val="0"/>
              <w:spacing w:before="0" w:after="283"/>
              <w:jc w:val="left"/>
              <w:rPr/>
            </w:pPr>
            <w:r>
              <w:rPr/>
              <w:t>​</w:t>
            </w:r>
          </w:p>
        </w:tc>
        <w:tc>
          <w:tcPr>
            <w:tcW w:w="2791"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Name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587"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Title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719"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Date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791" w:type="dxa"/>
            <w:tcBorders/>
            <w:tcMar>
              <w:bottom w:w="0" w:type="dxa"/>
            </w:tcMar>
            <w:vAlign w:val="center"/>
          </w:tcPr>
          <w:p>
            <w:pPr>
              <w:pStyle w:val="TableContents"/>
              <w:bidi w:val="0"/>
              <w:spacing w:before="0" w:after="0"/>
              <w:jc w:val="left"/>
              <w:rPr/>
            </w:pPr>
            <w:r>
              <w:rPr>
                <w:spacing w:val="4"/>
              </w:rPr>
              <w:t>/s/ Sushil Patel</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spacing w:val="4"/>
              </w:rPr>
            </w:pPr>
            <w:r>
              <w:rPr>
                <w:spacing w:val="4"/>
              </w:rPr>
              <w:t xml:space="preserve">Sushil Patel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587" w:type="dxa"/>
            <w:tcBorders/>
            <w:tcMar>
              <w:bottom w:w="0" w:type="dxa"/>
            </w:tcMar>
            <w:vAlign w:val="center"/>
          </w:tcPr>
          <w:p>
            <w:pPr>
              <w:pStyle w:val="TableContents"/>
              <w:bidi w:val="0"/>
              <w:spacing w:before="0" w:after="283"/>
              <w:jc w:val="left"/>
              <w:rPr/>
            </w:pPr>
            <w:r>
              <w:rPr>
                <w:spacing w:val="4"/>
              </w:rPr>
              <w:t xml:space="preserve">Chief Executive Officer and Director </w:t>
            </w:r>
            <w:r>
              <w:rPr/>
              <w:br/>
            </w:r>
            <w:r>
              <w:rPr>
                <w:spacing w:val="4"/>
              </w:rPr>
              <w:t xml:space="preserve">(Principal Executive Officer)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19" w:type="dxa"/>
            <w:tcBorders/>
            <w:tcMar>
              <w:bottom w:w="0" w:type="dxa"/>
            </w:tcMar>
            <w:vAlign w:val="center"/>
          </w:tcPr>
          <w:p>
            <w:pPr>
              <w:pStyle w:val="TableContents"/>
              <w:bidi w:val="0"/>
              <w:spacing w:before="0" w:after="0"/>
              <w:jc w:val="center"/>
              <w:rPr>
                <w:spacing w:val="4"/>
              </w:rPr>
            </w:pPr>
            <w:r>
              <w:rPr>
                <w:spacing w:val="4"/>
              </w:rPr>
              <w:t xml:space="preserve">August 14, 2026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791" w:type="dxa"/>
            <w:tcBorders/>
            <w:tcMar>
              <w:bottom w:w="0" w:type="dxa"/>
            </w:tcMar>
            <w:vAlign w:val="center"/>
          </w:tcPr>
          <w:p>
            <w:pPr>
              <w:pStyle w:val="TableContents"/>
              <w:bidi w:val="0"/>
              <w:spacing w:before="0" w:after="0"/>
              <w:jc w:val="left"/>
              <w:rPr/>
            </w:pPr>
            <w:r>
              <w:rPr>
                <w:spacing w:val="4"/>
              </w:rPr>
              <w:t>/s/ Emily Hill</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spacing w:val="4"/>
              </w:rPr>
            </w:pPr>
            <w:r>
              <w:rPr>
                <w:spacing w:val="4"/>
              </w:rPr>
              <w:t xml:space="preserve">Emily Hill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587" w:type="dxa"/>
            <w:tcBorders/>
            <w:tcMar>
              <w:bottom w:w="0" w:type="dxa"/>
            </w:tcMar>
            <w:vAlign w:val="center"/>
          </w:tcPr>
          <w:p>
            <w:pPr>
              <w:pStyle w:val="TableContents"/>
              <w:bidi w:val="0"/>
              <w:spacing w:before="0" w:after="283"/>
              <w:jc w:val="left"/>
              <w:rPr/>
            </w:pPr>
            <w:r>
              <w:rPr>
                <w:spacing w:val="4"/>
              </w:rPr>
              <w:t xml:space="preserve">Chief Financial Officer </w:t>
            </w:r>
            <w:r>
              <w:rPr/>
              <w:br/>
            </w:r>
            <w:r>
              <w:rPr>
                <w:spacing w:val="4"/>
              </w:rPr>
              <w:t xml:space="preserve">(Principal Financial Officer)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19" w:type="dxa"/>
            <w:tcBorders/>
            <w:tcMar>
              <w:bottom w:w="0" w:type="dxa"/>
            </w:tcMar>
            <w:vAlign w:val="center"/>
          </w:tcPr>
          <w:p>
            <w:pPr>
              <w:pStyle w:val="TableContents"/>
              <w:bidi w:val="0"/>
              <w:spacing w:before="0" w:after="0"/>
              <w:jc w:val="center"/>
              <w:rPr>
                <w:spacing w:val="4"/>
              </w:rPr>
            </w:pPr>
            <w:r>
              <w:rPr>
                <w:spacing w:val="4"/>
              </w:rPr>
              <w:t xml:space="preserve">August 14, 2026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791" w:type="dxa"/>
            <w:tcBorders/>
            <w:tcMar>
              <w:bottom w:w="0" w:type="dxa"/>
            </w:tcMar>
            <w:vAlign w:val="center"/>
          </w:tcPr>
          <w:p>
            <w:pPr>
              <w:pStyle w:val="TableContents"/>
              <w:bidi w:val="0"/>
              <w:spacing w:before="0" w:after="0"/>
              <w:jc w:val="left"/>
              <w:rPr/>
            </w:pPr>
            <w:r>
              <w:rPr>
                <w:spacing w:val="4"/>
              </w:rPr>
              <w:t>/s/ Andrew Schwendenman</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spacing w:val="4"/>
              </w:rPr>
            </w:pPr>
            <w:r>
              <w:rPr>
                <w:spacing w:val="4"/>
              </w:rPr>
              <w:t xml:space="preserve">Andrew Schwendenman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587" w:type="dxa"/>
            <w:tcBorders/>
            <w:tcMar>
              <w:bottom w:w="0" w:type="dxa"/>
            </w:tcMar>
            <w:vAlign w:val="center"/>
          </w:tcPr>
          <w:p>
            <w:pPr>
              <w:pStyle w:val="TableContents"/>
              <w:bidi w:val="0"/>
              <w:spacing w:before="0" w:after="283"/>
              <w:jc w:val="left"/>
              <w:rPr/>
            </w:pPr>
            <w:r>
              <w:rPr>
                <w:spacing w:val="4"/>
              </w:rPr>
              <w:t xml:space="preserve">Chief Accounting Officer </w:t>
            </w:r>
            <w:r>
              <w:rPr/>
              <w:br/>
            </w:r>
            <w:r>
              <w:rPr>
                <w:spacing w:val="4"/>
              </w:rPr>
              <w:t xml:space="preserve">(Principal Accounting Officer)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19" w:type="dxa"/>
            <w:tcBorders/>
            <w:tcMar>
              <w:bottom w:w="0" w:type="dxa"/>
            </w:tcMar>
            <w:vAlign w:val="center"/>
          </w:tcPr>
          <w:p>
            <w:pPr>
              <w:pStyle w:val="TableContents"/>
              <w:bidi w:val="0"/>
              <w:spacing w:before="0" w:after="0"/>
              <w:jc w:val="center"/>
              <w:rPr>
                <w:spacing w:val="4"/>
              </w:rPr>
            </w:pPr>
            <w:r>
              <w:rPr>
                <w:spacing w:val="4"/>
              </w:rPr>
              <w:t xml:space="preserve">August 14, 2026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791" w:type="dxa"/>
            <w:tcBorders/>
            <w:tcMar>
              <w:bottom w:w="0" w:type="dxa"/>
            </w:tcMar>
            <w:vAlign w:val="center"/>
          </w:tcPr>
          <w:p>
            <w:pPr>
              <w:pStyle w:val="TableContents"/>
              <w:bidi w:val="0"/>
              <w:spacing w:before="0" w:after="0"/>
              <w:jc w:val="left"/>
              <w:rPr/>
            </w:pPr>
            <w:r>
              <w:rPr>
                <w:spacing w:val="4"/>
              </w:rPr>
              <w:t>/s/ Philip Astley-Sparke</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spacing w:val="4"/>
              </w:rPr>
            </w:pPr>
            <w:r>
              <w:rPr>
                <w:spacing w:val="4"/>
              </w:rPr>
              <w:t xml:space="preserve">Philip Astley-Sparke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587" w:type="dxa"/>
            <w:tcBorders/>
            <w:tcMar>
              <w:bottom w:w="0" w:type="dxa"/>
            </w:tcMar>
            <w:vAlign w:val="center"/>
          </w:tcPr>
          <w:p>
            <w:pPr>
              <w:pStyle w:val="TableContents"/>
              <w:bidi w:val="0"/>
              <w:spacing w:before="0" w:after="283"/>
              <w:jc w:val="left"/>
              <w:rPr>
                <w:spacing w:val="4"/>
              </w:rPr>
            </w:pPr>
            <w:r>
              <w:rPr>
                <w:spacing w:val="4"/>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19" w:type="dxa"/>
            <w:tcBorders/>
            <w:tcMar>
              <w:bottom w:w="0" w:type="dxa"/>
            </w:tcMar>
            <w:vAlign w:val="center"/>
          </w:tcPr>
          <w:p>
            <w:pPr>
              <w:pStyle w:val="TableContents"/>
              <w:bidi w:val="0"/>
              <w:spacing w:before="0" w:after="0"/>
              <w:jc w:val="center"/>
              <w:rPr>
                <w:spacing w:val="4"/>
              </w:rPr>
            </w:pPr>
            <w:r>
              <w:rPr>
                <w:spacing w:val="4"/>
              </w:rPr>
              <w:t xml:space="preserve">August 14, 2026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791" w:type="dxa"/>
            <w:tcBorders/>
            <w:tcMar>
              <w:bottom w:w="0" w:type="dxa"/>
            </w:tcMar>
            <w:vAlign w:val="center"/>
          </w:tcPr>
          <w:p>
            <w:pPr>
              <w:pStyle w:val="TableContents"/>
              <w:bidi w:val="0"/>
              <w:spacing w:before="0" w:after="0"/>
              <w:jc w:val="left"/>
              <w:rPr/>
            </w:pPr>
            <w:r>
              <w:rPr>
                <w:spacing w:val="4"/>
              </w:rPr>
              <w:t>/s/ Kapil Dhingra</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spacing w:val="4"/>
              </w:rPr>
            </w:pPr>
            <w:r>
              <w:rPr>
                <w:spacing w:val="4"/>
              </w:rPr>
              <w:t xml:space="preserve">Kapil Dhingra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587" w:type="dxa"/>
            <w:tcBorders/>
            <w:tcMar>
              <w:bottom w:w="0" w:type="dxa"/>
            </w:tcMar>
            <w:vAlign w:val="center"/>
          </w:tcPr>
          <w:p>
            <w:pPr>
              <w:pStyle w:val="TableContents"/>
              <w:bidi w:val="0"/>
              <w:spacing w:before="0" w:after="283"/>
              <w:jc w:val="left"/>
              <w:rPr>
                <w:spacing w:val="4"/>
              </w:rPr>
            </w:pPr>
            <w:r>
              <w:rPr>
                <w:spacing w:val="4"/>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19" w:type="dxa"/>
            <w:tcBorders/>
            <w:tcMar>
              <w:bottom w:w="0" w:type="dxa"/>
            </w:tcMar>
            <w:vAlign w:val="center"/>
          </w:tcPr>
          <w:p>
            <w:pPr>
              <w:pStyle w:val="TableContents"/>
              <w:bidi w:val="0"/>
              <w:spacing w:before="0" w:after="0"/>
              <w:jc w:val="center"/>
              <w:rPr>
                <w:spacing w:val="4"/>
              </w:rPr>
            </w:pPr>
            <w:r>
              <w:rPr>
                <w:spacing w:val="4"/>
              </w:rPr>
              <w:t xml:space="preserve">August 14, 2026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791" w:type="dxa"/>
            <w:tcBorders/>
            <w:tcMar>
              <w:bottom w:w="0" w:type="dxa"/>
            </w:tcMar>
            <w:vAlign w:val="center"/>
          </w:tcPr>
          <w:p>
            <w:pPr>
              <w:pStyle w:val="TableContents"/>
              <w:bidi w:val="0"/>
              <w:spacing w:before="0" w:after="0"/>
              <w:jc w:val="left"/>
              <w:rPr/>
            </w:pPr>
            <w:r>
              <w:rPr>
                <w:spacing w:val="4"/>
              </w:rPr>
              <w:t>/s/ Madhavan Balachandran</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spacing w:val="4"/>
              </w:rPr>
            </w:pPr>
            <w:r>
              <w:rPr>
                <w:spacing w:val="4"/>
              </w:rPr>
              <w:t xml:space="preserve">Madhavan Balachandran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587" w:type="dxa"/>
            <w:tcBorders/>
            <w:tcMar>
              <w:bottom w:w="0" w:type="dxa"/>
            </w:tcMar>
            <w:vAlign w:val="center"/>
          </w:tcPr>
          <w:p>
            <w:pPr>
              <w:pStyle w:val="TableContents"/>
              <w:bidi w:val="0"/>
              <w:spacing w:before="0" w:after="283"/>
              <w:jc w:val="left"/>
              <w:rPr>
                <w:spacing w:val="4"/>
              </w:rPr>
            </w:pPr>
            <w:r>
              <w:rPr>
                <w:spacing w:val="4"/>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19" w:type="dxa"/>
            <w:tcBorders/>
            <w:tcMar>
              <w:bottom w:w="0" w:type="dxa"/>
            </w:tcMar>
            <w:vAlign w:val="center"/>
          </w:tcPr>
          <w:p>
            <w:pPr>
              <w:pStyle w:val="TableContents"/>
              <w:bidi w:val="0"/>
              <w:spacing w:before="0" w:after="0"/>
              <w:jc w:val="center"/>
              <w:rPr>
                <w:spacing w:val="4"/>
              </w:rPr>
            </w:pPr>
            <w:r>
              <w:rPr>
                <w:spacing w:val="4"/>
              </w:rPr>
              <w:t xml:space="preserve">August 14, 2026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791" w:type="dxa"/>
            <w:tcBorders/>
            <w:tcMar>
              <w:bottom w:w="0" w:type="dxa"/>
            </w:tcMar>
            <w:vAlign w:val="center"/>
          </w:tcPr>
          <w:p>
            <w:pPr>
              <w:pStyle w:val="TableContents"/>
              <w:bidi w:val="0"/>
              <w:spacing w:before="0" w:after="0"/>
              <w:jc w:val="left"/>
              <w:rPr/>
            </w:pPr>
            <w:r>
              <w:rPr>
                <w:spacing w:val="4"/>
              </w:rPr>
              <w:t>/s/ Christy Oliger</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spacing w:val="4"/>
              </w:rPr>
            </w:pPr>
            <w:r>
              <w:rPr>
                <w:spacing w:val="4"/>
              </w:rPr>
              <w:t xml:space="preserve">Christy Oliger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587" w:type="dxa"/>
            <w:tcBorders/>
            <w:tcMar>
              <w:bottom w:w="0" w:type="dxa"/>
            </w:tcMar>
            <w:vAlign w:val="center"/>
          </w:tcPr>
          <w:p>
            <w:pPr>
              <w:pStyle w:val="TableContents"/>
              <w:bidi w:val="0"/>
              <w:spacing w:before="0" w:after="283"/>
              <w:jc w:val="left"/>
              <w:rPr>
                <w:spacing w:val="4"/>
              </w:rPr>
            </w:pPr>
            <w:r>
              <w:rPr>
                <w:spacing w:val="4"/>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19" w:type="dxa"/>
            <w:tcBorders/>
            <w:tcMar>
              <w:bottom w:w="0" w:type="dxa"/>
            </w:tcMar>
            <w:vAlign w:val="center"/>
          </w:tcPr>
          <w:p>
            <w:pPr>
              <w:pStyle w:val="TableContents"/>
              <w:bidi w:val="0"/>
              <w:spacing w:before="0" w:after="0"/>
              <w:jc w:val="center"/>
              <w:rPr>
                <w:spacing w:val="4"/>
              </w:rPr>
            </w:pPr>
            <w:r>
              <w:rPr>
                <w:spacing w:val="4"/>
              </w:rPr>
              <w:t xml:space="preserve">August 14, 2026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6002" w:type="dxa"/>
        <w:jc w:val="left"/>
        <w:tblInd w:w="1393" w:type="dxa"/>
        <w:tblLayout w:type="fixed"/>
        <w:tblCellMar>
          <w:top w:w="0" w:type="dxa"/>
          <w:left w:w="0" w:type="dxa"/>
          <w:bottom w:w="28" w:type="dxa"/>
          <w:right w:w="0" w:type="dxa"/>
        </w:tblCellMar>
      </w:tblPr>
      <w:tblGrid>
        <w:gridCol w:w="124"/>
        <w:gridCol w:w="2518"/>
        <w:gridCol w:w="109"/>
        <w:gridCol w:w="109"/>
        <w:gridCol w:w="974"/>
        <w:gridCol w:w="109"/>
        <w:gridCol w:w="109"/>
        <w:gridCol w:w="1796"/>
        <w:gridCol w:w="154"/>
      </w:tblGrid>
      <w:tr>
        <w:trPr/>
        <w:tc>
          <w:tcPr>
            <w:tcW w:w="124" w:type="dxa"/>
            <w:tcBorders>
              <w:bottom w:val="single" w:sz="2" w:space="0" w:color="FFFFFF"/>
            </w:tcBorders>
            <w:vAlign w:val="center"/>
          </w:tcPr>
          <w:p>
            <w:pPr>
              <w:pStyle w:val="TableContents"/>
              <w:bidi w:val="0"/>
              <w:spacing w:before="0" w:after="283"/>
              <w:jc w:val="left"/>
              <w:rPr/>
            </w:pPr>
            <w:r>
              <w:rPr/>
              <w:t>​</w:t>
            </w:r>
          </w:p>
        </w:tc>
        <w:tc>
          <w:tcPr>
            <w:tcW w:w="2518"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Name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74"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Title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796"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Date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518" w:type="dxa"/>
            <w:tcBorders/>
            <w:tcMar>
              <w:bottom w:w="0" w:type="dxa"/>
            </w:tcMar>
            <w:vAlign w:val="center"/>
          </w:tcPr>
          <w:p>
            <w:pPr>
              <w:pStyle w:val="TableContents"/>
              <w:bidi w:val="0"/>
              <w:spacing w:before="0" w:after="0"/>
              <w:jc w:val="left"/>
              <w:rPr/>
            </w:pPr>
            <w:r>
              <w:rPr>
                <w:spacing w:val="4"/>
              </w:rPr>
              <w:t>/s/ Paolo Pucci</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spacing w:val="4"/>
              </w:rPr>
            </w:pPr>
            <w:r>
              <w:rPr>
                <w:spacing w:val="4"/>
              </w:rPr>
              <w:t xml:space="preserve">Paolo Pucci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74" w:type="dxa"/>
            <w:tcBorders/>
            <w:tcMar>
              <w:bottom w:w="0" w:type="dxa"/>
            </w:tcMar>
            <w:vAlign w:val="center"/>
          </w:tcPr>
          <w:p>
            <w:pPr>
              <w:pStyle w:val="TableContents"/>
              <w:bidi w:val="0"/>
              <w:spacing w:before="0" w:after="283"/>
              <w:jc w:val="left"/>
              <w:rPr>
                <w:spacing w:val="4"/>
              </w:rPr>
            </w:pPr>
            <w:r>
              <w:rPr>
                <w:spacing w:val="4"/>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96" w:type="dxa"/>
            <w:tcBorders/>
            <w:tcMar>
              <w:bottom w:w="0" w:type="dxa"/>
            </w:tcMar>
            <w:vAlign w:val="center"/>
          </w:tcPr>
          <w:p>
            <w:pPr>
              <w:pStyle w:val="TableContents"/>
              <w:bidi w:val="0"/>
              <w:spacing w:before="0" w:after="0"/>
              <w:jc w:val="center"/>
              <w:rPr>
                <w:spacing w:val="4"/>
              </w:rPr>
            </w:pPr>
            <w:r>
              <w:rPr>
                <w:spacing w:val="4"/>
              </w:rPr>
              <w:t xml:space="preserve">August 14, 2026 </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518" w:type="dxa"/>
            <w:tcBorders/>
            <w:tcMar>
              <w:bottom w:w="0" w:type="dxa"/>
            </w:tcMar>
            <w:vAlign w:val="center"/>
          </w:tcPr>
          <w:p>
            <w:pPr>
              <w:pStyle w:val="TableContents"/>
              <w:bidi w:val="0"/>
              <w:spacing w:before="0" w:after="0"/>
              <w:jc w:val="left"/>
              <w:rPr/>
            </w:pPr>
            <w:r>
              <w:rPr>
                <w:spacing w:val="4"/>
              </w:rPr>
              <w:t>/s/ Joseph Slattery</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spacing w:val="4"/>
              </w:rPr>
            </w:pPr>
            <w:r>
              <w:rPr>
                <w:spacing w:val="4"/>
              </w:rPr>
              <w:t xml:space="preserve">Joseph Slattery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74" w:type="dxa"/>
            <w:tcBorders/>
            <w:tcMar>
              <w:bottom w:w="0" w:type="dxa"/>
            </w:tcMar>
            <w:vAlign w:val="center"/>
          </w:tcPr>
          <w:p>
            <w:pPr>
              <w:pStyle w:val="TableContents"/>
              <w:bidi w:val="0"/>
              <w:spacing w:before="0" w:after="283"/>
              <w:jc w:val="left"/>
              <w:rPr>
                <w:spacing w:val="4"/>
              </w:rPr>
            </w:pPr>
            <w:r>
              <w:rPr>
                <w:spacing w:val="4"/>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96" w:type="dxa"/>
            <w:tcBorders/>
            <w:tcMar>
              <w:bottom w:w="0" w:type="dxa"/>
            </w:tcMar>
            <w:vAlign w:val="center"/>
          </w:tcPr>
          <w:p>
            <w:pPr>
              <w:pStyle w:val="TableContents"/>
              <w:bidi w:val="0"/>
              <w:spacing w:before="0" w:after="0"/>
              <w:jc w:val="center"/>
              <w:rPr>
                <w:spacing w:val="4"/>
              </w:rPr>
            </w:pPr>
            <w:r>
              <w:rPr>
                <w:spacing w:val="4"/>
              </w:rPr>
              <w:t xml:space="preserve">August 14, 2026 </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518" w:type="dxa"/>
            <w:tcBorders/>
            <w:tcMar>
              <w:bottom w:w="0" w:type="dxa"/>
            </w:tcMar>
            <w:vAlign w:val="center"/>
          </w:tcPr>
          <w:p>
            <w:pPr>
              <w:pStyle w:val="TableContents"/>
              <w:bidi w:val="0"/>
              <w:spacing w:before="0" w:after="0"/>
              <w:jc w:val="left"/>
              <w:rPr/>
            </w:pPr>
            <w:r>
              <w:rPr>
                <w:spacing w:val="4"/>
              </w:rPr>
              <w:t>/s/ Veleka Peeples-Dyer</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spacing w:val="4"/>
              </w:rPr>
            </w:pPr>
            <w:r>
              <w:rPr>
                <w:spacing w:val="4"/>
              </w:rPr>
              <w:t xml:space="preserve">Veleka Peeples-Dyer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74" w:type="dxa"/>
            <w:tcBorders/>
            <w:tcMar>
              <w:bottom w:w="0" w:type="dxa"/>
            </w:tcMar>
            <w:vAlign w:val="center"/>
          </w:tcPr>
          <w:p>
            <w:pPr>
              <w:pStyle w:val="TableContents"/>
              <w:bidi w:val="0"/>
              <w:spacing w:before="0" w:after="283"/>
              <w:jc w:val="left"/>
              <w:rPr>
                <w:spacing w:val="4"/>
              </w:rPr>
            </w:pPr>
            <w:r>
              <w:rPr>
                <w:spacing w:val="4"/>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96" w:type="dxa"/>
            <w:tcBorders/>
            <w:tcMar>
              <w:bottom w:w="0" w:type="dxa"/>
            </w:tcMar>
            <w:vAlign w:val="center"/>
          </w:tcPr>
          <w:p>
            <w:pPr>
              <w:pStyle w:val="TableContents"/>
              <w:bidi w:val="0"/>
              <w:spacing w:before="0" w:after="0"/>
              <w:jc w:val="center"/>
              <w:rPr>
                <w:spacing w:val="4"/>
              </w:rPr>
            </w:pPr>
            <w:r>
              <w:rPr>
                <w:spacing w:val="4"/>
              </w:rPr>
              <w:t xml:space="preserve">August 14, 2026 </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518" w:type="dxa"/>
            <w:tcBorders/>
            <w:tcMar>
              <w:bottom w:w="0" w:type="dxa"/>
            </w:tcMar>
            <w:vAlign w:val="center"/>
          </w:tcPr>
          <w:p>
            <w:pPr>
              <w:pStyle w:val="TableContents"/>
              <w:bidi w:val="0"/>
              <w:spacing w:before="0" w:after="0"/>
              <w:jc w:val="left"/>
              <w:rPr/>
            </w:pPr>
            <w:r>
              <w:rPr>
                <w:spacing w:val="4"/>
              </w:rPr>
              <w:t>/s/ Dieter Weinand</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spacing w:val="4"/>
              </w:rPr>
            </w:pPr>
            <w:r>
              <w:rPr>
                <w:spacing w:val="4"/>
              </w:rPr>
              <w:t xml:space="preserve">Dieter Weinand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74" w:type="dxa"/>
            <w:tcBorders/>
            <w:tcMar>
              <w:bottom w:w="0" w:type="dxa"/>
            </w:tcMar>
            <w:vAlign w:val="center"/>
          </w:tcPr>
          <w:p>
            <w:pPr>
              <w:pStyle w:val="TableContents"/>
              <w:bidi w:val="0"/>
              <w:spacing w:before="0" w:after="283"/>
              <w:jc w:val="left"/>
              <w:rPr>
                <w:spacing w:val="4"/>
              </w:rPr>
            </w:pPr>
            <w:r>
              <w:rPr>
                <w:spacing w:val="4"/>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96" w:type="dxa"/>
            <w:tcBorders/>
            <w:tcMar>
              <w:bottom w:w="0" w:type="dxa"/>
            </w:tcMar>
            <w:vAlign w:val="center"/>
          </w:tcPr>
          <w:p>
            <w:pPr>
              <w:pStyle w:val="TableContents"/>
              <w:bidi w:val="0"/>
              <w:spacing w:before="0" w:after="0"/>
              <w:jc w:val="center"/>
              <w:rPr>
                <w:spacing w:val="4"/>
              </w:rPr>
            </w:pPr>
            <w:r>
              <w:rPr>
                <w:spacing w:val="4"/>
              </w:rPr>
              <w:t xml:space="preserve">August 14, 2026 </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518" w:type="dxa"/>
            <w:tcBorders/>
            <w:tcMar>
              <w:bottom w:w="0" w:type="dxa"/>
            </w:tcMar>
            <w:vAlign w:val="center"/>
          </w:tcPr>
          <w:p>
            <w:pPr>
              <w:pStyle w:val="TableContents"/>
              <w:bidi w:val="0"/>
              <w:spacing w:before="0" w:after="0"/>
              <w:jc w:val="left"/>
              <w:rPr/>
            </w:pPr>
            <w:r>
              <w:rPr>
                <w:spacing w:val="4"/>
              </w:rPr>
              <w:t>/s/ Michael Goller</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spacing w:val="4"/>
              </w:rPr>
            </w:pPr>
            <w:r>
              <w:rPr>
                <w:spacing w:val="4"/>
              </w:rPr>
              <w:t xml:space="preserve">Michael Goller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74" w:type="dxa"/>
            <w:tcBorders/>
            <w:tcMar>
              <w:bottom w:w="0" w:type="dxa"/>
            </w:tcMar>
            <w:vAlign w:val="center"/>
          </w:tcPr>
          <w:p>
            <w:pPr>
              <w:pStyle w:val="TableContents"/>
              <w:bidi w:val="0"/>
              <w:spacing w:before="0" w:after="283"/>
              <w:jc w:val="left"/>
              <w:rPr>
                <w:spacing w:val="4"/>
              </w:rPr>
            </w:pPr>
            <w:r>
              <w:rPr>
                <w:spacing w:val="4"/>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96" w:type="dxa"/>
            <w:tcBorders/>
            <w:tcMar>
              <w:bottom w:w="0" w:type="dxa"/>
            </w:tcMar>
            <w:vAlign w:val="center"/>
          </w:tcPr>
          <w:p>
            <w:pPr>
              <w:pStyle w:val="TableContents"/>
              <w:bidi w:val="0"/>
              <w:spacing w:before="0" w:after="0"/>
              <w:jc w:val="center"/>
              <w:rPr/>
            </w:pPr>
            <w:r>
              <w:rPr>
                <w:spacing w:val="4"/>
              </w:rPr>
              <w:t>August 14, 2026</w:t>
            </w:r>
            <w:r>
              <w:rPr/>
              <w:t xml:space="preserve"> </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jc w:val="left"/>
        <w:rPr>
          <w:caps w:val="false"/>
          <w:smallCaps w:val="false"/>
        </w:rPr>
      </w:pPr>
      <w:bookmarkStart w:id="19" w:name="tm2621843d2_ex4-9.htm"/>
      <w:bookmarkStart w:id="20" w:name="kstm2621843d2_ex49"/>
      <w:bookmarkEnd w:id="19"/>
      <w:bookmarkEnd w:id="20"/>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REPLIMUNE GROUP, Inc.</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caps/>
        </w:rPr>
      </w:pPr>
      <w:r>
        <w:rPr>
          <w:caps/>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INDENTURE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as of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Trustee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p>
      <w:pPr>
        <w:pStyle w:val="TextBody"/>
        <w:bidi w:val="0"/>
        <w:spacing w:before="0" w:after="0"/>
        <w:ind w:left="0" w:right="0" w:hanging="0"/>
        <w:jc w:val="right"/>
        <w:rPr>
          <w:caps w:val="false"/>
          <w:smallCaps w:val="false"/>
        </w:rPr>
      </w:pPr>
      <w:r>
        <w:rPr>
          <w:caps w:val="false"/>
          <w:smallCaps w:val="false"/>
        </w:rPr>
        <w:t> </w:t>
      </w:r>
    </w:p>
    <w:tbl>
      <w:tblPr>
        <w:tblW w:w="7195" w:type="dxa"/>
        <w:jc w:val="left"/>
        <w:tblInd w:w="0" w:type="dxa"/>
        <w:tblLayout w:type="fixed"/>
        <w:tblCellMar>
          <w:top w:w="0" w:type="dxa"/>
          <w:left w:w="0" w:type="dxa"/>
          <w:bottom w:w="0" w:type="dxa"/>
          <w:right w:w="0" w:type="dxa"/>
        </w:tblCellMar>
      </w:tblPr>
      <w:tblGrid>
        <w:gridCol w:w="6950"/>
        <w:gridCol w:w="245"/>
      </w:tblGrid>
      <w:tr>
        <w:trPr/>
        <w:tc>
          <w:tcPr>
            <w:tcW w:w="7195"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1</w:t>
            </w:r>
          </w:p>
        </w:tc>
      </w:tr>
      <w:tr>
        <w:trPr/>
        <w:tc>
          <w:tcPr>
            <w:tcW w:w="7195" w:type="dxa"/>
            <w:gridSpan w:val="2"/>
            <w:tcBorders/>
            <w:vAlign w:val="center"/>
          </w:tcPr>
          <w:p>
            <w:pPr>
              <w:pStyle w:val="TableContents"/>
              <w:bidi w:val="0"/>
              <w:spacing w:before="0" w:after="283"/>
              <w:jc w:val="center"/>
              <w:rPr>
                <w:caps w:val="false"/>
                <w:smallCaps w:val="false"/>
              </w:rPr>
            </w:pPr>
            <w:r>
              <w:rPr>
                <w:caps w:val="false"/>
                <w:smallCaps w:val="false"/>
              </w:rPr>
              <w:t> </w:t>
            </w:r>
          </w:p>
        </w:tc>
      </w:tr>
      <w:tr>
        <w:trPr/>
        <w:tc>
          <w:tcPr>
            <w:tcW w:w="7195"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DEFINITIONS</w:t>
            </w:r>
          </w:p>
        </w:tc>
      </w:tr>
      <w:tr>
        <w:trPr/>
        <w:tc>
          <w:tcPr>
            <w:tcW w:w="7195" w:type="dxa"/>
            <w:gridSpan w:val="2"/>
            <w:tcBorders/>
            <w:vAlign w:val="center"/>
          </w:tcPr>
          <w:p>
            <w:pPr>
              <w:pStyle w:val="TableContents"/>
              <w:bidi w:val="0"/>
              <w:spacing w:before="0" w:after="283"/>
              <w:jc w:val="center"/>
              <w:rPr>
                <w:caps w:val="false"/>
                <w:smallCaps w:val="false"/>
              </w:rPr>
            </w:pPr>
            <w:r>
              <w:rPr>
                <w:caps w:val="false"/>
                <w:smallCaps w:val="false"/>
              </w:rPr>
              <w:t> </w:t>
            </w:r>
          </w:p>
        </w:tc>
      </w:tr>
      <w:tr>
        <w:trPr/>
        <w:tc>
          <w:tcPr>
            <w:tcW w:w="69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1.01.   </w:t>
            </w:r>
            <w:r>
              <w:rPr>
                <w:rFonts w:ascii="Times New Roman;Times;Serif" w:hAnsi="Times New Roman;Times;Serif"/>
                <w:b w:val="false"/>
                <w:i w:val="false"/>
                <w:caps w:val="false"/>
                <w:smallCaps w:val="false"/>
                <w:sz w:val="20"/>
                <w:u w:val="single"/>
              </w:rPr>
              <w:t>Certain Terms Defined</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69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1.02.   </w:t>
            </w:r>
            <w:r>
              <w:rPr>
                <w:rFonts w:ascii="Times New Roman;Times;Serif" w:hAnsi="Times New Roman;Times;Serif"/>
                <w:b w:val="false"/>
                <w:i w:val="false"/>
                <w:caps w:val="false"/>
                <w:smallCaps w:val="false"/>
                <w:sz w:val="20"/>
                <w:u w:val="single"/>
              </w:rPr>
              <w:t>Other Definitions</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r>
      <w:tr>
        <w:trPr/>
        <w:tc>
          <w:tcPr>
            <w:tcW w:w="69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1.03.   </w:t>
            </w:r>
            <w:r>
              <w:rPr>
                <w:rFonts w:ascii="Times New Roman;Times;Serif" w:hAnsi="Times New Roman;Times;Serif"/>
                <w:b w:val="false"/>
                <w:i w:val="false"/>
                <w:caps w:val="false"/>
                <w:smallCaps w:val="false"/>
                <w:sz w:val="20"/>
                <w:u w:val="single"/>
              </w:rPr>
              <w:t>Rules of Construction</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r>
      <w:tr>
        <w:trPr/>
        <w:tc>
          <w:tcPr>
            <w:tcW w:w="6950"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7195"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ARTICLE 2 </w:t>
            </w:r>
          </w:p>
        </w:tc>
      </w:tr>
      <w:tr>
        <w:trPr/>
        <w:tc>
          <w:tcPr>
            <w:tcW w:w="7195" w:type="dxa"/>
            <w:gridSpan w:val="2"/>
            <w:tcBorders/>
            <w:vAlign w:val="center"/>
          </w:tcPr>
          <w:p>
            <w:pPr>
              <w:pStyle w:val="TableContents"/>
              <w:bidi w:val="0"/>
              <w:spacing w:before="0" w:after="283"/>
              <w:jc w:val="center"/>
              <w:rPr>
                <w:caps w:val="false"/>
                <w:smallCaps w:val="false"/>
              </w:rPr>
            </w:pPr>
            <w:r>
              <w:rPr>
                <w:caps w:val="false"/>
                <w:smallCaps w:val="false"/>
              </w:rPr>
              <w:t> </w:t>
            </w:r>
          </w:p>
        </w:tc>
      </w:tr>
      <w:tr>
        <w:trPr/>
        <w:tc>
          <w:tcPr>
            <w:tcW w:w="7195"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SECURITY FORMS</w:t>
            </w:r>
          </w:p>
        </w:tc>
      </w:tr>
      <w:tr>
        <w:trPr/>
        <w:tc>
          <w:tcPr>
            <w:tcW w:w="7195" w:type="dxa"/>
            <w:gridSpan w:val="2"/>
            <w:tcBorders/>
            <w:vAlign w:val="center"/>
          </w:tcPr>
          <w:p>
            <w:pPr>
              <w:pStyle w:val="TableContents"/>
              <w:bidi w:val="0"/>
              <w:spacing w:before="0" w:after="283"/>
              <w:jc w:val="center"/>
              <w:rPr>
                <w:caps w:val="false"/>
                <w:smallCaps w:val="false"/>
              </w:rPr>
            </w:pPr>
            <w:r>
              <w:rPr>
                <w:caps w:val="false"/>
                <w:smallCaps w:val="false"/>
              </w:rPr>
              <w:t> </w:t>
            </w:r>
          </w:p>
        </w:tc>
      </w:tr>
      <w:tr>
        <w:trPr/>
        <w:tc>
          <w:tcPr>
            <w:tcW w:w="69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2.01.   </w:t>
            </w:r>
            <w:r>
              <w:rPr>
                <w:rFonts w:ascii="Times New Roman;Times;Serif" w:hAnsi="Times New Roman;Times;Serif"/>
                <w:b w:val="false"/>
                <w:i w:val="false"/>
                <w:caps w:val="false"/>
                <w:smallCaps w:val="false"/>
                <w:sz w:val="20"/>
                <w:u w:val="single"/>
              </w:rPr>
              <w:t>Forms Generally</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r>
      <w:tr>
        <w:trPr/>
        <w:tc>
          <w:tcPr>
            <w:tcW w:w="69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2.02.   </w:t>
            </w:r>
            <w:r>
              <w:rPr>
                <w:rFonts w:ascii="Times New Roman;Times;Serif" w:hAnsi="Times New Roman;Times;Serif"/>
                <w:b w:val="false"/>
                <w:i w:val="false"/>
                <w:caps w:val="false"/>
                <w:smallCaps w:val="false"/>
                <w:sz w:val="20"/>
                <w:u w:val="single"/>
              </w:rPr>
              <w:t>Guarantees by Guarantor; Form of Guarantee; Release of Guarantee</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r>
      <w:tr>
        <w:trPr/>
        <w:tc>
          <w:tcPr>
            <w:tcW w:w="69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2.03.   </w:t>
            </w:r>
            <w:r>
              <w:rPr>
                <w:rFonts w:ascii="Times New Roman;Times;Serif" w:hAnsi="Times New Roman;Times;Serif"/>
                <w:b w:val="false"/>
                <w:i w:val="false"/>
                <w:caps w:val="false"/>
                <w:smallCaps w:val="false"/>
                <w:sz w:val="20"/>
                <w:u w:val="single"/>
              </w:rPr>
              <w:t>Form of Trustee’s Certificate of Authentication</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r>
      <w:tr>
        <w:trPr/>
        <w:tc>
          <w:tcPr>
            <w:tcW w:w="6950"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7195"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ARTICLE 3 </w:t>
            </w:r>
          </w:p>
        </w:tc>
      </w:tr>
      <w:tr>
        <w:trPr/>
        <w:tc>
          <w:tcPr>
            <w:tcW w:w="7195" w:type="dxa"/>
            <w:gridSpan w:val="2"/>
            <w:tcBorders/>
            <w:vAlign w:val="center"/>
          </w:tcPr>
          <w:p>
            <w:pPr>
              <w:pStyle w:val="TableContents"/>
              <w:bidi w:val="0"/>
              <w:spacing w:before="0" w:after="283"/>
              <w:jc w:val="center"/>
              <w:rPr>
                <w:caps w:val="false"/>
                <w:smallCaps w:val="false"/>
              </w:rPr>
            </w:pPr>
            <w:r>
              <w:rPr>
                <w:caps w:val="false"/>
                <w:smallCaps w:val="false"/>
              </w:rPr>
              <w:t> </w:t>
            </w:r>
          </w:p>
        </w:tc>
      </w:tr>
      <w:tr>
        <w:trPr/>
        <w:tc>
          <w:tcPr>
            <w:tcW w:w="7195"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 EXECUTION, FORM AND REGISTRATION OF SECURITIES</w:t>
            </w:r>
          </w:p>
        </w:tc>
      </w:tr>
      <w:tr>
        <w:trPr/>
        <w:tc>
          <w:tcPr>
            <w:tcW w:w="7195" w:type="dxa"/>
            <w:gridSpan w:val="2"/>
            <w:tcBorders/>
            <w:vAlign w:val="center"/>
          </w:tcPr>
          <w:p>
            <w:pPr>
              <w:pStyle w:val="TableContents"/>
              <w:bidi w:val="0"/>
              <w:spacing w:before="0" w:after="283"/>
              <w:jc w:val="center"/>
              <w:rPr>
                <w:caps w:val="false"/>
                <w:smallCaps w:val="false"/>
              </w:rPr>
            </w:pPr>
            <w:r>
              <w:rPr>
                <w:caps w:val="false"/>
                <w:smallCaps w:val="false"/>
              </w:rPr>
              <w:t> </w:t>
            </w:r>
          </w:p>
        </w:tc>
      </w:tr>
      <w:tr>
        <w:trPr/>
        <w:tc>
          <w:tcPr>
            <w:tcW w:w="69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3.01.   </w:t>
            </w:r>
            <w:r>
              <w:rPr>
                <w:rFonts w:ascii="Times New Roman;Times;Serif" w:hAnsi="Times New Roman;Times;Serif"/>
                <w:b w:val="false"/>
                <w:i w:val="false"/>
                <w:caps w:val="false"/>
                <w:smallCaps w:val="false"/>
                <w:sz w:val="20"/>
                <w:u w:val="single"/>
              </w:rPr>
              <w:t>Amount Unlimited; Issuable in Series</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r>
      <w:tr>
        <w:trPr/>
        <w:tc>
          <w:tcPr>
            <w:tcW w:w="69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3.02.   </w:t>
            </w:r>
            <w:r>
              <w:rPr>
                <w:rFonts w:ascii="Times New Roman;Times;Serif" w:hAnsi="Times New Roman;Times;Serif"/>
                <w:b w:val="false"/>
                <w:i w:val="false"/>
                <w:caps w:val="false"/>
                <w:smallCaps w:val="false"/>
                <w:sz w:val="20"/>
                <w:u w:val="single"/>
              </w:rPr>
              <w:t>Authentication and Delivery of Securities</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r>
      <w:tr>
        <w:trPr/>
        <w:tc>
          <w:tcPr>
            <w:tcW w:w="69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3.03.   </w:t>
            </w:r>
            <w:r>
              <w:rPr>
                <w:rFonts w:ascii="Times New Roman;Times;Serif" w:hAnsi="Times New Roman;Times;Serif"/>
                <w:b w:val="false"/>
                <w:i w:val="false"/>
                <w:caps w:val="false"/>
                <w:smallCaps w:val="false"/>
                <w:sz w:val="20"/>
                <w:u w:val="single"/>
              </w:rPr>
              <w:t>Execution of Securities</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r>
      <w:tr>
        <w:trPr/>
        <w:tc>
          <w:tcPr>
            <w:tcW w:w="69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3.04.   </w:t>
            </w:r>
            <w:r>
              <w:rPr>
                <w:rFonts w:ascii="Times New Roman;Times;Serif" w:hAnsi="Times New Roman;Times;Serif"/>
                <w:b w:val="false"/>
                <w:i w:val="false"/>
                <w:caps w:val="false"/>
                <w:smallCaps w:val="false"/>
                <w:sz w:val="20"/>
                <w:u w:val="single"/>
              </w:rPr>
              <w:t>Certificate of Authentication</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r>
      <w:tr>
        <w:trPr/>
        <w:tc>
          <w:tcPr>
            <w:tcW w:w="69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3.05.   </w:t>
            </w:r>
            <w:r>
              <w:rPr>
                <w:rFonts w:ascii="Times New Roman;Times;Serif" w:hAnsi="Times New Roman;Times;Serif"/>
                <w:b w:val="false"/>
                <w:i w:val="false"/>
                <w:caps w:val="false"/>
                <w:smallCaps w:val="false"/>
                <w:sz w:val="20"/>
                <w:u w:val="single"/>
              </w:rPr>
              <w:t>Denomination, Currency and Date of Securities; Payments of Interest</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r>
      <w:tr>
        <w:trPr/>
        <w:tc>
          <w:tcPr>
            <w:tcW w:w="69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3.06.   </w:t>
            </w:r>
            <w:r>
              <w:rPr>
                <w:rFonts w:ascii="Times New Roman;Times;Serif" w:hAnsi="Times New Roman;Times;Serif"/>
                <w:b w:val="false"/>
                <w:i w:val="false"/>
                <w:caps w:val="false"/>
                <w:smallCaps w:val="false"/>
                <w:sz w:val="20"/>
                <w:u w:val="single"/>
              </w:rPr>
              <w:t>Global Security Legend</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r>
      <w:tr>
        <w:trPr/>
        <w:tc>
          <w:tcPr>
            <w:tcW w:w="69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3.07.   </w:t>
            </w:r>
            <w:r>
              <w:rPr>
                <w:rFonts w:ascii="Times New Roman;Times;Serif" w:hAnsi="Times New Roman;Times;Serif"/>
                <w:b w:val="false"/>
                <w:i w:val="false"/>
                <w:caps w:val="false"/>
                <w:smallCaps w:val="false"/>
                <w:sz w:val="20"/>
                <w:u w:val="single"/>
              </w:rPr>
              <w:t>Registration, Transfer and Exchange</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r>
      <w:tr>
        <w:trPr/>
        <w:tc>
          <w:tcPr>
            <w:tcW w:w="69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3.08.   </w:t>
            </w:r>
            <w:r>
              <w:rPr>
                <w:rFonts w:ascii="Times New Roman;Times;Serif" w:hAnsi="Times New Roman;Times;Serif"/>
                <w:b w:val="false"/>
                <w:i w:val="false"/>
                <w:caps w:val="false"/>
                <w:smallCaps w:val="false"/>
                <w:sz w:val="20"/>
                <w:u w:val="single"/>
              </w:rPr>
              <w:t>Book-Entry Provisions for Global Securities</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r>
      <w:tr>
        <w:trPr/>
        <w:tc>
          <w:tcPr>
            <w:tcW w:w="69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3.09.   </w:t>
            </w:r>
            <w:r>
              <w:rPr>
                <w:rFonts w:ascii="Times New Roman;Times;Serif" w:hAnsi="Times New Roman;Times;Serif"/>
                <w:b w:val="false"/>
                <w:i w:val="false"/>
                <w:caps w:val="false"/>
                <w:smallCaps w:val="false"/>
                <w:sz w:val="20"/>
                <w:u w:val="single"/>
              </w:rPr>
              <w:t>Mutilated, Defaced, Destroyed, Lost and Stolen Securities</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r>
      <w:tr>
        <w:trPr/>
        <w:tc>
          <w:tcPr>
            <w:tcW w:w="69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3.10.   </w:t>
            </w:r>
            <w:r>
              <w:rPr>
                <w:rFonts w:ascii="Times New Roman;Times;Serif" w:hAnsi="Times New Roman;Times;Serif"/>
                <w:b w:val="false"/>
                <w:i w:val="false"/>
                <w:caps w:val="false"/>
                <w:smallCaps w:val="false"/>
                <w:sz w:val="20"/>
                <w:u w:val="single"/>
              </w:rPr>
              <w:t>Cancellation of Securities</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r>
      <w:tr>
        <w:trPr/>
        <w:tc>
          <w:tcPr>
            <w:tcW w:w="69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3.11.   </w:t>
            </w:r>
            <w:r>
              <w:rPr>
                <w:rFonts w:ascii="Times New Roman;Times;Serif" w:hAnsi="Times New Roman;Times;Serif"/>
                <w:b w:val="false"/>
                <w:i w:val="false"/>
                <w:caps w:val="false"/>
                <w:smallCaps w:val="false"/>
                <w:sz w:val="20"/>
                <w:u w:val="single"/>
              </w:rPr>
              <w:t>Temporary Securities</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r>
      <w:tr>
        <w:trPr/>
        <w:tc>
          <w:tcPr>
            <w:tcW w:w="69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3.12.   </w:t>
            </w:r>
            <w:r>
              <w:rPr>
                <w:rFonts w:ascii="Times New Roman;Times;Serif" w:hAnsi="Times New Roman;Times;Serif"/>
                <w:b w:val="false"/>
                <w:i w:val="false"/>
                <w:caps w:val="false"/>
                <w:smallCaps w:val="false"/>
                <w:sz w:val="20"/>
                <w:u w:val="single"/>
              </w:rPr>
              <w:t>CUSIP and ISIN Numbers</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r>
      <w:tr>
        <w:trPr/>
        <w:tc>
          <w:tcPr>
            <w:tcW w:w="6950"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7195"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4</w:t>
            </w:r>
          </w:p>
        </w:tc>
      </w:tr>
      <w:tr>
        <w:trPr/>
        <w:tc>
          <w:tcPr>
            <w:tcW w:w="7195" w:type="dxa"/>
            <w:gridSpan w:val="2"/>
            <w:tcBorders/>
            <w:vAlign w:val="center"/>
          </w:tcPr>
          <w:p>
            <w:pPr>
              <w:pStyle w:val="TableContents"/>
              <w:bidi w:val="0"/>
              <w:spacing w:before="0" w:after="283"/>
              <w:jc w:val="center"/>
              <w:rPr>
                <w:caps w:val="false"/>
                <w:smallCaps w:val="false"/>
              </w:rPr>
            </w:pPr>
            <w:r>
              <w:rPr>
                <w:caps w:val="false"/>
                <w:smallCaps w:val="false"/>
              </w:rPr>
              <w:t> </w:t>
            </w:r>
          </w:p>
        </w:tc>
      </w:tr>
      <w:tr>
        <w:trPr/>
        <w:tc>
          <w:tcPr>
            <w:tcW w:w="7195"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COVENANTS</w:t>
            </w:r>
          </w:p>
        </w:tc>
      </w:tr>
      <w:tr>
        <w:trPr/>
        <w:tc>
          <w:tcPr>
            <w:tcW w:w="7195" w:type="dxa"/>
            <w:gridSpan w:val="2"/>
            <w:tcBorders/>
            <w:vAlign w:val="center"/>
          </w:tcPr>
          <w:p>
            <w:pPr>
              <w:pStyle w:val="TableContents"/>
              <w:bidi w:val="0"/>
              <w:spacing w:before="0" w:after="283"/>
              <w:jc w:val="center"/>
              <w:rPr>
                <w:caps w:val="false"/>
                <w:smallCaps w:val="false"/>
              </w:rPr>
            </w:pPr>
            <w:r>
              <w:rPr>
                <w:caps w:val="false"/>
                <w:smallCaps w:val="false"/>
              </w:rPr>
              <w:t> </w:t>
            </w:r>
          </w:p>
        </w:tc>
      </w:tr>
      <w:tr>
        <w:trPr/>
        <w:tc>
          <w:tcPr>
            <w:tcW w:w="69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4.01.   </w:t>
            </w:r>
            <w:r>
              <w:rPr>
                <w:rFonts w:ascii="Times New Roman;Times;Serif" w:hAnsi="Times New Roman;Times;Serif"/>
                <w:b w:val="false"/>
                <w:i w:val="false"/>
                <w:caps w:val="false"/>
                <w:smallCaps w:val="false"/>
                <w:sz w:val="20"/>
                <w:u w:val="single"/>
              </w:rPr>
              <w:t>Payment of Principal, Premium and Interest on Securities</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r>
      <w:tr>
        <w:trPr/>
        <w:tc>
          <w:tcPr>
            <w:tcW w:w="69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4.02.   </w:t>
            </w:r>
            <w:r>
              <w:rPr>
                <w:rFonts w:ascii="Times New Roman;Times;Serif" w:hAnsi="Times New Roman;Times;Serif"/>
                <w:b w:val="false"/>
                <w:i w:val="false"/>
                <w:caps w:val="false"/>
                <w:smallCaps w:val="false"/>
                <w:sz w:val="20"/>
                <w:u w:val="single"/>
              </w:rPr>
              <w:t>Maintenance of Office or Agency</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r>
      <w:tr>
        <w:trPr/>
        <w:tc>
          <w:tcPr>
            <w:tcW w:w="69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4.03.   </w:t>
            </w:r>
            <w:r>
              <w:rPr>
                <w:rFonts w:ascii="Times New Roman;Times;Serif" w:hAnsi="Times New Roman;Times;Serif"/>
                <w:b w:val="false"/>
                <w:i w:val="false"/>
                <w:caps w:val="false"/>
                <w:smallCaps w:val="false"/>
                <w:sz w:val="20"/>
                <w:u w:val="single"/>
              </w:rPr>
              <w:t>Money for Securities Payments to be Held in Trust</w:t>
            </w:r>
            <w:r>
              <w:rPr>
                <w:rFonts w:ascii="Times New Roman;Times;Serif" w:hAnsi="Times New Roman;Times;Serif"/>
                <w:b w:val="false"/>
                <w:i w:val="false"/>
                <w:caps w:val="false"/>
                <w:smallCaps w:val="false"/>
                <w:sz w:val="20"/>
              </w:rPr>
              <w:t>.</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r>
      <w:tr>
        <w:trPr/>
        <w:tc>
          <w:tcPr>
            <w:tcW w:w="69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4.04.   </w:t>
            </w:r>
            <w:r>
              <w:rPr>
                <w:rFonts w:ascii="Times New Roman;Times;Serif" w:hAnsi="Times New Roman;Times;Serif"/>
                <w:b w:val="false"/>
                <w:i w:val="false"/>
                <w:caps w:val="false"/>
                <w:smallCaps w:val="false"/>
                <w:sz w:val="20"/>
                <w:u w:val="single"/>
              </w:rPr>
              <w:t>Existence</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r>
      <w:tr>
        <w:trPr/>
        <w:tc>
          <w:tcPr>
            <w:tcW w:w="69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4.05.   </w:t>
            </w:r>
            <w:r>
              <w:rPr>
                <w:rFonts w:ascii="Times New Roman;Times;Serif" w:hAnsi="Times New Roman;Times;Serif"/>
                <w:b w:val="false"/>
                <w:i w:val="false"/>
                <w:caps w:val="false"/>
                <w:smallCaps w:val="false"/>
                <w:sz w:val="20"/>
                <w:u w:val="single"/>
              </w:rPr>
              <w:t>Statement by Officers as to Default</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r>
      <w:tr>
        <w:trPr/>
        <w:tc>
          <w:tcPr>
            <w:tcW w:w="69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4.06.   </w:t>
            </w:r>
            <w:r>
              <w:rPr>
                <w:rFonts w:ascii="Times New Roman;Times;Serif" w:hAnsi="Times New Roman;Times;Serif"/>
                <w:b w:val="false"/>
                <w:i w:val="false"/>
                <w:caps w:val="false"/>
                <w:smallCaps w:val="false"/>
                <w:sz w:val="20"/>
                <w:u w:val="single"/>
              </w:rPr>
              <w:t>Waiver of Certain Covenants</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r>
      <w:tr>
        <w:trPr/>
        <w:tc>
          <w:tcPr>
            <w:tcW w:w="6950"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7195"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5</w:t>
            </w:r>
          </w:p>
        </w:tc>
      </w:tr>
      <w:tr>
        <w:trPr/>
        <w:tc>
          <w:tcPr>
            <w:tcW w:w="7195" w:type="dxa"/>
            <w:gridSpan w:val="2"/>
            <w:tcBorders/>
            <w:vAlign w:val="center"/>
          </w:tcPr>
          <w:p>
            <w:pPr>
              <w:pStyle w:val="TableContents"/>
              <w:bidi w:val="0"/>
              <w:spacing w:before="0" w:after="283"/>
              <w:jc w:val="center"/>
              <w:rPr>
                <w:caps w:val="false"/>
                <w:smallCaps w:val="false"/>
              </w:rPr>
            </w:pPr>
            <w:r>
              <w:rPr>
                <w:caps w:val="false"/>
                <w:smallCaps w:val="false"/>
              </w:rPr>
              <w:t> </w:t>
            </w:r>
          </w:p>
        </w:tc>
      </w:tr>
      <w:tr>
        <w:trPr/>
        <w:tc>
          <w:tcPr>
            <w:tcW w:w="7195"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REMEDIES OF THE TRUSTEE AND HOLDERS ON EVENT OF DEFAULT</w:t>
            </w:r>
          </w:p>
        </w:tc>
      </w:tr>
      <w:tr>
        <w:trPr/>
        <w:tc>
          <w:tcPr>
            <w:tcW w:w="7195" w:type="dxa"/>
            <w:gridSpan w:val="2"/>
            <w:tcBorders/>
            <w:vAlign w:val="center"/>
          </w:tcPr>
          <w:p>
            <w:pPr>
              <w:pStyle w:val="TableContents"/>
              <w:bidi w:val="0"/>
              <w:spacing w:before="0" w:after="283"/>
              <w:jc w:val="center"/>
              <w:rPr>
                <w:caps w:val="false"/>
                <w:smallCaps w:val="false"/>
              </w:rPr>
            </w:pPr>
            <w:r>
              <w:rPr>
                <w:caps w:val="false"/>
                <w:smallCaps w:val="false"/>
              </w:rPr>
              <w:t> </w:t>
            </w:r>
          </w:p>
        </w:tc>
      </w:tr>
      <w:tr>
        <w:trPr/>
        <w:tc>
          <w:tcPr>
            <w:tcW w:w="69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5.01.   </w:t>
            </w:r>
            <w:r>
              <w:rPr>
                <w:rFonts w:ascii="Times New Roman;Times;Serif" w:hAnsi="Times New Roman;Times;Serif"/>
                <w:b w:val="false"/>
                <w:i w:val="false"/>
                <w:caps w:val="false"/>
                <w:smallCaps w:val="false"/>
                <w:sz w:val="20"/>
                <w:u w:val="single"/>
              </w:rPr>
              <w:t>Events of Default</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r>
      <w:tr>
        <w:trPr/>
        <w:tc>
          <w:tcPr>
            <w:tcW w:w="69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5.02.   </w:t>
            </w:r>
            <w:r>
              <w:rPr>
                <w:rFonts w:ascii="Times New Roman;Times;Serif" w:hAnsi="Times New Roman;Times;Serif"/>
                <w:b w:val="false"/>
                <w:i w:val="false"/>
                <w:caps w:val="false"/>
                <w:smallCaps w:val="false"/>
                <w:sz w:val="20"/>
                <w:u w:val="single"/>
              </w:rPr>
              <w:t>Acceleration</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r>
      <w:tr>
        <w:trPr/>
        <w:tc>
          <w:tcPr>
            <w:tcW w:w="69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5.03.   </w:t>
            </w:r>
            <w:r>
              <w:rPr>
                <w:rFonts w:ascii="Times New Roman;Times;Serif" w:hAnsi="Times New Roman;Times;Serif"/>
                <w:b w:val="false"/>
                <w:i w:val="false"/>
                <w:caps w:val="false"/>
                <w:smallCaps w:val="false"/>
                <w:sz w:val="20"/>
                <w:u w:val="single"/>
              </w:rPr>
              <w:t>Other Remedies</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r>
    </w:tbl>
    <w:p>
      <w:pPr>
        <w:pStyle w:val="TextBody"/>
        <w:bidi w:val="0"/>
        <w:spacing w:before="0" w:after="283"/>
        <w:jc w:val="left"/>
        <w:rPr/>
      </w:pPr>
      <w:r>
        <w:rPr/>
        <w:t> </w:t>
      </w:r>
    </w:p>
    <w:p>
      <w:pPr>
        <w:pStyle w:val="TextBody"/>
        <w:bidi w:val="0"/>
        <w:spacing w:before="0" w:after="0"/>
        <w:jc w:val="center"/>
        <w:rPr>
          <w:sz w:val="20"/>
          <w:bdr w:val="single" w:sz="8" w:space="1" w:color="000000"/>
        </w:rPr>
      </w:pPr>
      <w:r>
        <w:rPr>
          <w:sz w:val="20"/>
          <w:bdr w:val="single" w:sz="8" w:space="1" w:color="000000"/>
        </w:rPr>
        <w:t>-i-</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jc w:val="center"/>
        <w:rPr>
          <w:b/>
        </w:rPr>
      </w:pPr>
      <w:r>
        <w:rPr>
          <w:b/>
        </w:rPr>
        <w:t>TABLE OF CONTENTS</w:t>
      </w:r>
    </w:p>
    <w:p>
      <w:pPr>
        <w:pStyle w:val="TextBody"/>
        <w:bidi w:val="0"/>
        <w:jc w:val="center"/>
        <w:rPr/>
      </w:pPr>
      <w:r>
        <w:rPr/>
        <w:t> </w:t>
      </w:r>
    </w:p>
    <w:p>
      <w:pPr>
        <w:pStyle w:val="TextBody"/>
        <w:bidi w:val="0"/>
        <w:jc w:val="center"/>
        <w:rPr>
          <w:b/>
        </w:rPr>
      </w:pPr>
      <w:r>
        <w:rPr>
          <w:b/>
        </w:rPr>
        <w:t>(continued)</w:t>
      </w:r>
    </w:p>
    <w:p>
      <w:pPr>
        <w:pStyle w:val="TextBody"/>
        <w:bidi w:val="0"/>
        <w:spacing w:before="0" w:after="283"/>
        <w:jc w:val="left"/>
        <w:rPr/>
      </w:pPr>
      <w:r>
        <w:rPr/>
        <w:t> </w:t>
      </w:r>
    </w:p>
    <w:p>
      <w:pPr>
        <w:pStyle w:val="TextBody"/>
        <w:bidi w:val="0"/>
        <w:jc w:val="right"/>
        <w:rPr>
          <w:b/>
        </w:rPr>
      </w:pPr>
      <w:r>
        <w:rPr>
          <w:b/>
        </w:rPr>
        <w:t>Page</w:t>
      </w:r>
    </w:p>
    <w:p>
      <w:pPr>
        <w:pStyle w:val="TextBody"/>
        <w:bidi w:val="0"/>
        <w:spacing w:before="0" w:after="283"/>
        <w:jc w:val="left"/>
        <w:rPr/>
      </w:pPr>
      <w:r>
        <w:rPr/>
        <w:t> </w:t>
      </w:r>
    </w:p>
    <w:tbl>
      <w:tblPr>
        <w:tblW w:w="9565" w:type="dxa"/>
        <w:jc w:val="left"/>
        <w:tblInd w:w="0" w:type="dxa"/>
        <w:tblLayout w:type="fixed"/>
        <w:tblCellMar>
          <w:top w:w="0" w:type="dxa"/>
          <w:left w:w="0" w:type="dxa"/>
          <w:bottom w:w="0" w:type="dxa"/>
          <w:right w:w="0" w:type="dxa"/>
        </w:tblCellMar>
      </w:tblPr>
      <w:tblGrid>
        <w:gridCol w:w="9320"/>
        <w:gridCol w:w="245"/>
      </w:tblGrid>
      <w:tr>
        <w:trPr/>
        <w:tc>
          <w:tcPr>
            <w:tcW w:w="9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5.04.   </w:t>
            </w:r>
            <w:r>
              <w:rPr>
                <w:rFonts w:ascii="Times New Roman;Times;Serif" w:hAnsi="Times New Roman;Times;Serif"/>
                <w:b w:val="false"/>
                <w:i w:val="false"/>
                <w:caps w:val="false"/>
                <w:smallCaps w:val="false"/>
                <w:sz w:val="20"/>
                <w:u w:val="single"/>
              </w:rPr>
              <w:t>Waiver of Past Defaults</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r>
      <w:tr>
        <w:trPr/>
        <w:tc>
          <w:tcPr>
            <w:tcW w:w="9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5.05.   </w:t>
            </w:r>
            <w:r>
              <w:rPr>
                <w:rFonts w:ascii="Times New Roman;Times;Serif" w:hAnsi="Times New Roman;Times;Serif"/>
                <w:b w:val="false"/>
                <w:i w:val="false"/>
                <w:caps w:val="false"/>
                <w:smallCaps w:val="false"/>
                <w:sz w:val="20"/>
                <w:u w:val="single"/>
              </w:rPr>
              <w:t>Control by Majority</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r>
      <w:tr>
        <w:trPr/>
        <w:tc>
          <w:tcPr>
            <w:tcW w:w="9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5.06.   </w:t>
            </w:r>
            <w:r>
              <w:rPr>
                <w:rFonts w:ascii="Times New Roman;Times;Serif" w:hAnsi="Times New Roman;Times;Serif"/>
                <w:b w:val="false"/>
                <w:i w:val="false"/>
                <w:caps w:val="false"/>
                <w:smallCaps w:val="false"/>
                <w:sz w:val="20"/>
                <w:u w:val="single"/>
              </w:rPr>
              <w:t>Limitation on Suits</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r>
      <w:tr>
        <w:trPr/>
        <w:tc>
          <w:tcPr>
            <w:tcW w:w="9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5.07.   </w:t>
            </w:r>
            <w:r>
              <w:rPr>
                <w:rFonts w:ascii="Times New Roman;Times;Serif" w:hAnsi="Times New Roman;Times;Serif"/>
                <w:b w:val="false"/>
                <w:i w:val="false"/>
                <w:caps w:val="false"/>
                <w:smallCaps w:val="false"/>
                <w:sz w:val="20"/>
                <w:u w:val="single"/>
              </w:rPr>
              <w:t>Rights of Holders to Receive Payment</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r>
      <w:tr>
        <w:trPr/>
        <w:tc>
          <w:tcPr>
            <w:tcW w:w="9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5.08.   </w:t>
            </w:r>
            <w:r>
              <w:rPr>
                <w:rFonts w:ascii="Times New Roman;Times;Serif" w:hAnsi="Times New Roman;Times;Serif"/>
                <w:b w:val="false"/>
                <w:i w:val="false"/>
                <w:caps w:val="false"/>
                <w:smallCaps w:val="false"/>
                <w:sz w:val="20"/>
                <w:u w:val="single"/>
              </w:rPr>
              <w:t>Collection Suit by Trustee</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r>
      <w:tr>
        <w:trPr/>
        <w:tc>
          <w:tcPr>
            <w:tcW w:w="9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5.09.   </w:t>
            </w:r>
            <w:r>
              <w:rPr>
                <w:rFonts w:ascii="Times New Roman;Times;Serif" w:hAnsi="Times New Roman;Times;Serif"/>
                <w:b w:val="false"/>
                <w:i w:val="false"/>
                <w:caps w:val="false"/>
                <w:smallCaps w:val="false"/>
                <w:sz w:val="20"/>
                <w:u w:val="single"/>
              </w:rPr>
              <w:t>Trustee May File Proofs of Claim</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r>
      <w:tr>
        <w:trPr/>
        <w:tc>
          <w:tcPr>
            <w:tcW w:w="9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5.10.   </w:t>
            </w:r>
            <w:r>
              <w:rPr>
                <w:rFonts w:ascii="Times New Roman;Times;Serif" w:hAnsi="Times New Roman;Times;Serif"/>
                <w:b w:val="false"/>
                <w:i w:val="false"/>
                <w:caps w:val="false"/>
                <w:smallCaps w:val="false"/>
                <w:sz w:val="20"/>
                <w:u w:val="single"/>
              </w:rPr>
              <w:t>Priorities</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r>
      <w:tr>
        <w:trPr/>
        <w:tc>
          <w:tcPr>
            <w:tcW w:w="9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5.11.   </w:t>
            </w:r>
            <w:r>
              <w:rPr>
                <w:rFonts w:ascii="Times New Roman;Times;Serif" w:hAnsi="Times New Roman;Times;Serif"/>
                <w:b w:val="false"/>
                <w:i w:val="false"/>
                <w:caps w:val="false"/>
                <w:smallCaps w:val="false"/>
                <w:sz w:val="20"/>
                <w:u w:val="single"/>
              </w:rPr>
              <w:t>Undertaking for Costs</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r>
      <w:tr>
        <w:trPr/>
        <w:tc>
          <w:tcPr>
            <w:tcW w:w="9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5.12.   </w:t>
            </w:r>
            <w:r>
              <w:rPr>
                <w:rFonts w:ascii="Times New Roman;Times;Serif" w:hAnsi="Times New Roman;Times;Serif"/>
                <w:b w:val="false"/>
                <w:i w:val="false"/>
                <w:caps w:val="false"/>
                <w:smallCaps w:val="false"/>
                <w:sz w:val="20"/>
                <w:u w:val="single"/>
              </w:rPr>
              <w:t>Restoration of Rights and Remedies</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r>
      <w:tr>
        <w:trPr/>
        <w:tc>
          <w:tcPr>
            <w:tcW w:w="9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5.13.   </w:t>
            </w:r>
            <w:r>
              <w:rPr>
                <w:rFonts w:ascii="Times New Roman;Times;Serif" w:hAnsi="Times New Roman;Times;Serif"/>
                <w:b w:val="false"/>
                <w:i w:val="false"/>
                <w:caps w:val="false"/>
                <w:smallCaps w:val="false"/>
                <w:sz w:val="20"/>
                <w:u w:val="single"/>
              </w:rPr>
              <w:t>Rights and Remedies Cumulative</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r>
      <w:tr>
        <w:trPr/>
        <w:tc>
          <w:tcPr>
            <w:tcW w:w="9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5.14.   </w:t>
            </w:r>
            <w:r>
              <w:rPr>
                <w:rFonts w:ascii="Times New Roman;Times;Serif" w:hAnsi="Times New Roman;Times;Serif"/>
                <w:b w:val="false"/>
                <w:i w:val="false"/>
                <w:caps w:val="false"/>
                <w:smallCaps w:val="false"/>
                <w:sz w:val="20"/>
                <w:u w:val="single"/>
              </w:rPr>
              <w:t>Delay or Omission Not Waiver</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r>
      <w:tr>
        <w:trPr/>
        <w:tc>
          <w:tcPr>
            <w:tcW w:w="9320"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9565"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ARTICLE 6 </w:t>
            </w:r>
          </w:p>
        </w:tc>
      </w:tr>
      <w:tr>
        <w:trPr/>
        <w:tc>
          <w:tcPr>
            <w:tcW w:w="9565" w:type="dxa"/>
            <w:gridSpan w:val="2"/>
            <w:tcBorders/>
            <w:vAlign w:val="center"/>
          </w:tcPr>
          <w:p>
            <w:pPr>
              <w:pStyle w:val="TableContents"/>
              <w:bidi w:val="0"/>
              <w:spacing w:before="0" w:after="283"/>
              <w:jc w:val="center"/>
              <w:rPr>
                <w:caps w:val="false"/>
                <w:smallCaps w:val="false"/>
              </w:rPr>
            </w:pPr>
            <w:r>
              <w:rPr>
                <w:caps w:val="false"/>
                <w:smallCaps w:val="false"/>
              </w:rPr>
              <w:t> </w:t>
            </w:r>
          </w:p>
        </w:tc>
      </w:tr>
      <w:tr>
        <w:trPr/>
        <w:tc>
          <w:tcPr>
            <w:tcW w:w="9565"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w:t>
            </w:r>
          </w:p>
        </w:tc>
      </w:tr>
      <w:tr>
        <w:trPr/>
        <w:tc>
          <w:tcPr>
            <w:tcW w:w="9565" w:type="dxa"/>
            <w:gridSpan w:val="2"/>
            <w:tcBorders/>
            <w:vAlign w:val="center"/>
          </w:tcPr>
          <w:p>
            <w:pPr>
              <w:pStyle w:val="TableContents"/>
              <w:bidi w:val="0"/>
              <w:spacing w:before="0" w:after="283"/>
              <w:jc w:val="center"/>
              <w:rPr>
                <w:caps w:val="false"/>
                <w:smallCaps w:val="false"/>
              </w:rPr>
            </w:pPr>
            <w:r>
              <w:rPr>
                <w:caps w:val="false"/>
                <w:smallCaps w:val="false"/>
              </w:rPr>
              <w:t> </w:t>
            </w:r>
          </w:p>
        </w:tc>
      </w:tr>
      <w:tr>
        <w:trPr/>
        <w:tc>
          <w:tcPr>
            <w:tcW w:w="9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6.01.   </w:t>
            </w:r>
            <w:r>
              <w:rPr>
                <w:rFonts w:ascii="Times New Roman;Times;Serif" w:hAnsi="Times New Roman;Times;Serif"/>
                <w:b w:val="false"/>
                <w:i w:val="false"/>
                <w:caps w:val="false"/>
                <w:smallCaps w:val="false"/>
                <w:sz w:val="20"/>
                <w:u w:val="single"/>
              </w:rPr>
              <w:t>Duties and Responsibilities of the Trustee; During Default; Prior to Default</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r>
      <w:tr>
        <w:trPr/>
        <w:tc>
          <w:tcPr>
            <w:tcW w:w="9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6.02.   </w:t>
            </w:r>
            <w:r>
              <w:rPr>
                <w:rFonts w:ascii="Times New Roman;Times;Serif" w:hAnsi="Times New Roman;Times;Serif"/>
                <w:b w:val="false"/>
                <w:i w:val="false"/>
                <w:caps w:val="false"/>
                <w:smallCaps w:val="false"/>
                <w:sz w:val="20"/>
                <w:u w:val="single"/>
              </w:rPr>
              <w:t>Certain Rights of the Trustee</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r>
      <w:tr>
        <w:trPr/>
        <w:tc>
          <w:tcPr>
            <w:tcW w:w="9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6.03.   </w:t>
            </w:r>
            <w:r>
              <w:rPr>
                <w:rFonts w:ascii="Times New Roman;Times;Serif" w:hAnsi="Times New Roman;Times;Serif"/>
                <w:b w:val="false"/>
                <w:i w:val="false"/>
                <w:caps w:val="false"/>
                <w:smallCaps w:val="false"/>
                <w:sz w:val="20"/>
                <w:u w:val="single"/>
              </w:rPr>
              <w:t>Trustee Not Responsible for Recitals, Disposition of Securities or Application of Proceeds Thereof</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r>
      <w:tr>
        <w:trPr/>
        <w:tc>
          <w:tcPr>
            <w:tcW w:w="9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6.04.   </w:t>
            </w:r>
            <w:r>
              <w:rPr>
                <w:rFonts w:ascii="Times New Roman;Times;Serif" w:hAnsi="Times New Roman;Times;Serif"/>
                <w:b w:val="false"/>
                <w:i w:val="false"/>
                <w:caps w:val="false"/>
                <w:smallCaps w:val="false"/>
                <w:sz w:val="20"/>
                <w:u w:val="single"/>
              </w:rPr>
              <w:t>Trustee and Agents May Hold Securities; Collections, Etc.</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r>
      <w:tr>
        <w:trPr/>
        <w:tc>
          <w:tcPr>
            <w:tcW w:w="9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6.05.   </w:t>
            </w:r>
            <w:r>
              <w:rPr>
                <w:rFonts w:ascii="Times New Roman;Times;Serif" w:hAnsi="Times New Roman;Times;Serif"/>
                <w:b w:val="false"/>
                <w:i w:val="false"/>
                <w:caps w:val="false"/>
                <w:smallCaps w:val="false"/>
                <w:sz w:val="20"/>
                <w:u w:val="single"/>
              </w:rPr>
              <w:t>Moneys Held by Trustee</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r>
      <w:tr>
        <w:trPr/>
        <w:tc>
          <w:tcPr>
            <w:tcW w:w="9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6.06.   </w:t>
            </w:r>
            <w:r>
              <w:rPr>
                <w:rFonts w:ascii="Times New Roman;Times;Serif" w:hAnsi="Times New Roman;Times;Serif"/>
                <w:b w:val="false"/>
                <w:i w:val="false"/>
                <w:caps w:val="false"/>
                <w:smallCaps w:val="false"/>
                <w:sz w:val="20"/>
                <w:u w:val="single"/>
              </w:rPr>
              <w:t>Notice of Default</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r>
      <w:tr>
        <w:trPr/>
        <w:tc>
          <w:tcPr>
            <w:tcW w:w="9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6.07.   </w:t>
            </w:r>
            <w:r>
              <w:rPr>
                <w:rFonts w:ascii="Times New Roman;Times;Serif" w:hAnsi="Times New Roman;Times;Serif"/>
                <w:b w:val="false"/>
                <w:i w:val="false"/>
                <w:caps w:val="false"/>
                <w:smallCaps w:val="false"/>
                <w:sz w:val="20"/>
                <w:u w:val="single"/>
              </w:rPr>
              <w:t>Compensation and Indemnification of Trustee and Its Prior Claim</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r>
      <w:tr>
        <w:trPr/>
        <w:tc>
          <w:tcPr>
            <w:tcW w:w="9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6.08.   </w:t>
            </w:r>
            <w:r>
              <w:rPr>
                <w:rFonts w:ascii="Times New Roman;Times;Serif" w:hAnsi="Times New Roman;Times;Serif"/>
                <w:b w:val="false"/>
                <w:i w:val="false"/>
                <w:caps w:val="false"/>
                <w:smallCaps w:val="false"/>
                <w:sz w:val="20"/>
                <w:u w:val="single"/>
              </w:rPr>
              <w:t>Right of Trustee to Rely on Officers’ Certificate, Etc.</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r>
      <w:tr>
        <w:trPr/>
        <w:tc>
          <w:tcPr>
            <w:tcW w:w="9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6.09.   </w:t>
            </w:r>
            <w:r>
              <w:rPr>
                <w:rFonts w:ascii="Times New Roman;Times;Serif" w:hAnsi="Times New Roman;Times;Serif"/>
                <w:b w:val="false"/>
                <w:i w:val="false"/>
                <w:caps w:val="false"/>
                <w:smallCaps w:val="false"/>
                <w:sz w:val="20"/>
                <w:u w:val="single"/>
              </w:rPr>
              <w:t>Persons Eligible for Appointment as Trustee</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r>
      <w:tr>
        <w:trPr/>
        <w:tc>
          <w:tcPr>
            <w:tcW w:w="9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6.10.   </w:t>
            </w:r>
            <w:r>
              <w:rPr>
                <w:rFonts w:ascii="Times New Roman;Times;Serif" w:hAnsi="Times New Roman;Times;Serif"/>
                <w:b w:val="false"/>
                <w:i w:val="false"/>
                <w:caps w:val="false"/>
                <w:smallCaps w:val="false"/>
                <w:sz w:val="20"/>
                <w:u w:val="single"/>
              </w:rPr>
              <w:t>Resignation and Removal; Appointment of Successor Trustee</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r>
      <w:tr>
        <w:trPr/>
        <w:tc>
          <w:tcPr>
            <w:tcW w:w="9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6.11.   </w:t>
            </w:r>
            <w:r>
              <w:rPr>
                <w:rFonts w:ascii="Times New Roman;Times;Serif" w:hAnsi="Times New Roman;Times;Serif"/>
                <w:b w:val="false"/>
                <w:i w:val="false"/>
                <w:caps w:val="false"/>
                <w:smallCaps w:val="false"/>
                <w:sz w:val="20"/>
                <w:u w:val="single"/>
              </w:rPr>
              <w:t>Acceptance of Appointment by Successor</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r>
      <w:tr>
        <w:trPr/>
        <w:tc>
          <w:tcPr>
            <w:tcW w:w="9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6.12.   </w:t>
            </w:r>
            <w:r>
              <w:rPr>
                <w:rFonts w:ascii="Times New Roman;Times;Serif" w:hAnsi="Times New Roman;Times;Serif"/>
                <w:b w:val="false"/>
                <w:i w:val="false"/>
                <w:caps w:val="false"/>
                <w:smallCaps w:val="false"/>
                <w:sz w:val="20"/>
                <w:u w:val="single"/>
              </w:rPr>
              <w:t>Merger, Conversion, Consolidation or Succession to Business of Trustee</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r>
      <w:tr>
        <w:trPr/>
        <w:tc>
          <w:tcPr>
            <w:tcW w:w="9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6.13.   </w:t>
            </w:r>
            <w:r>
              <w:rPr>
                <w:rFonts w:ascii="Times New Roman;Times;Serif" w:hAnsi="Times New Roman;Times;Serif"/>
                <w:b w:val="false"/>
                <w:i w:val="false"/>
                <w:caps w:val="false"/>
                <w:smallCaps w:val="false"/>
                <w:sz w:val="20"/>
                <w:u w:val="single"/>
              </w:rPr>
              <w:t>Preferential Collection of Claims</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r>
      <w:tr>
        <w:trPr/>
        <w:tc>
          <w:tcPr>
            <w:tcW w:w="9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6.14.   </w:t>
            </w:r>
            <w:r>
              <w:rPr>
                <w:rFonts w:ascii="Times New Roman;Times;Serif" w:hAnsi="Times New Roman;Times;Serif"/>
                <w:b w:val="false"/>
                <w:i w:val="false"/>
                <w:caps w:val="false"/>
                <w:smallCaps w:val="false"/>
                <w:sz w:val="20"/>
                <w:u w:val="single"/>
              </w:rPr>
              <w:t>Communications with the Trustee</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r>
      <w:tr>
        <w:trPr/>
        <w:tc>
          <w:tcPr>
            <w:tcW w:w="9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6.15.   </w:t>
            </w:r>
            <w:r>
              <w:rPr>
                <w:rFonts w:ascii="Times New Roman;Times;Serif" w:hAnsi="Times New Roman;Times;Serif"/>
                <w:b w:val="false"/>
                <w:i w:val="false"/>
                <w:caps w:val="false"/>
                <w:smallCaps w:val="false"/>
                <w:sz w:val="20"/>
                <w:u w:val="single"/>
              </w:rPr>
              <w:t>Paying Agent/Registrar</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r>
      <w:tr>
        <w:trPr/>
        <w:tc>
          <w:tcPr>
            <w:tcW w:w="9320"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9565"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ARTICLE 7 </w:t>
            </w:r>
          </w:p>
        </w:tc>
      </w:tr>
      <w:tr>
        <w:trPr/>
        <w:tc>
          <w:tcPr>
            <w:tcW w:w="9565" w:type="dxa"/>
            <w:gridSpan w:val="2"/>
            <w:tcBorders/>
            <w:vAlign w:val="center"/>
          </w:tcPr>
          <w:p>
            <w:pPr>
              <w:pStyle w:val="TableContents"/>
              <w:bidi w:val="0"/>
              <w:spacing w:before="0" w:after="283"/>
              <w:jc w:val="center"/>
              <w:rPr>
                <w:caps w:val="false"/>
                <w:smallCaps w:val="false"/>
              </w:rPr>
            </w:pPr>
            <w:r>
              <w:rPr>
                <w:caps w:val="false"/>
                <w:smallCaps w:val="false"/>
              </w:rPr>
              <w:t> </w:t>
            </w:r>
          </w:p>
        </w:tc>
      </w:tr>
      <w:tr>
        <w:trPr/>
        <w:tc>
          <w:tcPr>
            <w:tcW w:w="9565"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CONCERNING THE HOLDERS</w:t>
            </w:r>
          </w:p>
        </w:tc>
      </w:tr>
      <w:tr>
        <w:trPr/>
        <w:tc>
          <w:tcPr>
            <w:tcW w:w="9565" w:type="dxa"/>
            <w:gridSpan w:val="2"/>
            <w:tcBorders/>
            <w:vAlign w:val="center"/>
          </w:tcPr>
          <w:p>
            <w:pPr>
              <w:pStyle w:val="TableContents"/>
              <w:bidi w:val="0"/>
              <w:spacing w:before="0" w:after="283"/>
              <w:jc w:val="center"/>
              <w:rPr>
                <w:caps w:val="false"/>
                <w:smallCaps w:val="false"/>
              </w:rPr>
            </w:pPr>
            <w:r>
              <w:rPr>
                <w:caps w:val="false"/>
                <w:smallCaps w:val="false"/>
              </w:rPr>
              <w:t> </w:t>
            </w:r>
          </w:p>
        </w:tc>
      </w:tr>
      <w:tr>
        <w:trPr/>
        <w:tc>
          <w:tcPr>
            <w:tcW w:w="9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7.01.   </w:t>
            </w:r>
            <w:r>
              <w:rPr>
                <w:rFonts w:ascii="Times New Roman;Times;Serif" w:hAnsi="Times New Roman;Times;Serif"/>
                <w:b w:val="false"/>
                <w:i w:val="false"/>
                <w:caps w:val="false"/>
                <w:smallCaps w:val="false"/>
                <w:sz w:val="20"/>
                <w:u w:val="single"/>
              </w:rPr>
              <w:t>Evidence of Action Taken by Holders</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r>
      <w:tr>
        <w:trPr/>
        <w:tc>
          <w:tcPr>
            <w:tcW w:w="9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7.02.   </w:t>
            </w:r>
            <w:r>
              <w:rPr>
                <w:rFonts w:ascii="Times New Roman;Times;Serif" w:hAnsi="Times New Roman;Times;Serif"/>
                <w:b w:val="false"/>
                <w:i w:val="false"/>
                <w:caps w:val="false"/>
                <w:smallCaps w:val="false"/>
                <w:sz w:val="20"/>
                <w:u w:val="single"/>
              </w:rPr>
              <w:t>Proof of Execution of Instruments and of Holding of Securities; Record Date</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r>
      <w:tr>
        <w:trPr/>
        <w:tc>
          <w:tcPr>
            <w:tcW w:w="9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7.03.   </w:t>
            </w:r>
            <w:r>
              <w:rPr>
                <w:rFonts w:ascii="Times New Roman;Times;Serif" w:hAnsi="Times New Roman;Times;Serif"/>
                <w:b w:val="false"/>
                <w:i w:val="false"/>
                <w:caps w:val="false"/>
                <w:smallCaps w:val="false"/>
                <w:sz w:val="20"/>
                <w:u w:val="single"/>
              </w:rPr>
              <w:t>Who May Be Deemed Owners of Securities</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r>
      <w:tr>
        <w:trPr/>
        <w:tc>
          <w:tcPr>
            <w:tcW w:w="9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7.04.   </w:t>
            </w:r>
            <w:r>
              <w:rPr>
                <w:rFonts w:ascii="Times New Roman;Times;Serif" w:hAnsi="Times New Roman;Times;Serif"/>
                <w:b w:val="false"/>
                <w:i w:val="false"/>
                <w:caps w:val="false"/>
                <w:smallCaps w:val="false"/>
                <w:sz w:val="20"/>
                <w:u w:val="single"/>
              </w:rPr>
              <w:t>Securities Owned by Company Deemed Not Outstanding</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r>
      <w:tr>
        <w:trPr/>
        <w:tc>
          <w:tcPr>
            <w:tcW w:w="9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7.05.   </w:t>
            </w:r>
            <w:r>
              <w:rPr>
                <w:rFonts w:ascii="Times New Roman;Times;Serif" w:hAnsi="Times New Roman;Times;Serif"/>
                <w:b w:val="false"/>
                <w:i w:val="false"/>
                <w:caps w:val="false"/>
                <w:smallCaps w:val="false"/>
                <w:sz w:val="20"/>
                <w:u w:val="single"/>
              </w:rPr>
              <w:t>Record Date for Action by Holders</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r>
      <w:tr>
        <w:trPr/>
        <w:tc>
          <w:tcPr>
            <w:tcW w:w="9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7.06.   </w:t>
            </w:r>
            <w:r>
              <w:rPr>
                <w:rFonts w:ascii="Times New Roman;Times;Serif" w:hAnsi="Times New Roman;Times;Serif"/>
                <w:b w:val="false"/>
                <w:i w:val="false"/>
                <w:caps w:val="false"/>
                <w:smallCaps w:val="false"/>
                <w:sz w:val="20"/>
                <w:u w:val="single"/>
              </w:rPr>
              <w:t>Right of Revocation of Action Taken</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r>
      <w:tr>
        <w:trPr/>
        <w:tc>
          <w:tcPr>
            <w:tcW w:w="9320"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9565"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8</w:t>
            </w:r>
          </w:p>
        </w:tc>
      </w:tr>
      <w:tr>
        <w:trPr/>
        <w:tc>
          <w:tcPr>
            <w:tcW w:w="9565" w:type="dxa"/>
            <w:gridSpan w:val="2"/>
            <w:tcBorders/>
            <w:vAlign w:val="center"/>
          </w:tcPr>
          <w:p>
            <w:pPr>
              <w:pStyle w:val="TableContents"/>
              <w:bidi w:val="0"/>
              <w:spacing w:before="0" w:after="283"/>
              <w:jc w:val="center"/>
              <w:rPr>
                <w:caps w:val="false"/>
                <w:smallCaps w:val="false"/>
              </w:rPr>
            </w:pPr>
            <w:r>
              <w:rPr>
                <w:caps w:val="false"/>
                <w:smallCaps w:val="false"/>
              </w:rPr>
              <w:t> </w:t>
            </w:r>
          </w:p>
        </w:tc>
      </w:tr>
      <w:tr>
        <w:trPr/>
        <w:tc>
          <w:tcPr>
            <w:tcW w:w="9565"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MEETINGS OF HOLDERS</w:t>
            </w:r>
          </w:p>
        </w:tc>
      </w:tr>
      <w:tr>
        <w:trPr/>
        <w:tc>
          <w:tcPr>
            <w:tcW w:w="9565" w:type="dxa"/>
            <w:gridSpan w:val="2"/>
            <w:tcBorders/>
            <w:vAlign w:val="center"/>
          </w:tcPr>
          <w:p>
            <w:pPr>
              <w:pStyle w:val="TableContents"/>
              <w:bidi w:val="0"/>
              <w:spacing w:before="0" w:after="283"/>
              <w:jc w:val="center"/>
              <w:rPr>
                <w:caps w:val="false"/>
                <w:smallCaps w:val="false"/>
              </w:rPr>
            </w:pPr>
            <w:r>
              <w:rPr>
                <w:caps w:val="false"/>
                <w:smallCaps w:val="false"/>
              </w:rPr>
              <w:t> </w:t>
            </w:r>
          </w:p>
        </w:tc>
      </w:tr>
      <w:tr>
        <w:trPr/>
        <w:tc>
          <w:tcPr>
            <w:tcW w:w="9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8.01.   </w:t>
            </w:r>
            <w:r>
              <w:rPr>
                <w:rFonts w:ascii="Times New Roman;Times;Serif" w:hAnsi="Times New Roman;Times;Serif"/>
                <w:b w:val="false"/>
                <w:i w:val="false"/>
                <w:caps w:val="false"/>
                <w:smallCaps w:val="false"/>
                <w:sz w:val="20"/>
                <w:u w:val="single"/>
              </w:rPr>
              <w:t>Purposes for Which Meeting May Be Called</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r>
      <w:tr>
        <w:trPr/>
        <w:tc>
          <w:tcPr>
            <w:tcW w:w="9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8.02.   </w:t>
            </w:r>
            <w:r>
              <w:rPr>
                <w:rFonts w:ascii="Times New Roman;Times;Serif" w:hAnsi="Times New Roman;Times;Serif"/>
                <w:b w:val="false"/>
                <w:i w:val="false"/>
                <w:caps w:val="false"/>
                <w:smallCaps w:val="false"/>
                <w:sz w:val="20"/>
                <w:u w:val="single"/>
              </w:rPr>
              <w:t>Manner of Calling Meetings; Record Date</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r>
      <w:tr>
        <w:trPr/>
        <w:tc>
          <w:tcPr>
            <w:tcW w:w="9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8.03.   </w:t>
            </w:r>
            <w:r>
              <w:rPr>
                <w:rFonts w:ascii="Times New Roman;Times;Serif" w:hAnsi="Times New Roman;Times;Serif"/>
                <w:b w:val="false"/>
                <w:i w:val="false"/>
                <w:caps w:val="false"/>
                <w:smallCaps w:val="false"/>
                <w:sz w:val="20"/>
                <w:u w:val="single"/>
              </w:rPr>
              <w:t>Call of Meeting by Company or Holders</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r>
    </w:tbl>
    <w:p>
      <w:pPr>
        <w:pStyle w:val="TextBody"/>
        <w:bidi w:val="0"/>
        <w:spacing w:before="0" w:after="283"/>
        <w:jc w:val="left"/>
        <w:rPr/>
      </w:pPr>
      <w:r>
        <w:rPr/>
        <w:t> </w:t>
      </w:r>
    </w:p>
    <w:p>
      <w:pPr>
        <w:pStyle w:val="TextBody"/>
        <w:bidi w:val="0"/>
        <w:spacing w:before="0" w:after="0"/>
        <w:jc w:val="center"/>
        <w:rPr>
          <w:sz w:val="20"/>
          <w:bdr w:val="single" w:sz="8" w:space="1" w:color="000000"/>
        </w:rPr>
      </w:pPr>
      <w:r>
        <w:rPr>
          <w:sz w:val="20"/>
          <w:bdr w:val="single" w:sz="8" w:space="1" w:color="000000"/>
        </w:rPr>
        <w:t>-ii-</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jc w:val="center"/>
        <w:rPr>
          <w:b/>
        </w:rPr>
      </w:pPr>
      <w:r>
        <w:rPr>
          <w:b/>
        </w:rPr>
        <w:t>TABLE OF CONTENTS</w:t>
      </w:r>
    </w:p>
    <w:p>
      <w:pPr>
        <w:pStyle w:val="TextBody"/>
        <w:bidi w:val="0"/>
        <w:jc w:val="center"/>
        <w:rPr/>
      </w:pPr>
      <w:r>
        <w:rPr/>
        <w:t> </w:t>
      </w:r>
    </w:p>
    <w:p>
      <w:pPr>
        <w:pStyle w:val="TextBody"/>
        <w:bidi w:val="0"/>
        <w:jc w:val="center"/>
        <w:rPr>
          <w:b/>
        </w:rPr>
      </w:pPr>
      <w:r>
        <w:rPr>
          <w:b/>
        </w:rPr>
        <w:t>(continued)</w:t>
      </w:r>
    </w:p>
    <w:p>
      <w:pPr>
        <w:pStyle w:val="TextBody"/>
        <w:bidi w:val="0"/>
        <w:spacing w:before="0" w:after="283"/>
        <w:jc w:val="left"/>
        <w:rPr/>
      </w:pPr>
      <w:r>
        <w:rPr/>
        <w:t> </w:t>
      </w:r>
    </w:p>
    <w:p>
      <w:pPr>
        <w:pStyle w:val="TextBody"/>
        <w:bidi w:val="0"/>
        <w:jc w:val="right"/>
        <w:rPr>
          <w:b/>
        </w:rPr>
      </w:pPr>
      <w:r>
        <w:rPr>
          <w:b/>
        </w:rPr>
        <w:t>Page</w:t>
      </w:r>
    </w:p>
    <w:p>
      <w:pPr>
        <w:pStyle w:val="TextBody"/>
        <w:bidi w:val="0"/>
        <w:spacing w:before="0" w:after="283"/>
        <w:jc w:val="left"/>
        <w:rPr/>
      </w:pPr>
      <w:r>
        <w:rPr/>
        <w:t> </w:t>
      </w:r>
    </w:p>
    <w:tbl>
      <w:tblPr>
        <w:tblW w:w="9670" w:type="dxa"/>
        <w:jc w:val="left"/>
        <w:tblInd w:w="0" w:type="dxa"/>
        <w:tblLayout w:type="fixed"/>
        <w:tblCellMar>
          <w:top w:w="0" w:type="dxa"/>
          <w:left w:w="0" w:type="dxa"/>
          <w:bottom w:w="0" w:type="dxa"/>
          <w:right w:w="0" w:type="dxa"/>
        </w:tblCellMar>
      </w:tblPr>
      <w:tblGrid>
        <w:gridCol w:w="9425"/>
        <w:gridCol w:w="245"/>
      </w:tblGrid>
      <w:tr>
        <w:trPr/>
        <w:tc>
          <w:tcPr>
            <w:tcW w:w="94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8.04.   </w:t>
            </w:r>
            <w:r>
              <w:rPr>
                <w:rFonts w:ascii="Times New Roman;Times;Serif" w:hAnsi="Times New Roman;Times;Serif"/>
                <w:b w:val="false"/>
                <w:i w:val="false"/>
                <w:caps w:val="false"/>
                <w:smallCaps w:val="false"/>
                <w:sz w:val="20"/>
                <w:u w:val="single"/>
              </w:rPr>
              <w:t>Who May Attend and Vote at Meeting</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r>
      <w:tr>
        <w:trPr/>
        <w:tc>
          <w:tcPr>
            <w:tcW w:w="94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8.05.   </w:t>
            </w:r>
            <w:r>
              <w:rPr>
                <w:rFonts w:ascii="Times New Roman;Times;Serif" w:hAnsi="Times New Roman;Times;Serif"/>
                <w:b w:val="false"/>
                <w:i w:val="false"/>
                <w:caps w:val="false"/>
                <w:smallCaps w:val="false"/>
                <w:sz w:val="20"/>
                <w:u w:val="single"/>
              </w:rPr>
              <w:t>Regulations</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r>
      <w:tr>
        <w:trPr/>
        <w:tc>
          <w:tcPr>
            <w:tcW w:w="94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8.06.   </w:t>
            </w:r>
            <w:r>
              <w:rPr>
                <w:rFonts w:ascii="Times New Roman;Times;Serif" w:hAnsi="Times New Roman;Times;Serif"/>
                <w:b w:val="false"/>
                <w:i w:val="false"/>
                <w:caps w:val="false"/>
                <w:smallCaps w:val="false"/>
                <w:sz w:val="20"/>
                <w:u w:val="single"/>
              </w:rPr>
              <w:t>Manner of Voting at Meetings and Record to be Kept</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r>
      <w:tr>
        <w:trPr/>
        <w:tc>
          <w:tcPr>
            <w:tcW w:w="94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8.07.   </w:t>
            </w:r>
            <w:r>
              <w:rPr>
                <w:rFonts w:ascii="Times New Roman;Times;Serif" w:hAnsi="Times New Roman;Times;Serif"/>
                <w:b w:val="false"/>
                <w:i w:val="false"/>
                <w:caps w:val="false"/>
                <w:smallCaps w:val="false"/>
                <w:sz w:val="20"/>
                <w:u w:val="single"/>
              </w:rPr>
              <w:t>Exercise of Rights of Trustee and Holders Not to be Hindered or Delayed</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r>
      <w:tr>
        <w:trPr/>
        <w:tc>
          <w:tcPr>
            <w:tcW w:w="942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9670"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ARTICLE 9 </w:t>
            </w:r>
          </w:p>
        </w:tc>
      </w:tr>
      <w:tr>
        <w:trPr/>
        <w:tc>
          <w:tcPr>
            <w:tcW w:w="9670" w:type="dxa"/>
            <w:gridSpan w:val="2"/>
            <w:tcBorders/>
            <w:vAlign w:val="center"/>
          </w:tcPr>
          <w:p>
            <w:pPr>
              <w:pStyle w:val="TableContents"/>
              <w:bidi w:val="0"/>
              <w:spacing w:before="0" w:after="283"/>
              <w:jc w:val="center"/>
              <w:rPr>
                <w:caps w:val="false"/>
                <w:smallCaps w:val="false"/>
              </w:rPr>
            </w:pPr>
            <w:r>
              <w:rPr>
                <w:caps w:val="false"/>
                <w:smallCaps w:val="false"/>
              </w:rPr>
              <w:t> </w:t>
            </w:r>
          </w:p>
        </w:tc>
      </w:tr>
      <w:tr>
        <w:trPr/>
        <w:tc>
          <w:tcPr>
            <w:tcW w:w="9670"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SUPPLEMENTAL INDENTURES</w:t>
            </w:r>
          </w:p>
        </w:tc>
      </w:tr>
      <w:tr>
        <w:trPr/>
        <w:tc>
          <w:tcPr>
            <w:tcW w:w="9670" w:type="dxa"/>
            <w:gridSpan w:val="2"/>
            <w:tcBorders/>
            <w:vAlign w:val="center"/>
          </w:tcPr>
          <w:p>
            <w:pPr>
              <w:pStyle w:val="TableContents"/>
              <w:bidi w:val="0"/>
              <w:spacing w:before="0" w:after="283"/>
              <w:jc w:val="center"/>
              <w:rPr>
                <w:caps w:val="false"/>
                <w:smallCaps w:val="false"/>
              </w:rPr>
            </w:pPr>
            <w:r>
              <w:rPr>
                <w:caps w:val="false"/>
                <w:smallCaps w:val="false"/>
              </w:rPr>
              <w:t> </w:t>
            </w:r>
          </w:p>
        </w:tc>
      </w:tr>
      <w:tr>
        <w:trPr/>
        <w:tc>
          <w:tcPr>
            <w:tcW w:w="94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9.01.   </w:t>
            </w:r>
            <w:r>
              <w:rPr>
                <w:rFonts w:ascii="Times New Roman;Times;Serif" w:hAnsi="Times New Roman;Times;Serif"/>
                <w:b w:val="false"/>
                <w:i w:val="false"/>
                <w:caps w:val="false"/>
                <w:smallCaps w:val="false"/>
                <w:sz w:val="20"/>
                <w:u w:val="single"/>
              </w:rPr>
              <w:t>Supplemental Indentures Without Consent of Holders</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r>
      <w:tr>
        <w:trPr/>
        <w:tc>
          <w:tcPr>
            <w:tcW w:w="94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9.02.   </w:t>
            </w:r>
            <w:r>
              <w:rPr>
                <w:rFonts w:ascii="Times New Roman;Times;Serif" w:hAnsi="Times New Roman;Times;Serif"/>
                <w:b w:val="false"/>
                <w:i w:val="false"/>
                <w:caps w:val="false"/>
                <w:smallCaps w:val="false"/>
                <w:sz w:val="20"/>
                <w:u w:val="single"/>
              </w:rPr>
              <w:t>With Consent of Holders</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r>
      <w:tr>
        <w:trPr/>
        <w:tc>
          <w:tcPr>
            <w:tcW w:w="94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9.03.   </w:t>
            </w:r>
            <w:r>
              <w:rPr>
                <w:rFonts w:ascii="Times New Roman;Times;Serif" w:hAnsi="Times New Roman;Times;Serif"/>
                <w:b w:val="false"/>
                <w:i w:val="false"/>
                <w:caps w:val="false"/>
                <w:smallCaps w:val="false"/>
                <w:sz w:val="20"/>
                <w:u w:val="single"/>
              </w:rPr>
              <w:t>Effect of Supplemental Indenture</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r>
      <w:tr>
        <w:trPr/>
        <w:tc>
          <w:tcPr>
            <w:tcW w:w="94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9.04.   </w:t>
            </w:r>
            <w:r>
              <w:rPr>
                <w:rFonts w:ascii="Times New Roman;Times;Serif" w:hAnsi="Times New Roman;Times;Serif"/>
                <w:b w:val="false"/>
                <w:i w:val="false"/>
                <w:caps w:val="false"/>
                <w:smallCaps w:val="false"/>
                <w:sz w:val="20"/>
                <w:u w:val="single"/>
              </w:rPr>
              <w:t>Documents to Be Given to Trustee; Compliance with TIA</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r>
      <w:tr>
        <w:trPr/>
        <w:tc>
          <w:tcPr>
            <w:tcW w:w="94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9.05.   </w:t>
            </w:r>
            <w:r>
              <w:rPr>
                <w:rFonts w:ascii="Times New Roman;Times;Serif" w:hAnsi="Times New Roman;Times;Serif"/>
                <w:b w:val="false"/>
                <w:i w:val="false"/>
                <w:caps w:val="false"/>
                <w:smallCaps w:val="false"/>
                <w:sz w:val="20"/>
                <w:u w:val="single"/>
              </w:rPr>
              <w:t>Notation on Securities in Respect of Supplemental Indentures</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r>
      <w:tr>
        <w:trPr/>
        <w:tc>
          <w:tcPr>
            <w:tcW w:w="942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9670"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ARTICLE 10 </w:t>
            </w:r>
          </w:p>
        </w:tc>
      </w:tr>
      <w:tr>
        <w:trPr/>
        <w:tc>
          <w:tcPr>
            <w:tcW w:w="9670" w:type="dxa"/>
            <w:gridSpan w:val="2"/>
            <w:tcBorders/>
            <w:vAlign w:val="center"/>
          </w:tcPr>
          <w:p>
            <w:pPr>
              <w:pStyle w:val="TableContents"/>
              <w:bidi w:val="0"/>
              <w:spacing w:before="0" w:after="283"/>
              <w:jc w:val="center"/>
              <w:rPr>
                <w:caps w:val="false"/>
                <w:smallCaps w:val="false"/>
              </w:rPr>
            </w:pPr>
            <w:r>
              <w:rPr>
                <w:caps w:val="false"/>
                <w:smallCaps w:val="false"/>
              </w:rPr>
              <w:t> </w:t>
            </w:r>
          </w:p>
        </w:tc>
      </w:tr>
      <w:tr>
        <w:trPr/>
        <w:tc>
          <w:tcPr>
            <w:tcW w:w="9670"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CONSOLIDATION, MERGER OR SALE OF ASSETS</w:t>
            </w:r>
          </w:p>
        </w:tc>
      </w:tr>
      <w:tr>
        <w:trPr/>
        <w:tc>
          <w:tcPr>
            <w:tcW w:w="9670" w:type="dxa"/>
            <w:gridSpan w:val="2"/>
            <w:tcBorders/>
            <w:vAlign w:val="center"/>
          </w:tcPr>
          <w:p>
            <w:pPr>
              <w:pStyle w:val="TableContents"/>
              <w:bidi w:val="0"/>
              <w:spacing w:before="0" w:after="283"/>
              <w:jc w:val="center"/>
              <w:rPr>
                <w:caps w:val="false"/>
                <w:smallCaps w:val="false"/>
              </w:rPr>
            </w:pPr>
            <w:r>
              <w:rPr>
                <w:caps w:val="false"/>
                <w:smallCaps w:val="false"/>
              </w:rPr>
              <w:t> </w:t>
            </w:r>
          </w:p>
        </w:tc>
      </w:tr>
      <w:tr>
        <w:trPr/>
        <w:tc>
          <w:tcPr>
            <w:tcW w:w="94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10.01.   </w:t>
            </w:r>
            <w:r>
              <w:rPr>
                <w:rFonts w:ascii="Times New Roman;Times;Serif" w:hAnsi="Times New Roman;Times;Serif"/>
                <w:b w:val="false"/>
                <w:i w:val="false"/>
                <w:caps w:val="false"/>
                <w:smallCaps w:val="false"/>
                <w:sz w:val="20"/>
                <w:u w:val="single"/>
              </w:rPr>
              <w:t>When the Company May Merge, Etc.</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r>
      <w:tr>
        <w:trPr/>
        <w:tc>
          <w:tcPr>
            <w:tcW w:w="94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10.02.   </w:t>
            </w:r>
            <w:r>
              <w:rPr>
                <w:rFonts w:ascii="Times New Roman;Times;Serif" w:hAnsi="Times New Roman;Times;Serif"/>
                <w:b w:val="false"/>
                <w:i w:val="false"/>
                <w:caps w:val="false"/>
                <w:smallCaps w:val="false"/>
                <w:sz w:val="20"/>
                <w:u w:val="single"/>
              </w:rPr>
              <w:t>Successor Person Substituted</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r>
      <w:tr>
        <w:trPr/>
        <w:tc>
          <w:tcPr>
            <w:tcW w:w="94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10.03.   </w:t>
            </w:r>
            <w:r>
              <w:rPr>
                <w:rFonts w:ascii="Times New Roman;Times;Serif" w:hAnsi="Times New Roman;Times;Serif"/>
                <w:b w:val="false"/>
                <w:i w:val="false"/>
                <w:caps w:val="false"/>
                <w:smallCaps w:val="false"/>
                <w:sz w:val="20"/>
                <w:u w:val="single"/>
              </w:rPr>
              <w:t>Opinion of Counsel to Trustee</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r>
      <w:tr>
        <w:trPr/>
        <w:tc>
          <w:tcPr>
            <w:tcW w:w="942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9670"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ARTICLE 11 </w:t>
            </w:r>
          </w:p>
        </w:tc>
      </w:tr>
      <w:tr>
        <w:trPr/>
        <w:tc>
          <w:tcPr>
            <w:tcW w:w="9670" w:type="dxa"/>
            <w:gridSpan w:val="2"/>
            <w:tcBorders/>
            <w:vAlign w:val="center"/>
          </w:tcPr>
          <w:p>
            <w:pPr>
              <w:pStyle w:val="TableContents"/>
              <w:bidi w:val="0"/>
              <w:spacing w:before="0" w:after="283"/>
              <w:jc w:val="center"/>
              <w:rPr>
                <w:caps w:val="false"/>
                <w:smallCaps w:val="false"/>
              </w:rPr>
            </w:pPr>
            <w:r>
              <w:rPr>
                <w:caps w:val="false"/>
                <w:smallCaps w:val="false"/>
              </w:rPr>
              <w:t> </w:t>
            </w:r>
          </w:p>
        </w:tc>
      </w:tr>
      <w:tr>
        <w:trPr/>
        <w:tc>
          <w:tcPr>
            <w:tcW w:w="9670"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REDEMPTION OF SECURITIES</w:t>
            </w:r>
          </w:p>
        </w:tc>
      </w:tr>
      <w:tr>
        <w:trPr/>
        <w:tc>
          <w:tcPr>
            <w:tcW w:w="9670" w:type="dxa"/>
            <w:gridSpan w:val="2"/>
            <w:tcBorders/>
            <w:vAlign w:val="center"/>
          </w:tcPr>
          <w:p>
            <w:pPr>
              <w:pStyle w:val="TableContents"/>
              <w:bidi w:val="0"/>
              <w:spacing w:before="0" w:after="283"/>
              <w:jc w:val="center"/>
              <w:rPr>
                <w:caps w:val="false"/>
                <w:smallCaps w:val="false"/>
              </w:rPr>
            </w:pPr>
            <w:r>
              <w:rPr>
                <w:caps w:val="false"/>
                <w:smallCaps w:val="false"/>
              </w:rPr>
              <w:t> </w:t>
            </w:r>
          </w:p>
        </w:tc>
      </w:tr>
      <w:tr>
        <w:trPr/>
        <w:tc>
          <w:tcPr>
            <w:tcW w:w="94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11.01.   </w:t>
            </w:r>
            <w:r>
              <w:rPr>
                <w:rFonts w:ascii="Times New Roman;Times;Serif" w:hAnsi="Times New Roman;Times;Serif"/>
                <w:b w:val="false"/>
                <w:i w:val="false"/>
                <w:caps w:val="false"/>
                <w:smallCaps w:val="false"/>
                <w:sz w:val="20"/>
                <w:u w:val="single"/>
              </w:rPr>
              <w:t>Applicability of Article</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r>
      <w:tr>
        <w:trPr/>
        <w:tc>
          <w:tcPr>
            <w:tcW w:w="94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11.02.   </w:t>
            </w:r>
            <w:r>
              <w:rPr>
                <w:rFonts w:ascii="Times New Roman;Times;Serif" w:hAnsi="Times New Roman;Times;Serif"/>
                <w:b w:val="false"/>
                <w:i w:val="false"/>
                <w:caps w:val="false"/>
                <w:smallCaps w:val="false"/>
                <w:sz w:val="20"/>
                <w:u w:val="single"/>
              </w:rPr>
              <w:t>Notice of Redemption; Partial Redemptions</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r>
      <w:tr>
        <w:trPr/>
        <w:tc>
          <w:tcPr>
            <w:tcW w:w="94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11.03.   </w:t>
            </w:r>
            <w:r>
              <w:rPr>
                <w:rFonts w:ascii="Times New Roman;Times;Serif" w:hAnsi="Times New Roman;Times;Serif"/>
                <w:b w:val="false"/>
                <w:i w:val="false"/>
                <w:caps w:val="false"/>
                <w:smallCaps w:val="false"/>
                <w:sz w:val="20"/>
                <w:u w:val="single"/>
              </w:rPr>
              <w:t>Payment of Securities Called for Redemption</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r>
      <w:tr>
        <w:trPr/>
        <w:tc>
          <w:tcPr>
            <w:tcW w:w="942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9670"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ARTICLE 12 </w:t>
            </w:r>
          </w:p>
        </w:tc>
      </w:tr>
      <w:tr>
        <w:trPr/>
        <w:tc>
          <w:tcPr>
            <w:tcW w:w="9670" w:type="dxa"/>
            <w:gridSpan w:val="2"/>
            <w:tcBorders/>
            <w:vAlign w:val="center"/>
          </w:tcPr>
          <w:p>
            <w:pPr>
              <w:pStyle w:val="TableContents"/>
              <w:bidi w:val="0"/>
              <w:spacing w:before="0" w:after="283"/>
              <w:jc w:val="center"/>
              <w:rPr>
                <w:caps w:val="false"/>
                <w:smallCaps w:val="false"/>
              </w:rPr>
            </w:pPr>
            <w:r>
              <w:rPr>
                <w:caps w:val="false"/>
                <w:smallCaps w:val="false"/>
              </w:rPr>
              <w:t> </w:t>
            </w:r>
          </w:p>
        </w:tc>
      </w:tr>
      <w:tr>
        <w:trPr/>
        <w:tc>
          <w:tcPr>
            <w:tcW w:w="9670"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DEFEASANCE AND COVENANT DEFEASANCE</w:t>
            </w:r>
          </w:p>
        </w:tc>
      </w:tr>
      <w:tr>
        <w:trPr/>
        <w:tc>
          <w:tcPr>
            <w:tcW w:w="9670" w:type="dxa"/>
            <w:gridSpan w:val="2"/>
            <w:tcBorders/>
            <w:vAlign w:val="center"/>
          </w:tcPr>
          <w:p>
            <w:pPr>
              <w:pStyle w:val="TableContents"/>
              <w:bidi w:val="0"/>
              <w:spacing w:before="0" w:after="283"/>
              <w:jc w:val="center"/>
              <w:rPr>
                <w:caps w:val="false"/>
                <w:smallCaps w:val="false"/>
              </w:rPr>
            </w:pPr>
            <w:r>
              <w:rPr>
                <w:caps w:val="false"/>
                <w:smallCaps w:val="false"/>
              </w:rPr>
              <w:t> </w:t>
            </w:r>
          </w:p>
        </w:tc>
      </w:tr>
      <w:tr>
        <w:trPr/>
        <w:tc>
          <w:tcPr>
            <w:tcW w:w="94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12.01.   </w:t>
            </w:r>
            <w:r>
              <w:rPr>
                <w:rFonts w:ascii="Times New Roman;Times;Serif" w:hAnsi="Times New Roman;Times;Serif"/>
                <w:b w:val="false"/>
                <w:i w:val="false"/>
                <w:caps w:val="false"/>
                <w:smallCaps w:val="false"/>
                <w:sz w:val="20"/>
                <w:u w:val="single"/>
              </w:rPr>
              <w:t>Applicability of the Article; Company’s Option to Effect Defeasance or Covenant Defeasance</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r>
      <w:tr>
        <w:trPr/>
        <w:tc>
          <w:tcPr>
            <w:tcW w:w="94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12.02.   </w:t>
            </w:r>
            <w:r>
              <w:rPr>
                <w:rFonts w:ascii="Times New Roman;Times;Serif" w:hAnsi="Times New Roman;Times;Serif"/>
                <w:b w:val="false"/>
                <w:i w:val="false"/>
                <w:caps w:val="false"/>
                <w:smallCaps w:val="false"/>
                <w:sz w:val="20"/>
                <w:u w:val="single"/>
              </w:rPr>
              <w:t>Legal Defeasance and Discharge</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r>
      <w:tr>
        <w:trPr/>
        <w:tc>
          <w:tcPr>
            <w:tcW w:w="94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12.03.   </w:t>
            </w:r>
            <w:r>
              <w:rPr>
                <w:rFonts w:ascii="Times New Roman;Times;Serif" w:hAnsi="Times New Roman;Times;Serif"/>
                <w:b w:val="false"/>
                <w:i w:val="false"/>
                <w:caps w:val="false"/>
                <w:smallCaps w:val="false"/>
                <w:sz w:val="20"/>
                <w:u w:val="single"/>
              </w:rPr>
              <w:t>Covenant Defeasance</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r>
      <w:tr>
        <w:trPr/>
        <w:tc>
          <w:tcPr>
            <w:tcW w:w="94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12.04.   </w:t>
            </w:r>
            <w:r>
              <w:rPr>
                <w:rFonts w:ascii="Times New Roman;Times;Serif" w:hAnsi="Times New Roman;Times;Serif"/>
                <w:b w:val="false"/>
                <w:i w:val="false"/>
                <w:caps w:val="false"/>
                <w:smallCaps w:val="false"/>
                <w:sz w:val="20"/>
                <w:u w:val="single"/>
              </w:rPr>
              <w:t>Conditions to Legal or Covenant Defeasance</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r>
      <w:tr>
        <w:trPr/>
        <w:tc>
          <w:tcPr>
            <w:tcW w:w="94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12.05.   </w:t>
            </w:r>
            <w:r>
              <w:rPr>
                <w:rFonts w:ascii="Times New Roman;Times;Serif" w:hAnsi="Times New Roman;Times;Serif"/>
                <w:b w:val="false"/>
                <w:i w:val="false"/>
                <w:caps w:val="false"/>
                <w:smallCaps w:val="false"/>
                <w:sz w:val="20"/>
                <w:u w:val="single"/>
              </w:rPr>
              <w:t>Deposited Money and Government Securities to be Held in Trust; Other Miscellaneous Provisions</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tc>
      </w:tr>
      <w:tr>
        <w:trPr/>
        <w:tc>
          <w:tcPr>
            <w:tcW w:w="94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12.06.   </w:t>
            </w:r>
            <w:r>
              <w:rPr>
                <w:rFonts w:ascii="Times New Roman;Times;Serif" w:hAnsi="Times New Roman;Times;Serif"/>
                <w:b w:val="false"/>
                <w:i w:val="false"/>
                <w:caps w:val="false"/>
                <w:smallCaps w:val="false"/>
                <w:sz w:val="20"/>
                <w:u w:val="single"/>
              </w:rPr>
              <w:t>Repayment to the Company or Guarantor</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tc>
      </w:tr>
      <w:tr>
        <w:trPr/>
        <w:tc>
          <w:tcPr>
            <w:tcW w:w="94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12.07.   </w:t>
            </w:r>
            <w:r>
              <w:rPr>
                <w:rFonts w:ascii="Times New Roman;Times;Serif" w:hAnsi="Times New Roman;Times;Serif"/>
                <w:b w:val="false"/>
                <w:i w:val="false"/>
                <w:caps w:val="false"/>
                <w:smallCaps w:val="false"/>
                <w:sz w:val="20"/>
                <w:u w:val="single"/>
              </w:rPr>
              <w:t>Reinstatement</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w:t>
            </w:r>
          </w:p>
        </w:tc>
      </w:tr>
      <w:tr>
        <w:trPr/>
        <w:tc>
          <w:tcPr>
            <w:tcW w:w="942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9670"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ARTICLE 13 </w:t>
            </w:r>
          </w:p>
        </w:tc>
      </w:tr>
      <w:tr>
        <w:trPr/>
        <w:tc>
          <w:tcPr>
            <w:tcW w:w="9670" w:type="dxa"/>
            <w:gridSpan w:val="2"/>
            <w:tcBorders/>
            <w:vAlign w:val="center"/>
          </w:tcPr>
          <w:p>
            <w:pPr>
              <w:pStyle w:val="TableContents"/>
              <w:bidi w:val="0"/>
              <w:spacing w:before="0" w:after="283"/>
              <w:jc w:val="center"/>
              <w:rPr>
                <w:caps w:val="false"/>
                <w:smallCaps w:val="false"/>
              </w:rPr>
            </w:pPr>
            <w:r>
              <w:rPr>
                <w:caps w:val="false"/>
                <w:smallCaps w:val="false"/>
              </w:rPr>
              <w:t> </w:t>
            </w:r>
          </w:p>
        </w:tc>
      </w:tr>
      <w:tr>
        <w:trPr/>
        <w:tc>
          <w:tcPr>
            <w:tcW w:w="9670"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SATISFACTION AND DISCHARGE</w:t>
            </w:r>
          </w:p>
        </w:tc>
      </w:tr>
      <w:tr>
        <w:trPr/>
        <w:tc>
          <w:tcPr>
            <w:tcW w:w="9670" w:type="dxa"/>
            <w:gridSpan w:val="2"/>
            <w:tcBorders/>
            <w:vAlign w:val="center"/>
          </w:tcPr>
          <w:p>
            <w:pPr>
              <w:pStyle w:val="TableContents"/>
              <w:bidi w:val="0"/>
              <w:spacing w:before="0" w:after="283"/>
              <w:jc w:val="center"/>
              <w:rPr>
                <w:caps w:val="false"/>
                <w:smallCaps w:val="false"/>
              </w:rPr>
            </w:pPr>
            <w:r>
              <w:rPr>
                <w:caps w:val="false"/>
                <w:smallCaps w:val="false"/>
              </w:rPr>
              <w:t> </w:t>
            </w:r>
          </w:p>
        </w:tc>
      </w:tr>
      <w:tr>
        <w:trPr/>
        <w:tc>
          <w:tcPr>
            <w:tcW w:w="94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13.01.   </w:t>
            </w:r>
            <w:r>
              <w:rPr>
                <w:rFonts w:ascii="Times New Roman;Times;Serif" w:hAnsi="Times New Roman;Times;Serif"/>
                <w:b w:val="false"/>
                <w:i w:val="false"/>
                <w:caps w:val="false"/>
                <w:smallCaps w:val="false"/>
                <w:sz w:val="20"/>
                <w:u w:val="single"/>
              </w:rPr>
              <w:t>Satisfaction and Discharge of Indenture</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w:t>
            </w:r>
          </w:p>
        </w:tc>
      </w:tr>
      <w:tr>
        <w:trPr/>
        <w:tc>
          <w:tcPr>
            <w:tcW w:w="94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13.02.   </w:t>
            </w:r>
            <w:r>
              <w:rPr>
                <w:rFonts w:ascii="Times New Roman;Times;Serif" w:hAnsi="Times New Roman;Times;Serif"/>
                <w:b w:val="false"/>
                <w:i w:val="false"/>
                <w:caps w:val="false"/>
                <w:smallCaps w:val="false"/>
                <w:sz w:val="20"/>
                <w:u w:val="single"/>
              </w:rPr>
              <w:t>Application of Trust Money</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w:t>
            </w:r>
          </w:p>
        </w:tc>
      </w:tr>
    </w:tbl>
    <w:p>
      <w:pPr>
        <w:pStyle w:val="TextBody"/>
        <w:bidi w:val="0"/>
        <w:spacing w:before="0" w:after="283"/>
        <w:jc w:val="left"/>
        <w:rPr/>
      </w:pPr>
      <w:r>
        <w:rPr/>
        <w:t> </w:t>
      </w:r>
    </w:p>
    <w:p>
      <w:pPr>
        <w:pStyle w:val="TextBody"/>
        <w:bidi w:val="0"/>
        <w:spacing w:before="0" w:after="0"/>
        <w:jc w:val="center"/>
        <w:rPr>
          <w:sz w:val="20"/>
          <w:bdr w:val="single" w:sz="8" w:space="1" w:color="000000"/>
        </w:rPr>
      </w:pPr>
      <w:r>
        <w:rPr>
          <w:sz w:val="20"/>
          <w:bdr w:val="single" w:sz="8" w:space="1" w:color="000000"/>
        </w:rPr>
        <w:t>-iii-</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jc w:val="center"/>
        <w:rPr>
          <w:b/>
        </w:rPr>
      </w:pPr>
      <w:r>
        <w:rPr>
          <w:b/>
        </w:rPr>
        <w:t>TABLE OF CONTENTS</w:t>
      </w:r>
    </w:p>
    <w:p>
      <w:pPr>
        <w:pStyle w:val="TextBody"/>
        <w:bidi w:val="0"/>
        <w:jc w:val="center"/>
        <w:rPr/>
      </w:pPr>
      <w:r>
        <w:rPr/>
        <w:t> </w:t>
      </w:r>
    </w:p>
    <w:p>
      <w:pPr>
        <w:pStyle w:val="TextBody"/>
        <w:bidi w:val="0"/>
        <w:jc w:val="center"/>
        <w:rPr>
          <w:b/>
        </w:rPr>
      </w:pPr>
      <w:r>
        <w:rPr>
          <w:b/>
        </w:rPr>
        <w:t>(continued)</w:t>
      </w:r>
    </w:p>
    <w:p>
      <w:pPr>
        <w:pStyle w:val="TextBody"/>
        <w:bidi w:val="0"/>
        <w:spacing w:before="0" w:after="283"/>
        <w:jc w:val="left"/>
        <w:rPr/>
      </w:pPr>
      <w:r>
        <w:rPr/>
        <w:t> </w:t>
      </w:r>
    </w:p>
    <w:p>
      <w:pPr>
        <w:pStyle w:val="TextBody"/>
        <w:bidi w:val="0"/>
        <w:jc w:val="right"/>
        <w:rPr>
          <w:b/>
        </w:rPr>
      </w:pPr>
      <w:r>
        <w:rPr>
          <w:b/>
        </w:rPr>
        <w:t>Page</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9960"/>
        <w:gridCol w:w="245"/>
      </w:tblGrid>
      <w:tr>
        <w:trPr/>
        <w:tc>
          <w:tcPr>
            <w:tcW w:w="10205"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ARTICLE 14 </w:t>
            </w:r>
          </w:p>
        </w:tc>
      </w:tr>
      <w:tr>
        <w:trPr/>
        <w:tc>
          <w:tcPr>
            <w:tcW w:w="10205" w:type="dxa"/>
            <w:gridSpan w:val="2"/>
            <w:tcBorders/>
            <w:vAlign w:val="center"/>
          </w:tcPr>
          <w:p>
            <w:pPr>
              <w:pStyle w:val="TableContents"/>
              <w:bidi w:val="0"/>
              <w:spacing w:before="0" w:after="283"/>
              <w:jc w:val="center"/>
              <w:rPr>
                <w:caps w:val="false"/>
                <w:smallCaps w:val="false"/>
              </w:rPr>
            </w:pPr>
            <w:r>
              <w:rPr>
                <w:caps w:val="false"/>
                <w:smallCaps w:val="false"/>
              </w:rPr>
              <w:t> </w:t>
            </w:r>
          </w:p>
        </w:tc>
      </w:tr>
      <w:tr>
        <w:trPr/>
        <w:tc>
          <w:tcPr>
            <w:tcW w:w="10205"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LISTS AND REPORTS BY TRUSTEE, COMPANY AND GUARANTORS</w:t>
            </w:r>
          </w:p>
        </w:tc>
      </w:tr>
      <w:tr>
        <w:trPr/>
        <w:tc>
          <w:tcPr>
            <w:tcW w:w="10205" w:type="dxa"/>
            <w:gridSpan w:val="2"/>
            <w:tcBorders/>
            <w:vAlign w:val="center"/>
          </w:tcPr>
          <w:p>
            <w:pPr>
              <w:pStyle w:val="TableContents"/>
              <w:bidi w:val="0"/>
              <w:spacing w:before="0" w:after="283"/>
              <w:jc w:val="center"/>
              <w:rPr>
                <w:caps w:val="false"/>
                <w:smallCaps w:val="false"/>
              </w:rPr>
            </w:pPr>
            <w:r>
              <w:rPr>
                <w:caps w:val="false"/>
                <w:smallCaps w:val="false"/>
              </w:rPr>
              <w:t> </w:t>
            </w:r>
          </w:p>
        </w:tc>
      </w:tr>
      <w:tr>
        <w:trPr/>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14.01.   </w:t>
            </w:r>
            <w:r>
              <w:rPr>
                <w:rFonts w:ascii="Times New Roman;Times;Serif" w:hAnsi="Times New Roman;Times;Serif"/>
                <w:b w:val="false"/>
                <w:i w:val="false"/>
                <w:caps w:val="false"/>
                <w:smallCaps w:val="false"/>
                <w:sz w:val="20"/>
                <w:u w:val="single"/>
              </w:rPr>
              <w:t>Company to Furnish Trustee Names and Addresses of Holders</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w:t>
            </w:r>
          </w:p>
        </w:tc>
      </w:tr>
      <w:tr>
        <w:trPr/>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14.02.   </w:t>
            </w:r>
            <w:r>
              <w:rPr>
                <w:rFonts w:ascii="Times New Roman;Times;Serif" w:hAnsi="Times New Roman;Times;Serif"/>
                <w:b w:val="false"/>
                <w:i w:val="false"/>
                <w:caps w:val="false"/>
                <w:smallCaps w:val="false"/>
                <w:sz w:val="20"/>
                <w:u w:val="single"/>
              </w:rPr>
              <w:t>Preservation of Information; Communications to Holders</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w:t>
            </w:r>
          </w:p>
        </w:tc>
      </w:tr>
      <w:tr>
        <w:trPr/>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14.03.   </w:t>
            </w:r>
            <w:r>
              <w:rPr>
                <w:rFonts w:ascii="Times New Roman;Times;Serif" w:hAnsi="Times New Roman;Times;Serif"/>
                <w:b w:val="false"/>
                <w:i w:val="false"/>
                <w:caps w:val="false"/>
                <w:smallCaps w:val="false"/>
                <w:sz w:val="20"/>
                <w:u w:val="single"/>
              </w:rPr>
              <w:t>Reports by the Trustee</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w:t>
            </w:r>
          </w:p>
        </w:tc>
      </w:tr>
      <w:tr>
        <w:trPr/>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14.04.   </w:t>
            </w:r>
            <w:r>
              <w:rPr>
                <w:rFonts w:ascii="Times New Roman;Times;Serif" w:hAnsi="Times New Roman;Times;Serif"/>
                <w:b w:val="false"/>
                <w:i w:val="false"/>
                <w:caps w:val="false"/>
                <w:smallCaps w:val="false"/>
                <w:sz w:val="20"/>
                <w:u w:val="single"/>
              </w:rPr>
              <w:t>Reports by the Company and Guarantors</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w:t>
            </w:r>
          </w:p>
        </w:tc>
      </w:tr>
      <w:tr>
        <w:trPr/>
        <w:tc>
          <w:tcPr>
            <w:tcW w:w="9960"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10205"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ARTICLE 15 </w:t>
            </w:r>
          </w:p>
        </w:tc>
      </w:tr>
      <w:tr>
        <w:trPr/>
        <w:tc>
          <w:tcPr>
            <w:tcW w:w="10205" w:type="dxa"/>
            <w:gridSpan w:val="2"/>
            <w:tcBorders/>
            <w:vAlign w:val="center"/>
          </w:tcPr>
          <w:p>
            <w:pPr>
              <w:pStyle w:val="TableContents"/>
              <w:bidi w:val="0"/>
              <w:spacing w:before="0" w:after="283"/>
              <w:jc w:val="center"/>
              <w:rPr>
                <w:caps w:val="false"/>
                <w:smallCaps w:val="false"/>
              </w:rPr>
            </w:pPr>
            <w:r>
              <w:rPr>
                <w:caps w:val="false"/>
                <w:smallCaps w:val="false"/>
              </w:rPr>
              <w:t> </w:t>
            </w:r>
          </w:p>
        </w:tc>
      </w:tr>
      <w:tr>
        <w:trPr/>
        <w:tc>
          <w:tcPr>
            <w:tcW w:w="10205"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MISCELLANEOUS PROVISIONS</w:t>
            </w:r>
          </w:p>
        </w:tc>
      </w:tr>
      <w:tr>
        <w:trPr/>
        <w:tc>
          <w:tcPr>
            <w:tcW w:w="10205" w:type="dxa"/>
            <w:gridSpan w:val="2"/>
            <w:tcBorders/>
            <w:vAlign w:val="center"/>
          </w:tcPr>
          <w:p>
            <w:pPr>
              <w:pStyle w:val="TableContents"/>
              <w:bidi w:val="0"/>
              <w:spacing w:before="0" w:after="283"/>
              <w:ind w:left="0" w:right="0" w:hanging="1440"/>
              <w:jc w:val="center"/>
              <w:rPr>
                <w:caps w:val="false"/>
                <w:smallCaps w:val="false"/>
              </w:rPr>
            </w:pPr>
            <w:r>
              <w:rPr>
                <w:caps w:val="false"/>
                <w:smallCaps w:val="false"/>
              </w:rPr>
              <w:t> </w:t>
            </w:r>
          </w:p>
        </w:tc>
      </w:tr>
      <w:tr>
        <w:trPr/>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15.01.   </w:t>
            </w:r>
            <w:r>
              <w:rPr>
                <w:rFonts w:ascii="Times New Roman;Times;Serif" w:hAnsi="Times New Roman;Times;Serif"/>
                <w:b w:val="false"/>
                <w:i w:val="false"/>
                <w:caps w:val="false"/>
                <w:smallCaps w:val="false"/>
                <w:sz w:val="20"/>
                <w:u w:val="single"/>
              </w:rPr>
              <w:t>Incorporators, Stockholders, Members, Partners, Officers, Managers and Directors of Company or any Guarantor Exempt from Individual Liability</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r>
      <w:tr>
        <w:trPr/>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15.02.   </w:t>
            </w:r>
            <w:r>
              <w:rPr>
                <w:rFonts w:ascii="Times New Roman;Times;Serif" w:hAnsi="Times New Roman;Times;Serif"/>
                <w:b w:val="false"/>
                <w:i w:val="false"/>
                <w:caps w:val="false"/>
                <w:smallCaps w:val="false"/>
                <w:sz w:val="20"/>
                <w:u w:val="single"/>
              </w:rPr>
              <w:t>Provisions of Indenture for the Sole Benefit of Parties and Holders</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r>
      <w:tr>
        <w:trPr/>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15.03.   </w:t>
            </w:r>
            <w:r>
              <w:rPr>
                <w:rFonts w:ascii="Times New Roman;Times;Serif" w:hAnsi="Times New Roman;Times;Serif"/>
                <w:b w:val="false"/>
                <w:i w:val="false"/>
                <w:caps w:val="false"/>
                <w:smallCaps w:val="false"/>
                <w:sz w:val="20"/>
                <w:u w:val="single"/>
              </w:rPr>
              <w:t>Successors and Assigns of Company or Guarantor Bound by Indenture</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r>
      <w:tr>
        <w:trPr/>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15.04.   </w:t>
            </w:r>
            <w:r>
              <w:rPr>
                <w:rFonts w:ascii="Times New Roman;Times;Serif" w:hAnsi="Times New Roman;Times;Serif"/>
                <w:b w:val="false"/>
                <w:i w:val="false"/>
                <w:caps w:val="false"/>
                <w:smallCaps w:val="false"/>
                <w:sz w:val="20"/>
                <w:u w:val="single"/>
              </w:rPr>
              <w:t>Notices, Etc., to Trustee, the Company and Guarantors</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r>
      <w:tr>
        <w:trPr/>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15.05.   </w:t>
            </w:r>
            <w:r>
              <w:rPr>
                <w:rFonts w:ascii="Times New Roman;Times;Serif" w:hAnsi="Times New Roman;Times;Serif"/>
                <w:b w:val="false"/>
                <w:i w:val="false"/>
                <w:caps w:val="false"/>
                <w:smallCaps w:val="false"/>
                <w:sz w:val="20"/>
                <w:u w:val="single"/>
              </w:rPr>
              <w:t>Notices to Holders</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r>
      <w:tr>
        <w:trPr/>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15.06.   </w:t>
            </w:r>
            <w:r>
              <w:rPr>
                <w:rFonts w:ascii="Times New Roman;Times;Serif" w:hAnsi="Times New Roman;Times;Serif"/>
                <w:b w:val="false"/>
                <w:i w:val="false"/>
                <w:caps w:val="false"/>
                <w:smallCaps w:val="false"/>
                <w:sz w:val="20"/>
                <w:u w:val="single"/>
              </w:rPr>
              <w:t>Officers’ Certificates and Opinions of Counsel; Statements to Be Contained Therein</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r>
      <w:tr>
        <w:trPr/>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15.07.   </w:t>
            </w:r>
            <w:r>
              <w:rPr>
                <w:rFonts w:ascii="Times New Roman;Times;Serif" w:hAnsi="Times New Roman;Times;Serif"/>
                <w:b w:val="false"/>
                <w:i w:val="false"/>
                <w:caps w:val="false"/>
                <w:smallCaps w:val="false"/>
                <w:sz w:val="20"/>
                <w:u w:val="single"/>
              </w:rPr>
              <w:t>Payments Due on Saturdays, Sundays and Holidays</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r>
      <w:tr>
        <w:trPr/>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15.08.   </w:t>
            </w:r>
            <w:r>
              <w:rPr>
                <w:rFonts w:ascii="Times New Roman;Times;Serif" w:hAnsi="Times New Roman;Times;Serif"/>
                <w:b w:val="false"/>
                <w:i w:val="false"/>
                <w:caps w:val="false"/>
                <w:smallCaps w:val="false"/>
                <w:sz w:val="20"/>
                <w:u w:val="single"/>
              </w:rPr>
              <w:t>Conflict of Any Provision of Indenture with Trust Indenture Act</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r>
      <w:tr>
        <w:trPr/>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15.09.   </w:t>
            </w:r>
            <w:r>
              <w:rPr>
                <w:rFonts w:ascii="Times New Roman;Times;Serif" w:hAnsi="Times New Roman;Times;Serif"/>
                <w:b w:val="false"/>
                <w:i w:val="false"/>
                <w:caps w:val="false"/>
                <w:smallCaps w:val="false"/>
                <w:sz w:val="20"/>
                <w:u w:val="single"/>
              </w:rPr>
              <w:t>Conflict of Any Provision of Securities with Indenture</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r>
      <w:tr>
        <w:trPr/>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15.10.   </w:t>
            </w:r>
            <w:r>
              <w:rPr>
                <w:rFonts w:ascii="Times New Roman;Times;Serif" w:hAnsi="Times New Roman;Times;Serif"/>
                <w:b w:val="false"/>
                <w:i w:val="false"/>
                <w:caps w:val="false"/>
                <w:smallCaps w:val="false"/>
                <w:sz w:val="20"/>
                <w:u w:val="single"/>
              </w:rPr>
              <w:t>New York Law to Govern</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r>
      <w:tr>
        <w:trPr/>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15.11.   </w:t>
            </w:r>
            <w:r>
              <w:rPr>
                <w:rFonts w:ascii="Times New Roman;Times;Serif" w:hAnsi="Times New Roman;Times;Serif"/>
                <w:b w:val="false"/>
                <w:i w:val="false"/>
                <w:caps w:val="false"/>
                <w:smallCaps w:val="false"/>
                <w:sz w:val="20"/>
                <w:u w:val="single"/>
              </w:rPr>
              <w:t>Waiver of Jury Trial</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r>
      <w:tr>
        <w:trPr/>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15.12.   </w:t>
            </w:r>
            <w:r>
              <w:rPr>
                <w:rFonts w:ascii="Times New Roman;Times;Serif" w:hAnsi="Times New Roman;Times;Serif"/>
                <w:b w:val="false"/>
                <w:i w:val="false"/>
                <w:caps w:val="false"/>
                <w:smallCaps w:val="false"/>
                <w:sz w:val="20"/>
                <w:u w:val="single"/>
              </w:rPr>
              <w:t>Consent to Jurisdiction and Service</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r>
      <w:tr>
        <w:trPr/>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15.13.   </w:t>
            </w:r>
            <w:r>
              <w:rPr>
                <w:rFonts w:ascii="Times New Roman;Times;Serif" w:hAnsi="Times New Roman;Times;Serif"/>
                <w:b w:val="false"/>
                <w:i w:val="false"/>
                <w:caps w:val="false"/>
                <w:smallCaps w:val="false"/>
                <w:sz w:val="20"/>
                <w:u w:val="single"/>
              </w:rPr>
              <w:t>Third Party Beneficiaries</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r>
      <w:tr>
        <w:trPr/>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15.14.   </w:t>
            </w:r>
            <w:r>
              <w:rPr>
                <w:rFonts w:ascii="Times New Roman;Times;Serif" w:hAnsi="Times New Roman;Times;Serif"/>
                <w:b w:val="false"/>
                <w:i w:val="false"/>
                <w:caps w:val="false"/>
                <w:smallCaps w:val="false"/>
                <w:sz w:val="20"/>
                <w:u w:val="single"/>
              </w:rPr>
              <w:t>Counterparts</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r>
      <w:tr>
        <w:trPr/>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15.15.   </w:t>
            </w:r>
            <w:r>
              <w:rPr>
                <w:rFonts w:ascii="Times New Roman;Times;Serif" w:hAnsi="Times New Roman;Times;Serif"/>
                <w:b w:val="false"/>
                <w:i w:val="false"/>
                <w:caps w:val="false"/>
                <w:smallCaps w:val="false"/>
                <w:sz w:val="20"/>
                <w:u w:val="single"/>
              </w:rPr>
              <w:t>Effect of Headings, Table of Contents</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r>
      <w:tr>
        <w:trPr/>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15.16.   </w:t>
            </w:r>
            <w:r>
              <w:rPr>
                <w:rFonts w:ascii="Times New Roman;Times;Serif" w:hAnsi="Times New Roman;Times;Serif"/>
                <w:b w:val="false"/>
                <w:i w:val="false"/>
                <w:caps w:val="false"/>
                <w:smallCaps w:val="false"/>
                <w:sz w:val="20"/>
                <w:u w:val="single"/>
              </w:rPr>
              <w:t>No Adverse Interpretation of Other Agreements</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r>
      <w:tr>
        <w:trPr/>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15.17.   </w:t>
            </w:r>
            <w:r>
              <w:rPr>
                <w:rFonts w:ascii="Times New Roman;Times;Serif" w:hAnsi="Times New Roman;Times;Serif"/>
                <w:b w:val="false"/>
                <w:i w:val="false"/>
                <w:caps w:val="false"/>
                <w:smallCaps w:val="false"/>
                <w:sz w:val="20"/>
                <w:u w:val="single"/>
              </w:rPr>
              <w:t>Severability</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r>
      <w:tr>
        <w:trPr/>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15.18.   </w:t>
            </w:r>
            <w:r>
              <w:rPr>
                <w:rFonts w:ascii="Times New Roman;Times;Serif" w:hAnsi="Times New Roman;Times;Serif"/>
                <w:b w:val="false"/>
                <w:i w:val="false"/>
                <w:caps w:val="false"/>
                <w:smallCaps w:val="false"/>
                <w:sz w:val="20"/>
                <w:u w:val="single"/>
              </w:rPr>
              <w:t>Patriot Act Compliance</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r>
      <w:tr>
        <w:trPr/>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15.19.   </w:t>
            </w:r>
            <w:r>
              <w:rPr>
                <w:rFonts w:ascii="Times New Roman;Times;Serif" w:hAnsi="Times New Roman;Times;Serif"/>
                <w:b w:val="false"/>
                <w:i w:val="false"/>
                <w:caps w:val="false"/>
                <w:smallCaps w:val="false"/>
                <w:sz w:val="20"/>
                <w:u w:val="single"/>
              </w:rPr>
              <w:t>Force Majeure</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-iv-</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REPLIMUNE GROUP, INC.</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Reconciliation and tie between Trust Indenture Act of 1939, as amended,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this Indenture</w:t>
      </w:r>
    </w:p>
    <w:p>
      <w:pPr>
        <w:pStyle w:val="TextBody"/>
        <w:bidi w:val="0"/>
        <w:spacing w:before="0" w:after="0"/>
        <w:ind w:left="0" w:right="0" w:hanging="0"/>
        <w:jc w:val="center"/>
        <w:rPr>
          <w:caps w:val="false"/>
          <w:smallCaps w:val="false"/>
        </w:rPr>
      </w:pPr>
      <w:r>
        <w:rPr>
          <w:caps w:val="false"/>
          <w:smallCaps w:val="false"/>
        </w:rPr>
        <w:t> </w:t>
      </w:r>
    </w:p>
    <w:tbl>
      <w:tblPr>
        <w:tblW w:w="3160" w:type="dxa"/>
        <w:jc w:val="left"/>
        <w:tblInd w:w="0" w:type="dxa"/>
        <w:tblLayout w:type="fixed"/>
        <w:tblCellMar>
          <w:top w:w="0" w:type="dxa"/>
          <w:left w:w="0" w:type="dxa"/>
          <w:bottom w:w="28" w:type="dxa"/>
          <w:right w:w="0" w:type="dxa"/>
        </w:tblCellMar>
      </w:tblPr>
      <w:tblGrid>
        <w:gridCol w:w="1610"/>
        <w:gridCol w:w="60"/>
        <w:gridCol w:w="1490"/>
      </w:tblGrid>
      <w:tr>
        <w:trPr/>
        <w:tc>
          <w:tcPr>
            <w:tcW w:w="1610"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Trust Indenture Act</w:t>
              <w:br/>
              <w:t>Section</w:t>
            </w:r>
          </w:p>
        </w:tc>
        <w:tc>
          <w:tcPr>
            <w:tcW w:w="60" w:type="dxa"/>
            <w:tcBorders/>
            <w:tcMar>
              <w:bottom w:w="0" w:type="dxa"/>
            </w:tcMar>
            <w:vAlign w:val="center"/>
          </w:tcPr>
          <w:p>
            <w:pPr>
              <w:pStyle w:val="TableContents"/>
              <w:bidi w:val="0"/>
              <w:spacing w:before="0" w:after="283"/>
              <w:jc w:val="left"/>
              <w:rPr/>
            </w:pPr>
            <w:r>
              <w:rPr/>
              <w:t> </w:t>
            </w:r>
          </w:p>
        </w:tc>
        <w:tc>
          <w:tcPr>
            <w:tcW w:w="1490"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Indenture</w:t>
              <w:br/>
              <w:t>Section</w:t>
            </w:r>
          </w:p>
        </w:tc>
      </w:tr>
      <w:tr>
        <w:trPr/>
        <w:tc>
          <w:tcPr>
            <w:tcW w:w="161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§310(a)(1)</w:t>
            </w:r>
          </w:p>
        </w:tc>
        <w:tc>
          <w:tcPr>
            <w:tcW w:w="60" w:type="dxa"/>
            <w:tcBorders/>
            <w:tcMar>
              <w:bottom w:w="0" w:type="dxa"/>
            </w:tcMar>
            <w:vAlign w:val="center"/>
          </w:tcPr>
          <w:p>
            <w:pPr>
              <w:pStyle w:val="TableContents"/>
              <w:bidi w:val="0"/>
              <w:spacing w:before="0" w:after="283"/>
              <w:jc w:val="left"/>
              <w:rPr/>
            </w:pPr>
            <w:r>
              <w:rPr/>
              <w:t> </w:t>
            </w:r>
          </w:p>
        </w:tc>
        <w:tc>
          <w:tcPr>
            <w:tcW w:w="149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6.09</w:t>
            </w:r>
          </w:p>
        </w:tc>
      </w:tr>
      <w:tr>
        <w:trPr/>
        <w:tc>
          <w:tcPr>
            <w:tcW w:w="161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(a)(2)</w:t>
            </w:r>
          </w:p>
        </w:tc>
        <w:tc>
          <w:tcPr>
            <w:tcW w:w="60" w:type="dxa"/>
            <w:tcBorders/>
            <w:tcMar>
              <w:bottom w:w="0" w:type="dxa"/>
            </w:tcMar>
            <w:vAlign w:val="center"/>
          </w:tcPr>
          <w:p>
            <w:pPr>
              <w:pStyle w:val="TableContents"/>
              <w:bidi w:val="0"/>
              <w:spacing w:before="0" w:after="283"/>
              <w:jc w:val="left"/>
              <w:rPr/>
            </w:pPr>
            <w:r>
              <w:rPr/>
              <w:t> </w:t>
            </w:r>
          </w:p>
        </w:tc>
        <w:tc>
          <w:tcPr>
            <w:tcW w:w="149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6.09</w:t>
            </w:r>
          </w:p>
        </w:tc>
      </w:tr>
      <w:tr>
        <w:trPr/>
        <w:tc>
          <w:tcPr>
            <w:tcW w:w="161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(a)(3)</w:t>
            </w:r>
          </w:p>
        </w:tc>
        <w:tc>
          <w:tcPr>
            <w:tcW w:w="60" w:type="dxa"/>
            <w:tcBorders/>
            <w:tcMar>
              <w:bottom w:w="0" w:type="dxa"/>
            </w:tcMar>
            <w:vAlign w:val="center"/>
          </w:tcPr>
          <w:p>
            <w:pPr>
              <w:pStyle w:val="TableContents"/>
              <w:bidi w:val="0"/>
              <w:spacing w:before="0" w:after="283"/>
              <w:jc w:val="left"/>
              <w:rPr/>
            </w:pPr>
            <w:r>
              <w:rPr/>
              <w:t> </w:t>
            </w:r>
          </w:p>
        </w:tc>
        <w:tc>
          <w:tcPr>
            <w:tcW w:w="149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tc>
      </w:tr>
      <w:tr>
        <w:trPr/>
        <w:tc>
          <w:tcPr>
            <w:tcW w:w="161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(a)(4)</w:t>
            </w:r>
          </w:p>
        </w:tc>
        <w:tc>
          <w:tcPr>
            <w:tcW w:w="60" w:type="dxa"/>
            <w:tcBorders/>
            <w:tcMar>
              <w:bottom w:w="0" w:type="dxa"/>
            </w:tcMar>
            <w:vAlign w:val="center"/>
          </w:tcPr>
          <w:p>
            <w:pPr>
              <w:pStyle w:val="TableContents"/>
              <w:bidi w:val="0"/>
              <w:spacing w:before="0" w:after="283"/>
              <w:jc w:val="left"/>
              <w:rPr/>
            </w:pPr>
            <w:r>
              <w:rPr/>
              <w:t> </w:t>
            </w:r>
          </w:p>
        </w:tc>
        <w:tc>
          <w:tcPr>
            <w:tcW w:w="149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tc>
      </w:tr>
      <w:tr>
        <w:trPr/>
        <w:tc>
          <w:tcPr>
            <w:tcW w:w="161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(a)(5)</w:t>
            </w:r>
          </w:p>
        </w:tc>
        <w:tc>
          <w:tcPr>
            <w:tcW w:w="60" w:type="dxa"/>
            <w:tcBorders/>
            <w:tcMar>
              <w:bottom w:w="0" w:type="dxa"/>
            </w:tcMar>
            <w:vAlign w:val="center"/>
          </w:tcPr>
          <w:p>
            <w:pPr>
              <w:pStyle w:val="TableContents"/>
              <w:bidi w:val="0"/>
              <w:spacing w:before="0" w:after="283"/>
              <w:jc w:val="left"/>
              <w:rPr/>
            </w:pPr>
            <w:r>
              <w:rPr/>
              <w:t> </w:t>
            </w:r>
          </w:p>
        </w:tc>
        <w:tc>
          <w:tcPr>
            <w:tcW w:w="149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6.09</w:t>
            </w:r>
          </w:p>
        </w:tc>
      </w:tr>
      <w:tr>
        <w:trPr/>
        <w:tc>
          <w:tcPr>
            <w:tcW w:w="161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60" w:type="dxa"/>
            <w:tcBorders/>
            <w:tcMar>
              <w:bottom w:w="0" w:type="dxa"/>
            </w:tcMar>
            <w:vAlign w:val="center"/>
          </w:tcPr>
          <w:p>
            <w:pPr>
              <w:pStyle w:val="TableContents"/>
              <w:bidi w:val="0"/>
              <w:spacing w:before="0" w:after="283"/>
              <w:jc w:val="left"/>
              <w:rPr/>
            </w:pPr>
            <w:r>
              <w:rPr/>
              <w:t> </w:t>
            </w:r>
          </w:p>
        </w:tc>
        <w:tc>
          <w:tcPr>
            <w:tcW w:w="149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6.04, 6.10</w:t>
            </w:r>
          </w:p>
        </w:tc>
      </w:tr>
      <w:tr>
        <w:trPr/>
        <w:tc>
          <w:tcPr>
            <w:tcW w:w="161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§311(a)</w:t>
            </w:r>
          </w:p>
        </w:tc>
        <w:tc>
          <w:tcPr>
            <w:tcW w:w="60" w:type="dxa"/>
            <w:tcBorders/>
            <w:tcMar>
              <w:bottom w:w="0" w:type="dxa"/>
            </w:tcMar>
            <w:vAlign w:val="center"/>
          </w:tcPr>
          <w:p>
            <w:pPr>
              <w:pStyle w:val="TableContents"/>
              <w:bidi w:val="0"/>
              <w:spacing w:before="0" w:after="283"/>
              <w:jc w:val="left"/>
              <w:rPr/>
            </w:pPr>
            <w:r>
              <w:rPr/>
              <w:t> </w:t>
            </w:r>
          </w:p>
        </w:tc>
        <w:tc>
          <w:tcPr>
            <w:tcW w:w="149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6.13</w:t>
            </w:r>
          </w:p>
        </w:tc>
      </w:tr>
      <w:tr>
        <w:trPr/>
        <w:tc>
          <w:tcPr>
            <w:tcW w:w="161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60" w:type="dxa"/>
            <w:tcBorders/>
            <w:tcMar>
              <w:bottom w:w="0" w:type="dxa"/>
            </w:tcMar>
            <w:vAlign w:val="center"/>
          </w:tcPr>
          <w:p>
            <w:pPr>
              <w:pStyle w:val="TableContents"/>
              <w:bidi w:val="0"/>
              <w:spacing w:before="0" w:after="283"/>
              <w:jc w:val="left"/>
              <w:rPr/>
            </w:pPr>
            <w:r>
              <w:rPr/>
              <w:t> </w:t>
            </w:r>
          </w:p>
        </w:tc>
        <w:tc>
          <w:tcPr>
            <w:tcW w:w="149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6.13</w:t>
            </w:r>
          </w:p>
        </w:tc>
      </w:tr>
      <w:tr>
        <w:trPr/>
        <w:tc>
          <w:tcPr>
            <w:tcW w:w="161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§312(a)</w:t>
            </w:r>
          </w:p>
        </w:tc>
        <w:tc>
          <w:tcPr>
            <w:tcW w:w="60" w:type="dxa"/>
            <w:tcBorders/>
            <w:tcMar>
              <w:bottom w:w="0" w:type="dxa"/>
            </w:tcMar>
            <w:vAlign w:val="center"/>
          </w:tcPr>
          <w:p>
            <w:pPr>
              <w:pStyle w:val="TableContents"/>
              <w:bidi w:val="0"/>
              <w:spacing w:before="0" w:after="283"/>
              <w:jc w:val="left"/>
              <w:rPr/>
            </w:pPr>
            <w:r>
              <w:rPr/>
              <w:t> </w:t>
            </w:r>
          </w:p>
        </w:tc>
        <w:tc>
          <w:tcPr>
            <w:tcW w:w="149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14.01, 14.02(a)</w:t>
            </w:r>
          </w:p>
        </w:tc>
      </w:tr>
      <w:tr>
        <w:trPr/>
        <w:tc>
          <w:tcPr>
            <w:tcW w:w="161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60" w:type="dxa"/>
            <w:tcBorders/>
            <w:tcMar>
              <w:bottom w:w="0" w:type="dxa"/>
            </w:tcMar>
            <w:vAlign w:val="center"/>
          </w:tcPr>
          <w:p>
            <w:pPr>
              <w:pStyle w:val="TableContents"/>
              <w:bidi w:val="0"/>
              <w:spacing w:before="0" w:after="283"/>
              <w:jc w:val="left"/>
              <w:rPr/>
            </w:pPr>
            <w:r>
              <w:rPr/>
              <w:t> </w:t>
            </w:r>
          </w:p>
        </w:tc>
        <w:tc>
          <w:tcPr>
            <w:tcW w:w="149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14.02(b)</w:t>
            </w:r>
          </w:p>
        </w:tc>
      </w:tr>
      <w:tr>
        <w:trPr/>
        <w:tc>
          <w:tcPr>
            <w:tcW w:w="161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60" w:type="dxa"/>
            <w:tcBorders/>
            <w:tcMar>
              <w:bottom w:w="0" w:type="dxa"/>
            </w:tcMar>
            <w:vAlign w:val="center"/>
          </w:tcPr>
          <w:p>
            <w:pPr>
              <w:pStyle w:val="TableContents"/>
              <w:bidi w:val="0"/>
              <w:spacing w:before="0" w:after="283"/>
              <w:jc w:val="left"/>
              <w:rPr/>
            </w:pPr>
            <w:r>
              <w:rPr/>
              <w:t> </w:t>
            </w:r>
          </w:p>
        </w:tc>
        <w:tc>
          <w:tcPr>
            <w:tcW w:w="149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14.02(c)</w:t>
            </w:r>
          </w:p>
        </w:tc>
      </w:tr>
      <w:tr>
        <w:trPr/>
        <w:tc>
          <w:tcPr>
            <w:tcW w:w="161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§313(a)</w:t>
            </w:r>
          </w:p>
        </w:tc>
        <w:tc>
          <w:tcPr>
            <w:tcW w:w="60" w:type="dxa"/>
            <w:tcBorders/>
            <w:tcMar>
              <w:bottom w:w="0" w:type="dxa"/>
            </w:tcMar>
            <w:vAlign w:val="center"/>
          </w:tcPr>
          <w:p>
            <w:pPr>
              <w:pStyle w:val="TableContents"/>
              <w:bidi w:val="0"/>
              <w:spacing w:before="0" w:after="283"/>
              <w:jc w:val="left"/>
              <w:rPr/>
            </w:pPr>
            <w:r>
              <w:rPr/>
              <w:t> </w:t>
            </w:r>
          </w:p>
        </w:tc>
        <w:tc>
          <w:tcPr>
            <w:tcW w:w="149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14.03(a)</w:t>
            </w:r>
          </w:p>
        </w:tc>
      </w:tr>
      <w:tr>
        <w:trPr/>
        <w:tc>
          <w:tcPr>
            <w:tcW w:w="161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60" w:type="dxa"/>
            <w:tcBorders/>
            <w:tcMar>
              <w:bottom w:w="0" w:type="dxa"/>
            </w:tcMar>
            <w:vAlign w:val="center"/>
          </w:tcPr>
          <w:p>
            <w:pPr>
              <w:pStyle w:val="TableContents"/>
              <w:bidi w:val="0"/>
              <w:spacing w:before="0" w:after="283"/>
              <w:jc w:val="left"/>
              <w:rPr/>
            </w:pPr>
            <w:r>
              <w:rPr/>
              <w:t> </w:t>
            </w:r>
          </w:p>
        </w:tc>
        <w:tc>
          <w:tcPr>
            <w:tcW w:w="149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14.03(a)</w:t>
            </w:r>
          </w:p>
        </w:tc>
      </w:tr>
      <w:tr>
        <w:trPr/>
        <w:tc>
          <w:tcPr>
            <w:tcW w:w="161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60" w:type="dxa"/>
            <w:tcBorders/>
            <w:tcMar>
              <w:bottom w:w="0" w:type="dxa"/>
            </w:tcMar>
            <w:vAlign w:val="center"/>
          </w:tcPr>
          <w:p>
            <w:pPr>
              <w:pStyle w:val="TableContents"/>
              <w:bidi w:val="0"/>
              <w:spacing w:before="0" w:after="283"/>
              <w:jc w:val="left"/>
              <w:rPr/>
            </w:pPr>
            <w:r>
              <w:rPr/>
              <w:t> </w:t>
            </w:r>
          </w:p>
        </w:tc>
        <w:tc>
          <w:tcPr>
            <w:tcW w:w="149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14.03(a), 14.03(b)</w:t>
            </w:r>
          </w:p>
        </w:tc>
      </w:tr>
      <w:tr>
        <w:trPr/>
        <w:tc>
          <w:tcPr>
            <w:tcW w:w="161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60" w:type="dxa"/>
            <w:tcBorders/>
            <w:tcMar>
              <w:bottom w:w="0" w:type="dxa"/>
            </w:tcMar>
            <w:vAlign w:val="center"/>
          </w:tcPr>
          <w:p>
            <w:pPr>
              <w:pStyle w:val="TableContents"/>
              <w:bidi w:val="0"/>
              <w:spacing w:before="0" w:after="283"/>
              <w:jc w:val="left"/>
              <w:rPr/>
            </w:pPr>
            <w:r>
              <w:rPr/>
              <w:t> </w:t>
            </w:r>
          </w:p>
        </w:tc>
        <w:tc>
          <w:tcPr>
            <w:tcW w:w="149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14.03(b)</w:t>
            </w:r>
          </w:p>
        </w:tc>
      </w:tr>
      <w:tr>
        <w:trPr/>
        <w:tc>
          <w:tcPr>
            <w:tcW w:w="161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§314(a)</w:t>
            </w:r>
          </w:p>
        </w:tc>
        <w:tc>
          <w:tcPr>
            <w:tcW w:w="60" w:type="dxa"/>
            <w:tcBorders/>
            <w:tcMar>
              <w:bottom w:w="0" w:type="dxa"/>
            </w:tcMar>
            <w:vAlign w:val="center"/>
          </w:tcPr>
          <w:p>
            <w:pPr>
              <w:pStyle w:val="TableContents"/>
              <w:bidi w:val="0"/>
              <w:spacing w:before="0" w:after="283"/>
              <w:jc w:val="left"/>
              <w:rPr/>
            </w:pPr>
            <w:r>
              <w:rPr/>
              <w:t> </w:t>
            </w:r>
          </w:p>
        </w:tc>
        <w:tc>
          <w:tcPr>
            <w:tcW w:w="149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4.05, 14.04</w:t>
            </w:r>
          </w:p>
        </w:tc>
      </w:tr>
      <w:tr>
        <w:trPr/>
        <w:tc>
          <w:tcPr>
            <w:tcW w:w="161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60" w:type="dxa"/>
            <w:tcBorders/>
            <w:tcMar>
              <w:bottom w:w="0" w:type="dxa"/>
            </w:tcMar>
            <w:vAlign w:val="center"/>
          </w:tcPr>
          <w:p>
            <w:pPr>
              <w:pStyle w:val="TableContents"/>
              <w:bidi w:val="0"/>
              <w:spacing w:before="0" w:after="283"/>
              <w:jc w:val="left"/>
              <w:rPr/>
            </w:pPr>
            <w:r>
              <w:rPr/>
              <w:t> </w:t>
            </w:r>
          </w:p>
        </w:tc>
        <w:tc>
          <w:tcPr>
            <w:tcW w:w="149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tc>
      </w:tr>
      <w:tr>
        <w:trPr/>
        <w:tc>
          <w:tcPr>
            <w:tcW w:w="161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(c)(1)</w:t>
            </w:r>
          </w:p>
        </w:tc>
        <w:tc>
          <w:tcPr>
            <w:tcW w:w="60" w:type="dxa"/>
            <w:tcBorders/>
            <w:tcMar>
              <w:bottom w:w="0" w:type="dxa"/>
            </w:tcMar>
            <w:vAlign w:val="center"/>
          </w:tcPr>
          <w:p>
            <w:pPr>
              <w:pStyle w:val="TableContents"/>
              <w:bidi w:val="0"/>
              <w:spacing w:before="0" w:after="283"/>
              <w:jc w:val="left"/>
              <w:rPr/>
            </w:pPr>
            <w:r>
              <w:rPr/>
              <w:t> </w:t>
            </w:r>
          </w:p>
        </w:tc>
        <w:tc>
          <w:tcPr>
            <w:tcW w:w="149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15.06</w:t>
            </w:r>
          </w:p>
        </w:tc>
      </w:tr>
      <w:tr>
        <w:trPr/>
        <w:tc>
          <w:tcPr>
            <w:tcW w:w="161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(c)(2)</w:t>
            </w:r>
          </w:p>
        </w:tc>
        <w:tc>
          <w:tcPr>
            <w:tcW w:w="60" w:type="dxa"/>
            <w:tcBorders/>
            <w:tcMar>
              <w:bottom w:w="0" w:type="dxa"/>
            </w:tcMar>
            <w:vAlign w:val="center"/>
          </w:tcPr>
          <w:p>
            <w:pPr>
              <w:pStyle w:val="TableContents"/>
              <w:bidi w:val="0"/>
              <w:spacing w:before="0" w:after="283"/>
              <w:jc w:val="left"/>
              <w:rPr/>
            </w:pPr>
            <w:r>
              <w:rPr/>
              <w:t> </w:t>
            </w:r>
          </w:p>
        </w:tc>
        <w:tc>
          <w:tcPr>
            <w:tcW w:w="149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15.06</w:t>
            </w:r>
          </w:p>
        </w:tc>
      </w:tr>
      <w:tr>
        <w:trPr/>
        <w:tc>
          <w:tcPr>
            <w:tcW w:w="161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(c)(3)</w:t>
            </w:r>
          </w:p>
        </w:tc>
        <w:tc>
          <w:tcPr>
            <w:tcW w:w="60" w:type="dxa"/>
            <w:tcBorders/>
            <w:tcMar>
              <w:bottom w:w="0" w:type="dxa"/>
            </w:tcMar>
            <w:vAlign w:val="center"/>
          </w:tcPr>
          <w:p>
            <w:pPr>
              <w:pStyle w:val="TableContents"/>
              <w:bidi w:val="0"/>
              <w:spacing w:before="0" w:after="283"/>
              <w:jc w:val="left"/>
              <w:rPr/>
            </w:pPr>
            <w:r>
              <w:rPr/>
              <w:t> </w:t>
            </w:r>
          </w:p>
        </w:tc>
        <w:tc>
          <w:tcPr>
            <w:tcW w:w="149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tc>
      </w:tr>
      <w:tr>
        <w:trPr/>
        <w:tc>
          <w:tcPr>
            <w:tcW w:w="161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60" w:type="dxa"/>
            <w:tcBorders/>
            <w:tcMar>
              <w:bottom w:w="0" w:type="dxa"/>
            </w:tcMar>
            <w:vAlign w:val="center"/>
          </w:tcPr>
          <w:p>
            <w:pPr>
              <w:pStyle w:val="TableContents"/>
              <w:bidi w:val="0"/>
              <w:spacing w:before="0" w:after="283"/>
              <w:jc w:val="left"/>
              <w:rPr/>
            </w:pPr>
            <w:r>
              <w:rPr/>
              <w:t> </w:t>
            </w:r>
          </w:p>
        </w:tc>
        <w:tc>
          <w:tcPr>
            <w:tcW w:w="149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tc>
      </w:tr>
      <w:tr>
        <w:trPr/>
        <w:tc>
          <w:tcPr>
            <w:tcW w:w="161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60" w:type="dxa"/>
            <w:tcBorders/>
            <w:tcMar>
              <w:bottom w:w="0" w:type="dxa"/>
            </w:tcMar>
            <w:vAlign w:val="center"/>
          </w:tcPr>
          <w:p>
            <w:pPr>
              <w:pStyle w:val="TableContents"/>
              <w:bidi w:val="0"/>
              <w:spacing w:before="0" w:after="283"/>
              <w:jc w:val="left"/>
              <w:rPr/>
            </w:pPr>
            <w:r>
              <w:rPr/>
              <w:t> </w:t>
            </w:r>
          </w:p>
        </w:tc>
        <w:tc>
          <w:tcPr>
            <w:tcW w:w="149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15.06</w:t>
            </w:r>
          </w:p>
        </w:tc>
      </w:tr>
      <w:tr>
        <w:trPr/>
        <w:tc>
          <w:tcPr>
            <w:tcW w:w="161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§315(a)</w:t>
            </w:r>
          </w:p>
        </w:tc>
        <w:tc>
          <w:tcPr>
            <w:tcW w:w="60" w:type="dxa"/>
            <w:tcBorders/>
            <w:tcMar>
              <w:bottom w:w="0" w:type="dxa"/>
            </w:tcMar>
            <w:vAlign w:val="center"/>
          </w:tcPr>
          <w:p>
            <w:pPr>
              <w:pStyle w:val="TableContents"/>
              <w:bidi w:val="0"/>
              <w:spacing w:before="0" w:after="283"/>
              <w:jc w:val="left"/>
              <w:rPr/>
            </w:pPr>
            <w:r>
              <w:rPr/>
              <w:t> </w:t>
            </w:r>
          </w:p>
        </w:tc>
        <w:tc>
          <w:tcPr>
            <w:tcW w:w="149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6.01</w:t>
            </w:r>
          </w:p>
        </w:tc>
      </w:tr>
      <w:tr>
        <w:trPr/>
        <w:tc>
          <w:tcPr>
            <w:tcW w:w="161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60" w:type="dxa"/>
            <w:tcBorders/>
            <w:tcMar>
              <w:bottom w:w="0" w:type="dxa"/>
            </w:tcMar>
            <w:vAlign w:val="center"/>
          </w:tcPr>
          <w:p>
            <w:pPr>
              <w:pStyle w:val="TableContents"/>
              <w:bidi w:val="0"/>
              <w:spacing w:before="0" w:after="283"/>
              <w:jc w:val="left"/>
              <w:rPr/>
            </w:pPr>
            <w:r>
              <w:rPr/>
              <w:t> </w:t>
            </w:r>
          </w:p>
        </w:tc>
        <w:tc>
          <w:tcPr>
            <w:tcW w:w="149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6.06, 14.03(a)</w:t>
            </w:r>
          </w:p>
        </w:tc>
      </w:tr>
      <w:tr>
        <w:trPr/>
        <w:tc>
          <w:tcPr>
            <w:tcW w:w="161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60" w:type="dxa"/>
            <w:tcBorders/>
            <w:tcMar>
              <w:bottom w:w="0" w:type="dxa"/>
            </w:tcMar>
            <w:vAlign w:val="center"/>
          </w:tcPr>
          <w:p>
            <w:pPr>
              <w:pStyle w:val="TableContents"/>
              <w:bidi w:val="0"/>
              <w:spacing w:before="0" w:after="283"/>
              <w:jc w:val="left"/>
              <w:rPr/>
            </w:pPr>
            <w:r>
              <w:rPr/>
              <w:t> </w:t>
            </w:r>
          </w:p>
        </w:tc>
        <w:tc>
          <w:tcPr>
            <w:tcW w:w="149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6.01</w:t>
            </w:r>
          </w:p>
        </w:tc>
      </w:tr>
      <w:tr>
        <w:trPr/>
        <w:tc>
          <w:tcPr>
            <w:tcW w:w="161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60" w:type="dxa"/>
            <w:tcBorders/>
            <w:tcMar>
              <w:bottom w:w="0" w:type="dxa"/>
            </w:tcMar>
            <w:vAlign w:val="center"/>
          </w:tcPr>
          <w:p>
            <w:pPr>
              <w:pStyle w:val="TableContents"/>
              <w:bidi w:val="0"/>
              <w:spacing w:before="0" w:after="283"/>
              <w:jc w:val="left"/>
              <w:rPr/>
            </w:pPr>
            <w:r>
              <w:rPr/>
              <w:t> </w:t>
            </w:r>
          </w:p>
        </w:tc>
        <w:tc>
          <w:tcPr>
            <w:tcW w:w="149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6.01</w:t>
            </w:r>
          </w:p>
        </w:tc>
      </w:tr>
      <w:tr>
        <w:trPr/>
        <w:tc>
          <w:tcPr>
            <w:tcW w:w="161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60" w:type="dxa"/>
            <w:tcBorders/>
            <w:tcMar>
              <w:bottom w:w="0" w:type="dxa"/>
            </w:tcMar>
            <w:vAlign w:val="center"/>
          </w:tcPr>
          <w:p>
            <w:pPr>
              <w:pStyle w:val="TableContents"/>
              <w:bidi w:val="0"/>
              <w:spacing w:before="0" w:after="283"/>
              <w:jc w:val="left"/>
              <w:rPr/>
            </w:pPr>
            <w:r>
              <w:rPr/>
              <w:t> </w:t>
            </w:r>
          </w:p>
        </w:tc>
        <w:tc>
          <w:tcPr>
            <w:tcW w:w="149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5.11</w:t>
            </w:r>
          </w:p>
        </w:tc>
      </w:tr>
      <w:tr>
        <w:trPr/>
        <w:tc>
          <w:tcPr>
            <w:tcW w:w="161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§316(a)(1)(A)</w:t>
            </w:r>
          </w:p>
        </w:tc>
        <w:tc>
          <w:tcPr>
            <w:tcW w:w="60" w:type="dxa"/>
            <w:tcBorders/>
            <w:tcMar>
              <w:bottom w:w="0" w:type="dxa"/>
            </w:tcMar>
            <w:vAlign w:val="center"/>
          </w:tcPr>
          <w:p>
            <w:pPr>
              <w:pStyle w:val="TableContents"/>
              <w:bidi w:val="0"/>
              <w:spacing w:before="0" w:after="283"/>
              <w:jc w:val="left"/>
              <w:rPr/>
            </w:pPr>
            <w:r>
              <w:rPr/>
              <w:t> </w:t>
            </w:r>
          </w:p>
        </w:tc>
        <w:tc>
          <w:tcPr>
            <w:tcW w:w="149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5.05</w:t>
            </w:r>
          </w:p>
        </w:tc>
      </w:tr>
      <w:tr>
        <w:trPr/>
        <w:tc>
          <w:tcPr>
            <w:tcW w:w="161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(a)(1)(B)</w:t>
            </w:r>
          </w:p>
        </w:tc>
        <w:tc>
          <w:tcPr>
            <w:tcW w:w="60" w:type="dxa"/>
            <w:tcBorders/>
            <w:tcMar>
              <w:bottom w:w="0" w:type="dxa"/>
            </w:tcMar>
            <w:vAlign w:val="center"/>
          </w:tcPr>
          <w:p>
            <w:pPr>
              <w:pStyle w:val="TableContents"/>
              <w:bidi w:val="0"/>
              <w:spacing w:before="0" w:after="283"/>
              <w:jc w:val="left"/>
              <w:rPr/>
            </w:pPr>
            <w:r>
              <w:rPr/>
              <w:t> </w:t>
            </w:r>
          </w:p>
        </w:tc>
        <w:tc>
          <w:tcPr>
            <w:tcW w:w="149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5.02, 5.04</w:t>
            </w:r>
          </w:p>
        </w:tc>
      </w:tr>
      <w:tr>
        <w:trPr/>
        <w:tc>
          <w:tcPr>
            <w:tcW w:w="161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(a)(2)</w:t>
            </w:r>
          </w:p>
        </w:tc>
        <w:tc>
          <w:tcPr>
            <w:tcW w:w="60" w:type="dxa"/>
            <w:tcBorders/>
            <w:tcMar>
              <w:bottom w:w="0" w:type="dxa"/>
            </w:tcMar>
            <w:vAlign w:val="center"/>
          </w:tcPr>
          <w:p>
            <w:pPr>
              <w:pStyle w:val="TableContents"/>
              <w:bidi w:val="0"/>
              <w:spacing w:before="0" w:after="283"/>
              <w:jc w:val="left"/>
              <w:rPr/>
            </w:pPr>
            <w:r>
              <w:rPr/>
              <w:t> </w:t>
            </w:r>
          </w:p>
        </w:tc>
        <w:tc>
          <w:tcPr>
            <w:tcW w:w="149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tc>
      </w:tr>
      <w:tr>
        <w:trPr/>
        <w:tc>
          <w:tcPr>
            <w:tcW w:w="161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60" w:type="dxa"/>
            <w:tcBorders/>
            <w:tcMar>
              <w:bottom w:w="0" w:type="dxa"/>
            </w:tcMar>
            <w:vAlign w:val="center"/>
          </w:tcPr>
          <w:p>
            <w:pPr>
              <w:pStyle w:val="TableContents"/>
              <w:bidi w:val="0"/>
              <w:spacing w:before="0" w:after="283"/>
              <w:jc w:val="left"/>
              <w:rPr/>
            </w:pPr>
            <w:r>
              <w:rPr/>
              <w:t> </w:t>
            </w:r>
          </w:p>
        </w:tc>
        <w:tc>
          <w:tcPr>
            <w:tcW w:w="149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5.07</w:t>
            </w:r>
          </w:p>
        </w:tc>
      </w:tr>
      <w:tr>
        <w:trPr/>
        <w:tc>
          <w:tcPr>
            <w:tcW w:w="161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60" w:type="dxa"/>
            <w:tcBorders/>
            <w:tcMar>
              <w:bottom w:w="0" w:type="dxa"/>
            </w:tcMar>
            <w:vAlign w:val="center"/>
          </w:tcPr>
          <w:p>
            <w:pPr>
              <w:pStyle w:val="TableContents"/>
              <w:bidi w:val="0"/>
              <w:spacing w:before="0" w:after="283"/>
              <w:jc w:val="left"/>
              <w:rPr/>
            </w:pPr>
            <w:r>
              <w:rPr/>
              <w:t> </w:t>
            </w:r>
          </w:p>
        </w:tc>
        <w:tc>
          <w:tcPr>
            <w:tcW w:w="149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7.02, 8.03</w:t>
            </w:r>
          </w:p>
        </w:tc>
      </w:tr>
      <w:tr>
        <w:trPr/>
        <w:tc>
          <w:tcPr>
            <w:tcW w:w="161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§317(a)(1)</w:t>
            </w:r>
          </w:p>
        </w:tc>
        <w:tc>
          <w:tcPr>
            <w:tcW w:w="60" w:type="dxa"/>
            <w:tcBorders/>
            <w:tcMar>
              <w:bottom w:w="0" w:type="dxa"/>
            </w:tcMar>
            <w:vAlign w:val="center"/>
          </w:tcPr>
          <w:p>
            <w:pPr>
              <w:pStyle w:val="TableContents"/>
              <w:bidi w:val="0"/>
              <w:spacing w:before="0" w:after="283"/>
              <w:jc w:val="left"/>
              <w:rPr/>
            </w:pPr>
            <w:r>
              <w:rPr/>
              <w:t> </w:t>
            </w:r>
          </w:p>
        </w:tc>
        <w:tc>
          <w:tcPr>
            <w:tcW w:w="149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5.08</w:t>
            </w:r>
          </w:p>
        </w:tc>
      </w:tr>
      <w:tr>
        <w:trPr/>
        <w:tc>
          <w:tcPr>
            <w:tcW w:w="161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(a)(2)</w:t>
            </w:r>
          </w:p>
        </w:tc>
        <w:tc>
          <w:tcPr>
            <w:tcW w:w="60" w:type="dxa"/>
            <w:tcBorders/>
            <w:tcMar>
              <w:bottom w:w="0" w:type="dxa"/>
            </w:tcMar>
            <w:vAlign w:val="center"/>
          </w:tcPr>
          <w:p>
            <w:pPr>
              <w:pStyle w:val="TableContents"/>
              <w:bidi w:val="0"/>
              <w:spacing w:before="0" w:after="283"/>
              <w:jc w:val="left"/>
              <w:rPr/>
            </w:pPr>
            <w:r>
              <w:rPr/>
              <w:t> </w:t>
            </w:r>
          </w:p>
        </w:tc>
        <w:tc>
          <w:tcPr>
            <w:tcW w:w="149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5.09</w:t>
            </w:r>
          </w:p>
        </w:tc>
      </w:tr>
      <w:tr>
        <w:trPr/>
        <w:tc>
          <w:tcPr>
            <w:tcW w:w="161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60" w:type="dxa"/>
            <w:tcBorders/>
            <w:tcMar>
              <w:bottom w:w="0" w:type="dxa"/>
            </w:tcMar>
            <w:vAlign w:val="center"/>
          </w:tcPr>
          <w:p>
            <w:pPr>
              <w:pStyle w:val="TableContents"/>
              <w:bidi w:val="0"/>
              <w:spacing w:before="0" w:after="283"/>
              <w:jc w:val="left"/>
              <w:rPr/>
            </w:pPr>
            <w:r>
              <w:rPr/>
              <w:t> </w:t>
            </w:r>
          </w:p>
        </w:tc>
        <w:tc>
          <w:tcPr>
            <w:tcW w:w="149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4.03</w:t>
            </w:r>
          </w:p>
        </w:tc>
      </w:tr>
      <w:tr>
        <w:trPr/>
        <w:tc>
          <w:tcPr>
            <w:tcW w:w="161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318(a)</w:t>
            </w:r>
          </w:p>
        </w:tc>
        <w:tc>
          <w:tcPr>
            <w:tcW w:w="60" w:type="dxa"/>
            <w:tcBorders/>
            <w:tcMar>
              <w:bottom w:w="0" w:type="dxa"/>
            </w:tcMar>
            <w:vAlign w:val="center"/>
          </w:tcPr>
          <w:p>
            <w:pPr>
              <w:pStyle w:val="TableContents"/>
              <w:bidi w:val="0"/>
              <w:spacing w:before="0" w:after="283"/>
              <w:jc w:val="left"/>
              <w:rPr/>
            </w:pPr>
            <w:r>
              <w:rPr/>
              <w:t> </w:t>
            </w:r>
          </w:p>
        </w:tc>
        <w:tc>
          <w:tcPr>
            <w:tcW w:w="149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15.08</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cross-reference table shall not, for any purpose, be deemed to be part of this Indenture.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INDENTURE dated as of [●] between Replimune Group, Inc., a Delaware corporation (the “Company”), the Guarantors (as defined herein) and [●], as trustee (the “Trustee”).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 I T N E S S E T H:</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Company and the Guarantors have duly authorized the execution and delivery of this Indenture to provide for the issuance from time to time of its unsecured debentures, notes or other evidences of indebtedness (herein called the “Securities”), to be issued in one or more series as in this Indenture provided; and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all things necessary to make the Indenture a valid indenture and agreement according to its terms, have been done.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consideration of the premises and the purchases of the Securities by the Holders thereof, the Company, the Guarantors and the Trustee mutually covenant and agree for the equal and proportionate benefit of the respective Holders from time to time of the Securities as follows: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DEFINITIONS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1.01.         </w:t>
      </w:r>
      <w:r>
        <w:rPr>
          <w:rFonts w:ascii="Times New Roman;Times;Serif" w:hAnsi="Times New Roman;Times;Serif"/>
          <w:b w:val="false"/>
          <w:i w:val="false"/>
          <w:caps w:val="false"/>
          <w:smallCaps w:val="false"/>
          <w:sz w:val="20"/>
          <w:u w:val="single"/>
        </w:rPr>
        <w:t>Certain Terms Defined</w:t>
      </w:r>
      <w:r>
        <w:rPr>
          <w:rFonts w:ascii="Times New Roman;Times;Serif" w:hAnsi="Times New Roman;Times;Serif"/>
          <w:b w:val="false"/>
          <w:i w:val="false"/>
          <w:caps w:val="false"/>
          <w:smallCaps w:val="false"/>
          <w:sz w:val="20"/>
        </w:rPr>
        <w:t>. The following terms (except as otherwise expressly provided or unless the context otherwise clearly requires) for all purposes of this Indenture and of any indenture supplemental hereto shall have the respective meanings specified in this Section. All other terms used in this Indenture which are defined in the Trust Indenture Act or the definitions of which in the Securities Act are referred to in the Trust Indenture Act (except as herein otherwise expressly provided or unless the context otherwise clearly requires), shall have the meanings assigned to such terms in the Trust Indenture Act and in the Securities Act as in force at the date of this Indenture. All accounting terms used herein and not expressly defined shall have the meanings given to them in accordance with generally accepted accounting principles in the United States (whether or not such is indicated herein). The words “herein,” “hereof” and “hereunder” and other words of similar import refer to this Indenture as a whole and not to any particular Article, Section or other subdivision. The terms defined in this Article include the plural as well as the singular.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Agent Members” has the meaning provided in Section 3.08(a).</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Board of Directors” means, with respect to any Person, the board of directors or board of managers of such Person, or any authorized committee of the board of directors or board of managers of such Person or any officer of such Person duly authorized by the board of directors or board of managers of such Person to take a specific action.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Board Resolution” means, with respect to the Company or any Guarantor, a copy of a resolution certified by the Secretary or an Assistant Secretary of the Company or such Guarantor, respectively, to have been duly adopted by the Board of Directors of the Company or such Guarantor, respectively, and to be in full force and effect on the date of such certification, and delivered to the Trustee.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Business Day” means any day except a Saturday, Sunday or other day on which banking institutions or trust companies located in the same jurisdiction as the Payment Office specified pursuant to Section 3.01 are authorized or obligated by law or executive order to close, except as otherwise specified pursuant to Section 3.01.</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Commission” means the United States Securities and Exchange Commission, as from time to time constituted, created under the Exchange Act, or, if at any time after the execution of this instrument such Commission is not existing and performing the duties now assigned to it under the Trust Indenture Act, then the body performing such duties at such time.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Company” means the Person named as the “Company” in the first paragraph of this Indenture until a successor shall have become such pursuant to the applicable provisions of this Indenture, and thereafter “Company” shall mean such successor.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Company Request” or “Company Order” means a written request or order signed in the name of the Company by its Executive Chairman of the Board of Directors, its President, its Chief Executive Officer, its Chief Financial Officer, its Treasurer, its Secretary or an Assistant Secretary, and delivered to the Trustee.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Corporate Trust Office” means the corporate trust office of the Trustee at which the corporate trust business of the Trustee shall, at any particular time, be principally administered, which office is, at the date as of which this Indenture is dated, located at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Default” means any event that is or with the passage of time or the giving of notice or both would be an Event of Default.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Depositary” means [●], its nominees, and their respective successors.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Dollar” or “$” means a dollar or other equivalent unit in such coin or currency of the United States as at the time shall be legal tender for the payment of public and private debt.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Event of Default” means any event or condition specified as such in Section 5.01 which shall have continued for the period of time, if any, therein designated.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Exchange Act” means the Securities Exchange Act of 1934, as amended.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GAAP” means generally accepted accounting principles in the United States set forth in the opinions and pronouncements of the Accounting Principles Board of the American Institute of Certified Public Accountants and statements and pronouncements of the Financial Accounting Standards Board or in such other statements by such other entity as may be approved by a significant segment of the accounting profession of the United States, as in effect from time to time. At any time after the Issue Date with respect to a series of Securities, the Company may elect to apply IFRS in lieu of GAAP and, upon any such election, references in this Indenture to GAAP shall thereafter be construed to mean IFRS as in effect from time to time. The Company shall give notice of any such election to the Trustee.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Global Security” means a Security, and any Guarantees endorsed thereon, evidencing all or part of a series of Securities and the corresponding Guarantees, if any, issued to the Depositary for that series in accordance with Section 3.05 and bearing the appropriate legend prescribed in Section 3.06.</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Government Securities” means direct obligations of, or obligations guaranteed by, the United States of America, and the payment for which the United States pledges its full faith and credit.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Guarantee” means with respect to the Securities of any series, the Guarantee with respect to the Securities of such series by the applicable Guarantor or Guarantors pursuant to Section 2.02 hereof and a supplemental indenture.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Guarantor” means, with respect to Securities of any series, any of the Company’s direct and indirect Subsidiaries, but only if such entity has guaranteed the Company’s obligations under this Indenture and with respect to such series of Securities pursuant to Section 2.01 hereof; </w:t>
      </w:r>
      <w:r>
        <w:rPr>
          <w:rFonts w:ascii="Times New Roman;Times;Serif" w:hAnsi="Times New Roman;Times;Serif"/>
          <w:b w:val="false"/>
          <w:i w:val="false"/>
          <w:caps w:val="false"/>
          <w:smallCaps w:val="false"/>
          <w:sz w:val="20"/>
          <w:u w:val="single"/>
        </w:rPr>
        <w:t xml:space="preserve">provided </w:t>
      </w:r>
      <w:r>
        <w:rPr>
          <w:rFonts w:ascii="Times New Roman;Times;Serif" w:hAnsi="Times New Roman;Times;Serif"/>
          <w:b w:val="false"/>
          <w:i w:val="false"/>
          <w:caps w:val="false"/>
          <w:smallCaps w:val="false"/>
          <w:sz w:val="20"/>
        </w:rPr>
        <w:t>that upon the release and discharge of any Person from its Guarantee in accordance with this Indenture or as specified pursuant to Section 3.01, such Person shall cease to be a Guarantor.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Holder,” “Holder of Securities” or other similar terms mean the registered holder of any Security.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IFRS” means International Financial Reporting Standards promulgated by the International Accounting Standards Board (or any successor board or agency) and as adopted by the European Union, as in effect from time to time.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Indenture” means this indenture as originally executed or as it may from time to time be supplemented or amended by one or more indentures supplemental hereto entered into pursuant to the applicable provisions hereof and shall include the terms of particular series of Securities established as contemplated hereunder.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Interest Payment Date” means, when used with respect to any Security, the Stated Maturity of an installment of interest on such Security.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Issue Date” means, with respect to Securities of a series, the first date on which the Securities of such series are originally issued under this Indenture.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Maturity,” means, when used with respect to any Security, the date on which the principal of such Security or an installment of principal becomes due and payable as therein or herein provided, whether at the Stated Maturity or by declaration of acceleration, call for redemption or otherwise.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Notice of Default” has the meaning provided in Section 6.06.</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Officers’ Certificate” means a certificate signed on behalf of the Company by an officer of the Company (or on behalf of a Guarantor by an officer of such Guarantor, as the case may be) that meets the requirements of Section 15.06 hereof.</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Opinion of Counsel” means an opinion in writing signed by legal counsel who may be an employee of or counsel to the Company or a Guarantor or who may be other counsel satisfactory to the Trustee.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outstanding” means, when used with reference to Securities, subject to the provisions of Article 7, as of any particular time, all Securities authenticated and delivered by the Trustee under this Indenture, except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Securities theretofore canceled by the Trustee or delivered to the Trustee for cancellation;</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Securities, or portions thereof, for the payment or redemption of which moneys in the necessary amount shall have been deposited in trust with the Trustee or with any Paying Agent (other than the Company or a Guarantor) or shall have been set aside, segregated and held in trust by the Company or a Guarantor (if the Company or a Guarantor shall act as Paying Agent); </w:t>
      </w:r>
      <w:r>
        <w:rPr>
          <w:rFonts w:ascii="Times New Roman;Times;Serif" w:hAnsi="Times New Roman;Times;Serif"/>
          <w:b w:val="false"/>
          <w:i w:val="false"/>
          <w:caps w:val="false"/>
          <w:smallCaps w:val="false"/>
          <w:sz w:val="20"/>
          <w:u w:val="single"/>
        </w:rPr>
        <w:t xml:space="preserve">provided </w:t>
      </w:r>
      <w:r>
        <w:rPr>
          <w:rFonts w:ascii="Times New Roman;Times;Serif" w:hAnsi="Times New Roman;Times;Serif"/>
          <w:b w:val="false"/>
          <w:i w:val="false"/>
          <w:caps w:val="false"/>
          <w:smallCaps w:val="false"/>
          <w:sz w:val="20"/>
        </w:rPr>
        <w:t>that if such Securities are to be redeemed prior to the maturity thereof, notice of such redemption shall have been given as herein provided, or provision satisfactory to a Responsible Officer of the Trustee shall have been made for giving such notice;</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Securities in substitution for which other Securities shall have been authenticated and delivered, or which shall have been paid, pursuant to the terms of Section 3.09 (unless proof satisfactory to the Trustee and the Company is presented that any of such Securities is held by a person in whose hands such Security is a legal, valid and binding obligation of the Company); and</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Securities that have been defeased pursuant to Section 12.01.</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Paying Agent” means any Person authorized by the Company to pay the principal of (and premium, if any) and interest, if any, on any Securities on behalf of the Company. The Company or a Guarantor may act as Paying Agent with respect to any Securities issued hereunder.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Payment Office” means, when used with respect to the Securities of or within any series, the place or places where the principal of (and premium, if any) and interest on such Securities are payable as specified pursuant to Section 3.01.</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Person” means any individual, corporation, partnership, joint stock company, business trust, trust, unincorporated association, joint venture or other entity or organization, including a government or political subdivision or an agency or instrumentality thereof.</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Physical Securities” means Securities issued pursuant to Section 3.02 in exchange for interest in the Global Security or pursuant to Section 3.08(b) in registered form substantially in the form hereinabove recited.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Principal Amount” means, when used with respect to any Security, the amount of principal of such Security that could then be declared due and payable pursuant to Section 5.02.</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Registrar” has the meaning provided in Section 3.07.</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Regular Record Date” for the interest payable on any Interest Payment Date on the Securities of any series means the date specified for that purpose as contemplated by Section 3.01.</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Responsible Officer” means, when used with respect to the Trustee, any officer within the Corporate Trust Office of the Trustee including any vice president, any trust officer, any assistant vice president, any assistant secretary, any assistant treasurer, or any other officer of the Trustee customarily performing functions similar to those performed by the persons who at the time shall be such officers, respectively, or to whom any corporate trust matter is referred because of his or her knowledge of and familiarity with the particular subject and who shall have direct responsibility for the administration of this Indenture.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Securities Act” means the Securities Act of 1933, as amended.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Security” or “Securities” means any Security or Securities, as the case may be, authenticated and delivered under this Indenture.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Security Register” has the meaning provided in Section 3.07.</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Stated Maturity” means, when used with respect to any Security or any installment of principal thereof or interest thereon, the date specified in such Security or a coupon representing such installment of interest as the fixed date on which the principal of such Security or such installment of principal or interest is due and payable.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Subsidiary” means, as applied, with respect to any Person, any corporation, partnership or other legal entity of which, in the case of a corporation, more than 50% of the issued and outstanding capital stock having ordinary voting power to elect a majority of the board of directors of such corporation (irrespective of whether at the time capital stock of any other class or classes of such corporation has or might have voting power upon the occurrence of any contingency), or, in the case of any partnership or other legal entity, more than 50% of the ordinary equity capital interests, is at the time directly or indirectly owned or controlled by such Person, by such Person and one or more of its other Subsidiaries or by one or more of such Person’s other Subsidiaries.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Trust Indenture Act” means the Trust Indenture Act of 1939, as amended, as in force at the date as of which this Indenture was originally executed, and “TIA” means, when used in respect of an indenture supplemental hereto, such Act as in force at the time such indenture supplemental hereto becomes effective.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Trustee” means the Person named as the “Trustee” in the first paragraph of this Indenture until a successor Trustee shall have become such pursuant to the applicable provisions of this Indenture, and thereafter “Trustee” shall mean or include each Person who is then a Trustee hereunder;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at any time there is more than one such Person, “Trustee” as used with respect to the Securities of any series shall mean only the Trustee with respect to Securities of that series.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1.02.          </w:t>
      </w:r>
      <w:r>
        <w:rPr>
          <w:rFonts w:ascii="Times New Roman;Times;Serif" w:hAnsi="Times New Roman;Times;Serif"/>
          <w:b w:val="false"/>
          <w:i w:val="false"/>
          <w:caps w:val="false"/>
          <w:smallCaps w:val="false"/>
          <w:sz w:val="20"/>
          <w:u w:val="single"/>
        </w:rPr>
        <w:t>Other Definitions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tbl>
      <w:tblPr>
        <w:tblW w:w="3654" w:type="dxa"/>
        <w:jc w:val="left"/>
        <w:tblInd w:w="0" w:type="dxa"/>
        <w:tblLayout w:type="fixed"/>
        <w:tblCellMar>
          <w:top w:w="0" w:type="dxa"/>
          <w:left w:w="0" w:type="dxa"/>
          <w:bottom w:w="28" w:type="dxa"/>
          <w:right w:w="0" w:type="dxa"/>
        </w:tblCellMar>
      </w:tblPr>
      <w:tblGrid>
        <w:gridCol w:w="1985"/>
        <w:gridCol w:w="60"/>
        <w:gridCol w:w="168"/>
        <w:gridCol w:w="1366"/>
        <w:gridCol w:w="75"/>
      </w:tblGrid>
      <w:tr>
        <w:trPr/>
        <w:tc>
          <w:tcPr>
            <w:tcW w:w="198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Term</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34"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Defined in Section</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985" w:type="dxa"/>
            <w:tcBorders/>
            <w:tcMar>
              <w:bottom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Authorized Agent”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8"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66" w:type="dxa"/>
            <w:tcBorders/>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15.12</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985" w:type="dxa"/>
            <w:tcBorders/>
            <w:tcMar>
              <w:bottom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Covenant Defeasance”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8"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66" w:type="dxa"/>
            <w:tcBorders/>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12.03</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985" w:type="dxa"/>
            <w:tcBorders/>
            <w:tcMar>
              <w:bottom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Legal Defeasance”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8"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66" w:type="dxa"/>
            <w:tcBorders/>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12.02</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985" w:type="dxa"/>
            <w:tcBorders/>
            <w:tcMar>
              <w:bottom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Specified Courts”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8"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66" w:type="dxa"/>
            <w:tcBorders/>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15.12</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1.03.          </w:t>
      </w:r>
      <w:r>
        <w:rPr>
          <w:rFonts w:ascii="Times New Roman;Times;Serif" w:hAnsi="Times New Roman;Times;Serif"/>
          <w:b w:val="false"/>
          <w:i w:val="false"/>
          <w:caps w:val="false"/>
          <w:smallCaps w:val="false"/>
          <w:sz w:val="20"/>
          <w:u w:val="single"/>
        </w:rPr>
        <w:t>Rules of Construction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context otherwise requires: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 term has the meaning assigned to it;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 accounting term not otherwise defined has the meaning assigned to it in accordance with GAAP;</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“or” is not exclusive;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words in the singular include the plural, and in the plural include the singular;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provisions apply to successive events and transactions; and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all references in this instrument to Articles and Sections are references to the corresponding Articles and Sections in and of this instrument unless the context requires otherwise.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2</w:t>
        <w:br/>
        <w:br/>
        <w:t>SECURITY FORMS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2.01.          </w:t>
      </w:r>
      <w:r>
        <w:rPr>
          <w:rFonts w:ascii="Times New Roman;Times;Serif" w:hAnsi="Times New Roman;Times;Serif"/>
          <w:b w:val="false"/>
          <w:i w:val="false"/>
          <w:caps w:val="false"/>
          <w:smallCaps w:val="false"/>
          <w:sz w:val="20"/>
          <w:u w:val="single"/>
        </w:rPr>
        <w:t>Forms Generally</w:t>
      </w:r>
      <w:r>
        <w:rPr>
          <w:rFonts w:ascii="Times New Roman;Times;Serif" w:hAnsi="Times New Roman;Times;Serif"/>
          <w:b w:val="false"/>
          <w:i w:val="false"/>
          <w:caps w:val="false"/>
          <w:smallCaps w:val="false"/>
          <w:sz w:val="20"/>
        </w:rPr>
        <w:t>. The Securities of each series, and all Guarantees endorsed thereon, if any, shall be in substantially the forms as shall be established by or pursuant to a Board Resolution of the Company (and a Board Resolution of each Guarantor with respect to the Guarantees, if any) or in one or more indentures supplemental hereto, in each case with such appropriate insertions, omissions, substitutions and other variations as are required or permitted by this Indenture, and may have such letters, numbers or other marks of identification and such legends or endorsements placed thereon as may be required to comply with the rules of any securities exchange or as may, consistently herewith, be determined by the officers executing such Securities and Guarantees, if any, as evidenced by their execution of the Securities and Guarantees. If the form of Securities of any series, and any Guarantees endorsed thereon, is established by action taken pursuant to a Board Resolution, a copy of an appropriate record of such action shall be certified by the Secretary or an Assistant Secretary of the Company, and by the Secretary or Assistant Secretary of the Guarantors, if any, and delivered to the Trustee at or prior to the delivery of the Company Order contemplated by Section 3.02 for the authentication and delivery of such Securities.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Trustee’s certificate of authentication on all Securities shall be in substantially the form set forth in this Article.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definitive Securities of any series shall be printed, lithographed or engraved on steel-engraved borders or may be produced in any other manner, all as determined by the officers executing such Securities, as evidenced by their execution of such Securities.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2.02.          </w:t>
      </w:r>
      <w:r>
        <w:rPr>
          <w:rFonts w:ascii="Times New Roman;Times;Serif" w:hAnsi="Times New Roman;Times;Serif"/>
          <w:b w:val="false"/>
          <w:i w:val="false"/>
          <w:caps w:val="false"/>
          <w:smallCaps w:val="false"/>
          <w:sz w:val="20"/>
          <w:u w:val="single"/>
        </w:rPr>
        <w:t>Guarantees by Guarantor; Form of Guarantee; Release of Guarantee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Except as otherwise specified in or pursuant to the Officers’ Certificate or supplemental indenture contemplated by Section 3.01(b), the provisions of this Section 2.02 will be applicable to any series of Securities that is to be guaranteed by one or more Guarantors.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Guarantor by its execution of this Indenture hereby agrees with each Holder of a Security of each series that is guaranteed by such Guarantor and authenticated and delivered by the Trustee and with the Trustee on behalf of each such Holder, to be unconditionally bound by the terms and provisions of the Guarantee set forth below and authorizes the Trustee to confirm such Guarantee to the Holder of each such Security by its execution and delivery of each such Security, with such Guarantee endorsed thereon, authenticated and delivered by the Trustee.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Guarantees to be endorsed on the Securities shall, subject to this Section 2.02, be in substantially the form set forth below:</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GUARANTEE</w:t>
        <w:br/>
        <w:br/>
        <w:t>OF</w:t>
        <w:br/>
        <w:br/>
        <w:t>[GUARANTOR]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value received, [●] (the “Guarantor”) hereby unconditionally and irrevocably guarantees, jointly and severally, to the Holder of the Security upon which this Guarantee is endorsed and to the Trustee on behalf of each such Holder the due and punctual payment of the principal of, premium, if any, interest and additional amounts, if any, on such Security and the due and punctual payment of any sinking fund or analogous payments referred to therein, if any, when and as the same shall become due and payable, whether on the Stated Maturity, by declaration of acceleration, call for redemption or otherwise, according to the terms thereof and of the Indenture dated as of [●] among Replimune Group, Inc. (hereinafter called the “Company,” which term includes any successor Person thereto under the Indenture), the Guarantors (as defined therein) and [●], as trustee (the “Indenture” and as supplemented by any applicable supplemental indenture, the “Indenture”). In case of the failure of the Company punctually to make any such payment of principal, premium, if any, or interest, and additional amounts, if any, or any sinking fund or analogous payment, the Guarantor, for so long as this Guarantee shall be in effect, hereby agrees to cause any such payment to be made to or to the order of the Trustee punctually when and as the same shall become due and payable, whether on the Stated Maturity or by declaration of acceleration, call for redemption or otherwise, and as if such payment were made by the Company.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Guarantor hereby agrees, to the extent permitted by law, that its obligations hereunder shall be as if it were the principal debtor and not merely surety, and shall be absolute and unconditional, irrespective of, and shall be unaffected by, any invalidity, irregularity or unenforceability of such Security or the Indenture, any failure to enforce the provisions of such Security or the Indenture, or any waiver, modification or indulgence granted to the Company with respect thereto, by the Holder of such Security or the Trustee or any other circumstance which may otherwise constitute a legal or equitable discharge of a surety or guarantor. The Guarantor hereby waives, to the extent permitted by law, diligence, presentment, demand of payment, filing of claims with a court in the event of merger or bankruptcy of the Company, any right to require a proceeding first against the Company, protest or notice with respect to such Security or the indebtedness evidenced thereby or with respect to any sinking fund or analogous payment required under such Security and all demands whatsoever, and covenants that this Guarantee will not be discharged except by payment in full of the principal of, premium, if any, and interest on such Security or as otherwise described in Section 2.02 of the Indenture.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Guarantee shall be automatically and unconditionally released on the terms set forth in Section 2.02(c) of the Indenture and such terms as have been specified pursuant to Section 3.01.</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Guarantor shall be subrogated to all rights of the Holder of such Security and the Trustee against the Company in respect of any amounts paid to such Holder by the Guarantor pursuant to the provisions of this Guarantee; </w:t>
      </w:r>
      <w:r>
        <w:rPr>
          <w:rFonts w:ascii="Times New Roman;Times;Serif" w:hAnsi="Times New Roman;Times;Serif"/>
          <w:b w:val="false"/>
          <w:i w:val="false"/>
          <w:caps w:val="false"/>
          <w:smallCaps w:val="false"/>
          <w:sz w:val="20"/>
          <w:u w:val="single"/>
        </w:rPr>
        <w:t xml:space="preserve">provided </w:t>
      </w:r>
      <w:r>
        <w:rPr>
          <w:rFonts w:ascii="Times New Roman;Times;Serif" w:hAnsi="Times New Roman;Times;Serif"/>
          <w:b w:val="false"/>
          <w:i w:val="false"/>
          <w:caps w:val="false"/>
          <w:smallCaps w:val="false"/>
          <w:sz w:val="20"/>
        </w:rPr>
        <w:t>that the Guarantor shall not be entitled to enforce, or to receive any payments arising out of or based upon such right of subrogation until the principal of, premium, if any, and interest on all Securities of the same series issued under the Indenture shall have been paid in full.</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Guarantor hereby agrees that its obligations hereunder shall be direct, unconditioned and unsubordinated and will rank equally and ratably without preference and at least equally with other senior unsecured and unsubordinated obligations of the Guarantor, except to the extent prescribed by law. The Holder of a guaranteed Security will be entitled to payment under the Guarantee without taking any action whatsoever against the Company.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sz w:val="20"/>
          <w:bdr w:val="single" w:sz="8" w:space="1" w:color="000000"/>
        </w:rPr>
      </w:pPr>
      <w:r>
        <w:rPr>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reference herein to the Indenture and no provision of this Guarantee or of the Indenture shall alter or impair the guarantee of the Guarantor, which is absolute and unconditional, of the due and punctual payment of the principal of, premium, if any, and interest on, any additional amounts, and any sinking fund or analogous payments with respect to, the Security upon which this Guarantee is endorsed.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Guarantee shall not be valid or obligatory for any purpose until the certificate of authentication of such Security shall have been manually executed by or on behalf of the Trustee under the Indenture.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terms used in this Guarantee that are defined in the Indenture shall have the meanings assigned to them in the Indenture.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Guarantee shall be governed by and construed in accordance with the laws of the State of New York, but without giving effect to applicable principles of conflicts of law to the extent that the application of the law of another jurisdiction would be required thereby.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Executed and dated the date on the face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[GUARANTOR]</w:t>
      </w:r>
    </w:p>
    <w:p>
      <w:pPr>
        <w:pStyle w:val="TextBody"/>
        <w:bidi w:val="0"/>
        <w:spacing w:before="0" w:after="0"/>
        <w:ind w:left="0" w:right="0" w:hanging="0"/>
        <w:jc w:val="left"/>
        <w:rPr>
          <w:caps w:val="false"/>
          <w:smallCaps w:val="false"/>
        </w:rPr>
      </w:pPr>
      <w:r>
        <w:rPr>
          <w:caps w:val="false"/>
          <w:smallCaps w:val="false"/>
        </w:rPr>
        <w:t> </w:t>
      </w:r>
    </w:p>
    <w:tbl>
      <w:tblPr>
        <w:tblW w:w="955" w:type="dxa"/>
        <w:jc w:val="left"/>
        <w:tblInd w:w="0" w:type="dxa"/>
        <w:tblLayout w:type="fixed"/>
        <w:tblCellMar>
          <w:top w:w="0" w:type="dxa"/>
          <w:left w:w="0" w:type="dxa"/>
          <w:bottom w:w="0" w:type="dxa"/>
          <w:right w:w="0" w:type="dxa"/>
        </w:tblCellMar>
      </w:tblPr>
      <w:tblGrid>
        <w:gridCol w:w="335"/>
        <w:gridCol w:w="545"/>
        <w:gridCol w:w="75"/>
      </w:tblGrid>
      <w:tr>
        <w:trPr/>
        <w:tc>
          <w:tcPr>
            <w:tcW w:w="3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54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Release of Guarantee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Guarantee of a Guarantor relating to a series of Securities shall be released automatically and unconditionally, and such Guarantor shall be relieved of all of its obligations under its Guarantee of such Securities, (A) upon defeasance or discharge of such series of Securities as provided in Article 12 or Article 13 of this Indenture, (B) if for any reason, such Guarantor ceases to be a Subsidiary of the Company, or (C) in connection with any sale, disposition or transfer of all or substantially all of the assets of that Guarantor (including by way of merger or consolidation) to a Person that is not (either before or after giving effect to such transaction) the Company or a Subsidiary of the Company.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Guarantee of a Guarantor relating to a series of Securities shall be released automatically and unconditionally, and such Guarantor shall be relieved of all of its obligations under its Guarantee of such Securities, in any additional circumstances provided in the terms of the Securities of such series established pursuant to Section 3.01 of this Indenture and any relevant supplemental indenture.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At such time as a Guarantor’s Guarantee is released with respect to any series of Securities, such Guarantor will no longer be considered a “Guarantor” of such series of Securities.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The Trustee shall promptly execute any documents reasonably requested by the Company or applicable Guarantor relating to a series of Securities in order to evidence the release of such Guarantor from its obligations under its Guarantee of the Securities of such series; </w:t>
      </w:r>
      <w:r>
        <w:rPr>
          <w:rFonts w:ascii="Times New Roman;Times;Serif" w:hAnsi="Times New Roman;Times;Serif"/>
          <w:b w:val="false"/>
          <w:i w:val="false"/>
          <w:caps w:val="false"/>
          <w:smallCaps w:val="false"/>
          <w:sz w:val="20"/>
          <w:u w:val="single"/>
        </w:rPr>
        <w:t xml:space="preserve">provided </w:t>
      </w:r>
      <w:r>
        <w:rPr>
          <w:rFonts w:ascii="Times New Roman;Times;Serif" w:hAnsi="Times New Roman;Times;Serif"/>
          <w:b w:val="false"/>
          <w:i w:val="false"/>
          <w:caps w:val="false"/>
          <w:smallCaps w:val="false"/>
          <w:sz w:val="20"/>
        </w:rPr>
        <w:t>that the Trustee shall not be obligated to execute or deliver any document evidencing the release of a Guarantee pursuant to this Section 2.02(c) unless the Company has delivered an Officers’ Certificate or an Opinion of Counsel to the effect that such release is in accordance with the provisions of this Indenture.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2.03.         </w:t>
      </w:r>
      <w:r>
        <w:rPr>
          <w:rFonts w:ascii="Times New Roman;Times;Serif" w:hAnsi="Times New Roman;Times;Serif"/>
          <w:b w:val="false"/>
          <w:i w:val="false"/>
          <w:caps w:val="false"/>
          <w:smallCaps w:val="false"/>
          <w:sz w:val="20"/>
          <w:u w:val="single"/>
        </w:rPr>
        <w:t>Form of Trustee’s Certificate of Authentication</w:t>
      </w:r>
      <w:r>
        <w:rPr>
          <w:rFonts w:ascii="Times New Roman;Times;Serif" w:hAnsi="Times New Roman;Times;Serif"/>
          <w:b w:val="false"/>
          <w:i w:val="false"/>
          <w:caps w:val="false"/>
          <w:smallCaps w:val="false"/>
          <w:sz w:val="20"/>
        </w:rPr>
        <w:t>. The Trustee’s certificate of authentication shall be substantially in the following form:</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is one of the Securities of the series designated therein referred to in the within-mentioned Indenture.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sz w:val="20"/>
          <w:bdr w:val="single" w:sz="8" w:space="1" w:color="000000"/>
        </w:rPr>
      </w:pPr>
      <w:r>
        <w:rPr>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tbl>
      <w:tblPr>
        <w:tblW w:w="3215" w:type="dxa"/>
        <w:jc w:val="left"/>
        <w:tblInd w:w="0" w:type="dxa"/>
        <w:tblLayout w:type="fixed"/>
        <w:tblCellMar>
          <w:top w:w="0" w:type="dxa"/>
          <w:left w:w="0" w:type="dxa"/>
          <w:bottom w:w="0" w:type="dxa"/>
          <w:right w:w="0" w:type="dxa"/>
        </w:tblCellMar>
      </w:tblPr>
      <w:tblGrid>
        <w:gridCol w:w="75"/>
        <w:gridCol w:w="674"/>
        <w:gridCol w:w="2466"/>
      </w:tblGrid>
      <w:tr>
        <w:trPr/>
        <w:tc>
          <w:tcPr>
            <w:tcW w:w="75" w:type="dxa"/>
            <w:tcBorders/>
            <w:vAlign w:val="center"/>
          </w:tcPr>
          <w:p>
            <w:pPr>
              <w:pStyle w:val="TableContents"/>
              <w:bidi w:val="0"/>
              <w:spacing w:before="0" w:after="283"/>
              <w:jc w:val="left"/>
              <w:rPr/>
            </w:pPr>
            <w:r>
              <w:rPr/>
              <w:t> </w:t>
            </w:r>
          </w:p>
        </w:tc>
        <w:tc>
          <w:tcPr>
            <w:tcW w:w="3140"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w:t>
              <w:br/>
              <w:t>as Trustee</w:t>
            </w:r>
          </w:p>
        </w:tc>
      </w:tr>
      <w:tr>
        <w:trPr/>
        <w:tc>
          <w:tcPr>
            <w:tcW w:w="75" w:type="dxa"/>
            <w:tcBorders/>
            <w:vAlign w:val="center"/>
          </w:tcPr>
          <w:p>
            <w:pPr>
              <w:pStyle w:val="TableContents"/>
              <w:bidi w:val="0"/>
              <w:spacing w:before="0" w:after="283"/>
              <w:jc w:val="left"/>
              <w:rPr/>
            </w:pPr>
            <w:r>
              <w:rPr/>
              <w:t> </w:t>
            </w:r>
          </w:p>
        </w:tc>
        <w:tc>
          <w:tcPr>
            <w:tcW w:w="314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6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466"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674" w:type="dxa"/>
            <w:tcBorders/>
            <w:vAlign w:val="center"/>
          </w:tcPr>
          <w:p>
            <w:pPr>
              <w:pStyle w:val="TableContents"/>
              <w:bidi w:val="0"/>
              <w:spacing w:before="0" w:after="283"/>
              <w:jc w:val="left"/>
              <w:rPr>
                <w:caps w:val="false"/>
                <w:smallCaps w:val="false"/>
              </w:rPr>
            </w:pPr>
            <w:r>
              <w:rPr>
                <w:caps w:val="false"/>
                <w:smallCaps w:val="false"/>
              </w:rPr>
              <w:t> </w:t>
            </w:r>
          </w:p>
        </w:tc>
        <w:tc>
          <w:tcPr>
            <w:tcW w:w="246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3</w:t>
        <w:br/>
        <w:br/>
        <w:t>ISSUE, EXECUTION, FORM AND REGISTRATION OF SECURITIES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3.01.          </w:t>
      </w:r>
      <w:r>
        <w:rPr>
          <w:rFonts w:ascii="Times New Roman;Times;Serif" w:hAnsi="Times New Roman;Times;Serif"/>
          <w:b w:val="false"/>
          <w:i w:val="false"/>
          <w:caps w:val="false"/>
          <w:smallCaps w:val="false"/>
          <w:sz w:val="20"/>
          <w:u w:val="single"/>
        </w:rPr>
        <w:t>Amount Unlimited; Issuable in Series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aggregate principal amount of Securities which may be authenticated and delivered under this Indenture is unlimited.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Securities may be issued from time to time in one or more series. Prior to the issuance of Securities of any series, there shall be established in or pursuant to (i) a Board Resolution of the Company and each Guarantor, if any, of the Securities of such series, (ii) action taken pursuant to a Board Resolution and (subject to Sections 3.03 and 3.04) set forth, or determined in the manner provided, in an Officers’ Certificate of the Company and each Guarantor, if any, of the Securities of such series, or (iii) one or more indentures supplemental hereto:</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title of the Securities of the series (which shall distinguish the Securities of the series from all other Securities);</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whether or not such Securities are to be guaranteed pursuant to Section 2.02 and, if so, the Guarantor or Guarantors thereof;</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purchase price, denomination and any limit upon the aggregate principal amount of the Securities of the series which may be authenticated and delivered under this Indenture (except for Securities authenticated and delivered upon registration of transfer of, or in exchange for, or in lieu of, other Securities of the series pursuant to Sections 3.07, 3.09, 3.11, 9.05 or 11.03);</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date or dates on which the principal of and premium, if any, on the Securities of the series is payable or the method of determination thereof;</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the rate or rates at which the Securities of the series shall bear interest, if any, or the method of calculating such rate or rates of interest, the date or dates from which such interest shall accrue or the method by which such date or dates shall be determined, the Interest Payment Dates on which any such interest shall be payable and the Regular Record Date, if any, for the interest payable on any Interest Payment Date;</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the place or places where the principal of (and premium, if any) and interest, if any, on Securities of the series shall be payable;</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the place or places where the Securities may be exchanged or transferred;</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the period or periods within which, the price or prices at which, the currency or currencies (including currency unit or units) in which, and the other terms and conditions upon which Securities of the series may be redeemed, in whole or in part, at the option of the Company, if the Company is to have that option, and, if other than as provided in Section 11.02, the manner in which the particular Securities of such series (if less than all Securities of such series are to be redeemed) are to be selected for redemption;</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center"/>
        <w:rPr>
          <w:sz w:val="20"/>
          <w:bdr w:val="single" w:sz="8" w:space="1" w:color="000000"/>
        </w:rPr>
      </w:pPr>
      <w:r>
        <w:rPr>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the obligation, if any, of the Company to redeem or purchase Securities of the series in whole or in part pursuant to any sinking fund or analogous provisions or upon the happening of a specified event or at the option of a Holder thereof and the period or periods within which, the price or prices at which, and the other terms and conditions upon which Securities of the series shall be redeemed or purchased, in whole or in part, pursuant to such obligation;</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if other than denominations of $2,000 and multiples of $1,000 in excess thereof, the denominations in which Securities of the series shall be issuable;</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if other than Dollars, the currency or currencies (including currency unit or units) in which payments of principal of (and premium, if any) and interest, if any, on the Securities of the series shall or may by payable, or in which the Securities of the series shall be denominated, and the particular provisions applicable thereto;</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if the payments of principal of (and premium, if any) and interest, if any, on the Securities of the series are to be made, at the election of the Company or a Holder, in a currency or currencies (including currency unit or units) other than that in which such Securities are denominated or designated to be payable, the currency or currencies (including currency unit or units) in which such payments are to be made, the terms and conditions of such payments and the manner in which the exchange rate with respect to such payments shall be determined, and the particular provisions applicable thereto;</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if the amount of payments of principal of (and premium, if any) and interest, if any, on the Securities of the series shall be determined with reference to any commodities, currencies or indices, values, rates or prices or any other index, formula or method (which index, formula or method may be based, without limitation, on a currency or currencies (including currency unit or units) other than that in which the Securities of the series are denominated or designated to be payable), the manner in which such amounts shall be determined;</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     if other than the principal amount thereof, the portion of the principal amount of Securities of the series which shall be payable upon declaration of acceleration of the Maturity thereof pursuant to Section 5.02 or the method by which such portion shall be determined;</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any modifications of or additions to the Events of Default set forth in Section 5.01 or the covenants of the Company set forth in Article 4 or Article 10 with respect to Securities of the series; and whether such additional or modified Events of Default or covenants are subject to covenant defeasance pursuant to Section 12.03;</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      if either or both of Section 12.02 and Section 12.03 shall be inapplicable to the Securities of the series (</w:t>
      </w:r>
      <w:r>
        <w:rPr>
          <w:rFonts w:ascii="Times New Roman;Times;Serif" w:hAnsi="Times New Roman;Times;Serif"/>
          <w:b w:val="false"/>
          <w:i w:val="false"/>
          <w:caps w:val="false"/>
          <w:smallCaps w:val="false"/>
          <w:sz w:val="20"/>
          <w:u w:val="single"/>
        </w:rPr>
        <w:t xml:space="preserve">provided </w:t>
      </w:r>
      <w:r>
        <w:rPr>
          <w:rFonts w:ascii="Times New Roman;Times;Serif" w:hAnsi="Times New Roman;Times;Serif"/>
          <w:b w:val="false"/>
          <w:i w:val="false"/>
          <w:caps w:val="false"/>
          <w:smallCaps w:val="false"/>
          <w:sz w:val="20"/>
        </w:rPr>
        <w:t xml:space="preserve">that if no such inapplicability shall be specified and the Securities of such series are not convertible into or their value is not determined with reference to the Company’s equity securities, then both Section 12.02 and Section 12.03 shall be applicable to the Securities of such series; </w:t>
      </w:r>
      <w:r>
        <w:rPr>
          <w:rFonts w:ascii="Times New Roman;Times;Serif" w:hAnsi="Times New Roman;Times;Serif"/>
          <w:b w:val="false"/>
          <w:i w:val="false"/>
          <w:caps w:val="false"/>
          <w:smallCaps w:val="false"/>
          <w:sz w:val="20"/>
          <w:u w:val="single"/>
        </w:rPr>
        <w:t>provided further</w:t>
      </w:r>
      <w:r>
        <w:rPr>
          <w:rFonts w:ascii="Times New Roman;Times;Serif" w:hAnsi="Times New Roman;Times;Serif"/>
          <w:b w:val="false"/>
          <w:i w:val="false"/>
          <w:caps w:val="false"/>
          <w:smallCaps w:val="false"/>
          <w:sz w:val="20"/>
        </w:rPr>
        <w:t xml:space="preserve"> that if no such inapplicability shall be specified and the Securities of such series are convertible into or their value is determined with reference to the Company’s equity securities, then neither Section 12.02 nor Section 12.03 shall be applicable to the Securities of such series) and any other terms upon which the Securities of such series will be defeasible;</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     if other than the Trustee, the identity of the Registrar and any Paying Agent;</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     if the Securities of the series shall be issued in whole or in part in global form, (i) the Depositary for such global Securities, (ii) the form of any legend in addition to or in lieu of that in Section 3.06 which shall be borne by such global Security, (iii) whether beneficial owners of interests in any Securities of the series in global form may exchange such interests for certificated Securities of such series and of like tenor of any authorized form and denomination, and (iv) if other than as provided in Section 3.08, the circumstances under which any such exchange may occur;</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center"/>
        <w:rPr>
          <w:sz w:val="20"/>
          <w:bdr w:val="single" w:sz="8" w:space="1" w:color="000000"/>
        </w:rPr>
      </w:pPr>
      <w:r>
        <w:rPr>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     if, and the terms and conditions upon which, the Securities of such series may or must be converted into securities of the Company or exchanged for securities of the Company or another enterprise; and</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     any other terms of the series or any Guarantees endorsed thereon (which terms shall not adversely affect a prior series of Securities).</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Securities of any one series shall be substantially identical except as to denomination and except as may otherwise be provided (i) by a Board Resolution of the Company, (ii) by action taken pursuant to a Board Resolution of the Company and (subject to Sections 3.02-3.05) set forth, or determined in the manner provided, in an Officers’ Certificate or (iii) in any such indenture supplemental hereto. All Securities of any one series need not be issued at the same time and, unless otherwise provided, a series may be reopened, without the consent of the Holders, for issuances of additional Securities of such series.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the terms of the Securities of any series, and any Guarantees endorsed thereon, are established by action taken pursuant to a Board Resolution of the Company and the Guarantors, if any, a copy of an appropriate record of such action shall be certified by the Secretary or an Assistant Secretary of the Company and the Guarantors, if any, and delivered to the Trustee at or prior to the delivery of the Officers’ Certificate setting forth, or providing the manner for determining, the terms of the Securities of such series, and an appropriate record of any action taken pursuant thereto in connection with the issuance of any Securities of such series shall be delivered to the Trustee prior to the authentication and delivery thereof.</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3.02.         </w:t>
      </w:r>
      <w:r>
        <w:rPr>
          <w:rFonts w:ascii="Times New Roman;Times;Serif" w:hAnsi="Times New Roman;Times;Serif"/>
          <w:b w:val="false"/>
          <w:i w:val="false"/>
          <w:caps w:val="false"/>
          <w:smallCaps w:val="false"/>
          <w:sz w:val="20"/>
          <w:u w:val="single"/>
        </w:rPr>
        <w:t>Authentication and Delivery of Securities</w:t>
      </w:r>
      <w:r>
        <w:rPr>
          <w:rFonts w:ascii="Times New Roman;Times;Serif" w:hAnsi="Times New Roman;Times;Serif"/>
          <w:b w:val="false"/>
          <w:i w:val="false"/>
          <w:caps w:val="false"/>
          <w:smallCaps w:val="false"/>
          <w:sz w:val="20"/>
        </w:rPr>
        <w:t>. Upon the execution and delivery of this Indenture, or from time to time thereafter, Securities of any series and any Guarantees endorsed thereon may be executed by the Company and the Guarantors, if any, and delivered by the Company to the Trustee for authentication, together with a Company Order, and upon delivery to the Trustee of all documents and certificates as required by this Indenture, the Trustee shall thereupon, in accordance with such Company Order, authenticate and make available for delivery said Securities.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3.03.          </w:t>
      </w:r>
      <w:r>
        <w:rPr>
          <w:rFonts w:ascii="Times New Roman;Times;Serif" w:hAnsi="Times New Roman;Times;Serif"/>
          <w:b w:val="false"/>
          <w:i w:val="false"/>
          <w:caps w:val="false"/>
          <w:smallCaps w:val="false"/>
          <w:sz w:val="20"/>
          <w:u w:val="single"/>
        </w:rPr>
        <w:t>Execution of Securities</w:t>
      </w:r>
      <w:r>
        <w:rPr>
          <w:rFonts w:ascii="Times New Roman;Times;Serif" w:hAnsi="Times New Roman;Times;Serif"/>
          <w:b w:val="false"/>
          <w:i w:val="false"/>
          <w:caps w:val="false"/>
          <w:smallCaps w:val="false"/>
          <w:sz w:val="20"/>
        </w:rPr>
        <w:t>. The Securities of each series shall be executed on behalf of the Company, and each of the Guarantees, if any, shall be executed on behalf of the applicable Guarantor, by the Executive Chairman of the Board of Directors, the President, the Chief Executive Officer, the Chief Financial Officer, the Treasurer, the Secretary or any Assistant Secretary of the Company or of such Guarantor, as the case may be. The signatures of any of such officers on the Securities or the Guarantees may be the manual or facsimile signatures of the present or any future such officers. In case any officer of the Company or of each Guarantor, if any, who shall have signed any of the Securities and Guarantees, if any, shall cease to be such officer before the Security so signed or to which the Guarantee relates shall be authenticated and delivered by the Trustee or disposed of by the Company, such Security nevertheless may be authenticated and delivered or disposed of as though the person who signed such Security or Guarantee had not ceased to be such officer of the Company or of such Guarantor, as the case may be; and any Security or Guarantee may be signed on behalf of the Company or of a Guarantor, if any, by such persons as shall be the proper officers of the Company or of such Guarantor, as the case may be, at the actual date of the execution of such Security or Guarantee even though any such person was not such officer at the date of the execution and delivery of this Indenture.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3.04.         </w:t>
      </w:r>
      <w:r>
        <w:rPr>
          <w:rFonts w:ascii="Times New Roman;Times;Serif" w:hAnsi="Times New Roman;Times;Serif"/>
          <w:b w:val="false"/>
          <w:i w:val="false"/>
          <w:caps w:val="false"/>
          <w:smallCaps w:val="false"/>
          <w:sz w:val="20"/>
          <w:u w:val="single"/>
        </w:rPr>
        <w:t>Certificate of Authentication</w:t>
      </w:r>
      <w:r>
        <w:rPr>
          <w:rFonts w:ascii="Times New Roman;Times;Serif" w:hAnsi="Times New Roman;Times;Serif"/>
          <w:b w:val="false"/>
          <w:i w:val="false"/>
          <w:caps w:val="false"/>
          <w:smallCaps w:val="false"/>
          <w:sz w:val="20"/>
        </w:rPr>
        <w:t>. Only such Securities or Guarantees endorsed thereon, if any, as shall bear thereon a certificate of authentication substantially in the form hereinabove recited, executed by the Trustee by manual signature of one of its authorized signatories, shall be entitled to the benefits of this Indenture or be valid or obligatory for any purpose. Such certificate by the Trustee upon any Security executed by the Company shall be conclusive evidence that the Security so authenticated has been duly authenticated and delivered hereunder and that the Holder is entitled to the benefits of this Indenture.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3.05.         </w:t>
      </w:r>
      <w:r>
        <w:rPr>
          <w:rFonts w:ascii="Times New Roman;Times;Serif" w:hAnsi="Times New Roman;Times;Serif"/>
          <w:b w:val="false"/>
          <w:i w:val="false"/>
          <w:caps w:val="false"/>
          <w:smallCaps w:val="false"/>
          <w:sz w:val="20"/>
          <w:u w:val="single"/>
        </w:rPr>
        <w:t>Denomination, Currency and Date of Securities; Payments of Interest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Securities shall be issuable in such denominations and currency as shall be specified as contemplated by Section 3.01. In the absence of any specification pursuant to Section 3.01 with respect to Securities of any series, the Securities of such series shall be denominated in Dollars, issuable only as Securities in denominations of $2,000 and multiples of $1,000 in excess thereof and payable only in Dollars. The Securities shall be numbered, lettered, or otherwise distinguished in such manner or in accordance with such plans as the officers of the Company executing the same may determine with the approval of the Trustee.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sz w:val="20"/>
          <w:bdr w:val="single" w:sz="8" w:space="1" w:color="000000"/>
        </w:rPr>
      </w:pPr>
      <w:r>
        <w:rPr>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of the Securities and Guarantees, if any, may be issued with appropriate insertions, omissions, substitutions and variations, and may have imprinted or otherwise reproduced thereon such legend or legends, not inconsistent with the provisions of this Indenture, as may be required to comply with any law or with any rules or regulations pursuant thereto, including those required by Section 3.06, or with the rules of any securities market in which the Securities are admitted to trading, or to conform to general usage.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Security shall be dated the date of its authentication, shall bear interest from the applicable date and shall be payable on the dates specified on the face of the form of Security above. Except as otherwise specified as contemplated by Section 3.01 for Securities of any series, interest on the Securities of each series shall be computed on the basis of a 360-day year of twelve 30-day months.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Global Securities</w:t>
      </w:r>
      <w:r>
        <w:rPr>
          <w:rFonts w:ascii="Times New Roman;Times;Serif" w:hAnsi="Times New Roman;Times;Serif"/>
          <w:b w:val="false"/>
          <w:i w:val="false"/>
          <w:caps w:val="false"/>
          <w:smallCaps w:val="false"/>
          <w:sz w:val="20"/>
        </w:rPr>
        <w:t>. If Securities of or within a series are issuable in whole or in part in global form, then any such Security of such series shall be deposited with the Trustee as custodian for the Depositary and registered in the name of [Cede &amp; Co.], as nominee for the Depositary. The Global Security shall be deposited on behalf of the purchasers of the Securities represented thereby with the Trustee, as custodian for the Depositary (or with such other custodian as the Depositary may direct), and registered in the name of the Depositary or a nominee of the Depositary, duly executed by the Company and each Guarantor, if any, and authenticated by the Trustee as hereinafter provided. The aggregate principal amount of the Global Securities may from time to time be increased or decreased by adjustments made on the records of the Trustee and the Depositary or its nominee as hereinafter provided.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person in whose name any Security is registered at the close of business on any Regular Record Date with respect to any Interest Payment Date shall be entitled to receive the interest, if any, payable on such Interest Payment Date notwithstanding any transfer or exchange of such Security subsequent to the Regular Record Date and prior to such Interest Payment Date, except if and to the extent the Company or a Guarantor, if any, shall default in the payment of the interest due on such Interest Payment Date, in which case such defaulted interest, plus (to the extent lawful) any interest payable on the defaulted interest, shall be paid to the persons in whose names outstanding Securities are registered at the close of business on a subsequent record date (which shall be not less than five Business Days prior to the date of such payment) established by notice given by mail by or on behalf of the Company or such Guarantor to the Holders of Securities not less than 15 calendar days preceding such subsequent record date.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3.06.          </w:t>
      </w:r>
      <w:r>
        <w:rPr>
          <w:rFonts w:ascii="Times New Roman;Times;Serif" w:hAnsi="Times New Roman;Times;Serif"/>
          <w:b w:val="false"/>
          <w:i w:val="false"/>
          <w:caps w:val="false"/>
          <w:smallCaps w:val="false"/>
          <w:sz w:val="20"/>
          <w:u w:val="single"/>
        </w:rPr>
        <w:t>Global Security Legend</w:t>
      </w:r>
      <w:r>
        <w:rPr>
          <w:rFonts w:ascii="Times New Roman;Times;Serif" w:hAnsi="Times New Roman;Times;Serif"/>
          <w:b w:val="false"/>
          <w:i w:val="false"/>
          <w:caps w:val="false"/>
          <w:smallCaps w:val="false"/>
          <w:sz w:val="20"/>
        </w:rPr>
        <w:t>. Any Security in global form authenticated and delivered hereunder shall bear a legend in substantially the following form, or in such other form as may be necessary or appropriate to reflect the arrangements with or to comply with the requirements of any Depositary: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72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SECURITY IS A GLOBAL SECURITY WITHIN THE MEANING OF THE INDENTURE HEREINAFTER REFERRED TO AND IS REGISTERED IN THE NAME OF THE DEPOSITARY OR A NOMINEE OF THE DEPOSITARY, WHICH MAY BE TREATED BY THE COMPANY, THE TRUSTEE AND ANY AGENT THEREOF AS OWNER AND HOLDER OF THIS SECURITY FOR ALL PURPOSES.</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THIS CERTIFICATE IS PRESENTED BY AN AUTHORIZED REPRESENTATIVE OF THE DEPOSITORY TRUST COMPANY, TO THE COMPANY OR ITS AGENT FOR REGISTRATION OF TRANSFER, EXCHANGE OR PAYMENT, AND ANY CERTIFICATE ISSUED IS REGISTERED IN THE NAME OF [CEDE &amp; Co.] OR IN SUCH OTHER NAME AS IS REQUESTED BY AN AUTHORIZED REPRESENTATIVE OF [●] (AND ANY PAYMENT HEREON IS MADE TO [CEDE &amp; Co.] OR TO SUCH OTHER ENTITY AS IS REQUESTED BY AN AUTHORIZED REPRESENTATIVE OF [●]), ANY TRANSFER, PLEDGE OR OTHER USE HEREOF FOR VALUE OR OTHERWISE BY OR TO ANY PERSON IS WRONGFUL SINCE THE REGISTERED OWNER HEREOF, [CEDE &amp; Co.], HAS AN INTEREST HEREIN.</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center"/>
        <w:rPr>
          <w:sz w:val="20"/>
          <w:bdr w:val="single" w:sz="8" w:space="1" w:color="000000"/>
        </w:rPr>
      </w:pPr>
      <w:r>
        <w:rPr>
          <w:sz w:val="20"/>
          <w:bdr w:val="single" w:sz="8" w:space="1" w:color="000000"/>
        </w:rPr>
        <w:t>-11-</w:t>
      </w:r>
    </w:p>
    <w:p>
      <w:pPr>
        <w:pStyle w:val="TextBody"/>
        <w:bidi w:val="0"/>
        <w:spacing w:before="0" w:after="0"/>
        <w:ind w:left="0" w:right="0" w:hanging="0"/>
        <w:jc w:val="left"/>
        <w:rPr/>
      </w:pPr>
      <w:r>
        <w:rPr/>
        <w:t> </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TRANSFERS OF THIS GLOBAL SECURITY SHALL BE LIMITED TO TRANSFERS IN WHOLE, BUT NOT IN PART, TO NOMINEES OF THE DEPOSITORY TRUST COMPANY OR TO A SUCCESSOR THEREOF OR SUCH SUCCESSOR’S NOMINEE.</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3.07.          </w:t>
      </w:r>
      <w:r>
        <w:rPr>
          <w:rFonts w:ascii="Times New Roman;Times;Serif" w:hAnsi="Times New Roman;Times;Serif"/>
          <w:b w:val="false"/>
          <w:i w:val="false"/>
          <w:caps w:val="false"/>
          <w:smallCaps w:val="false"/>
          <w:sz w:val="20"/>
          <w:u w:val="single"/>
        </w:rPr>
        <w:t>Registration, Transfer and Exchange</w:t>
      </w:r>
      <w:r>
        <w:rPr>
          <w:rFonts w:ascii="Times New Roman;Times;Serif" w:hAnsi="Times New Roman;Times;Serif"/>
          <w:b w:val="false"/>
          <w:i w:val="false"/>
          <w:caps w:val="false"/>
          <w:smallCaps w:val="false"/>
          <w:sz w:val="20"/>
        </w:rPr>
        <w:t>. The Securities are issuable only in registered form. The Company will keep at each office or agency (the “Registrar”) for each series of Securities a register or registers (the “Security Register(s)”) in which, subject to such reasonable regulations as it may prescribe, it will register, and will register the transfer of Securities as provided in this Article. Such Security Register or Security Registers shall be in written form in the English language or in any other form capable of being converted into such form within a reasonable time. At all reasonable times such Security Register or Security Registers shall be open for inspection by the Trustee. The initial Registrar shall be the Trustee.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due presentation for registration of transfer of any Security of any series at each such office or agency, the Company shall execute a new Security or Securities of the same series, in each case, of any authorized denominations and of a like aggregate Principal Amount in the name of the designated transferee or transferees, the applicable Guarantors, if any, shall execute the Guarantees endorsed thereon and, upon receipt of a Company Order, the Trustee shall authenticate and make available for delivery such Securities.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option of the Holder, Securities of any series (except a Security in global form) may be exchanged for other Securities of the same series, of any authorized denominations and of a like aggregate Principal Amount and Stated Maturity, upon surrender of the Securities to be exchanged at such office or agency. Whenever any Securities are so surrendered for exchange, the Company shall execute the Securities which the Holder making the exchange is entitled to receive, the applicable Guarantors, if any, shall execute the Guarantees endorsed thereon and, upon receipt of a Company Order, the Trustee shall authenticate and make available for delivery such Securities.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Holder may transfer a Security only by written application to the Registrar stating the name of the proposed transferee and otherwise complying with the terms of this Indenture. No such transfer shall be effected until, and such transferee shall succeed to the rights of a Holder only upon, final acceptance and registration of the transfer by the Registrar in the Security Register. Prior to the registration of any transfer by a Holder as provided herein, the Company, the Guarantors, if any, and the Trustee or any of their respective agents shall treat the person in whose name the Security is registered as the owner thereof for all purposes whether or not the Security shall be overdue, and neither the Company, the Guarantors, if any, the Trustee, nor any such agent shall be affected by notice to the contrary. Furthermore, any Holder of a Global Security shall, by acceptance of such Global Security, agree that transfers of beneficial interests in such Global Security may be effected only through a book entry system maintained by the Depository (or its nominee) and that ownership of a beneficial interest in the Security shall be required to be reflected in a book entry. When Securities are presented to the Registrar or a co-Registrar with a request to register the transfer or to exchange them for an equal Principal Amount of Securities of other authorized denominations, the Registrar shall register the transfer or make the exchange as requested if the requirements for such transactions set forth herein are met. To permit registrations of transfers and exchanges, the Company shall execute the Securities, the applicable Guarantors, if any, shall execute the Guarantees endorsed thereon and the Trustee shall authenticate Securities at the Registrar’s request.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require payment of a sum sufficient to cover any tax or other governmental charge that may be imposed in connection with any exchange or registration of transfer of Securities (other than any such transfer taxes or other similar governmental charge payable upon exchanges pursuant to Section 3.11, 9.05 or 11.03). No service charge to any Holder shall be made for any such transaction.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not be required to exchange or register a transfer of (a) any Securities of any series for a period of 15 calendar days next preceding the first mailing of notice of redemption of Securities of that series to be redeemed, or (b) any Securities of any series selected, called or being called for redemption except, in the case of any Security of any series where public notice has been given that such Security is to be redeemed in part, the portion thereof not so to be redeemed.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Securities issued upon any transfer or exchange of Securities shall be valid obligations of the Company, evidencing the same debt, and entitled to the same benefits under this Indenture, as the Securities surrendered upon such transfer or exchange.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sz w:val="20"/>
          <w:bdr w:val="single" w:sz="8" w:space="1" w:color="000000"/>
        </w:rPr>
      </w:pPr>
      <w:r>
        <w:rPr>
          <w:sz w:val="20"/>
          <w:bdr w:val="single" w:sz="8" w:space="1" w:color="000000"/>
        </w:rPr>
        <w:t>-12-</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3.08.          </w:t>
      </w:r>
      <w:r>
        <w:rPr>
          <w:rFonts w:ascii="Times New Roman;Times;Serif" w:hAnsi="Times New Roman;Times;Serif"/>
          <w:b w:val="false"/>
          <w:i w:val="false"/>
          <w:caps w:val="false"/>
          <w:smallCaps w:val="false"/>
          <w:sz w:val="20"/>
          <w:u w:val="single"/>
        </w:rPr>
        <w:t>Book-Entry Provisions for Global Securities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Global Security initially shall (i) be registered in the name of the Depositary for such Global Securities or the nominee of such Depositary, (ii) be delivered to the Trustee as custodian for such Depositary and (iii) bear legends as set forth in Section 3.06.</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Members of, or participants in, the Depositary (“Agent Members”) shall have no rights under this Indenture with respect to any Global Security held on their behalf by the Depositary, or the Trustee as its custodian, or under the Global Security, and the Depositary may be treated by the Company, each Guarantor, if any, the Trustee and any of their respective agents as the absolute owner of such Global Security for all purposes whatsoever. Notwithstanding the foregoing, nothing herein shall prevent the Company, each such Guarantor, the Trustee or any of such agents from giving effect to any written certification, proxy or other authorization furnished by the Depositary or impair, as between the Depositary and its Agent Members, the operation of customary practices governing the exercise of the rights of a holder of any Security.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Transfers of a Global Security shall be limited to transfers of such Global Security in whole, but not in part, to the Depositary for such series, its successors or their respective nominees. The Company may at any time and in its sole discretion determine that the Securities of a series issued in the form of one or more Global Securities shall no longer be represented by such Global Securities. In such event, the Company will execute Securities of such series of like tenor and terms in definitive form in an aggregate Principal Amount equal to the Principal Amount of the Global Security or Securities of such series, the applicable Guarantors, if any, shall execute the Guarantees endorsed thereon and the Trustee, upon receipt of a Company Order, will authenticate and deliver such definitive Securities in exchange for such Global Security or Securities. Interests of beneficial owners in a Global Security may be transferred in accordance with the rules and procedures of the Depositary.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Physical Securities shall be transferred to all beneficial owners identified by the Depositary in exchange for their beneficial interests in a Global Security, if (i) the Depositary (A) notifies the Company that it is unwilling or unable to continue as Depositary for such Global Security, and a successor depositary is not appointed by the Company within 90 calendar days of such notice, or (B) ceases to be qualified to serve as Depositary and a successor depositary is not appointed by the Company within 90 calendar days of such notice, (ii) the Company executes and delivers to the Trustee a Company Order that such Global Security shall be so transferable, registrable and exchangeable, and such transfers shall be registrable, or (iii) an Event of Default of which the Trustee has actual notice has occurred and is continuing and the Registrar has received a request from a beneficial owner to issue such Physical Securities, and if the Trustee is the Registrar, a Company Order or written confirmation from the Depositary identifying the beneficial owner.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Any beneficial interest in one of the Global Securities that is transferred to a person who takes delivery in the form of an interest in the other Global Security will, upon transfer, cease to be an interest in such Global Security and become an interest in the other Global Security and, accordingly, will thereafter be subject to all transfer restrictions, if any, and other procedures applicable to beneficial interests in such other Global Security for as long as it remains such an interest.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In connection with any transfer of a portion of the beneficial interests in a Global Security to beneficial owners pursuant to paragraph (b) of this Section 3.08, the Registrar shall reflect on its books and records the date and a decrease in the Principal Amount of such Global Security in an amount equal to the Principal Amount of the beneficial interest in such Global Security to be transferred, and the Company shall execute, and the Trustee shall authenticate and make available for delivery, one or more Physical Securities of like tenor and amount.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In connection with the transfer of an entire Global Security to beneficial owners pursuant to paragraph (b) of this Section, such Global Security shall be deemed to be surrendered to the Trustee for cancellation, and the Company shall execute, and upon receipt of a Company Order the Trustee shall authenticate and deliver, to each beneficial owner identified by the Depositary in exchange for its beneficial interest in such Global Security, an equal Principal Amount of Physical Securities of authorized denominations.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sz w:val="20"/>
          <w:bdr w:val="single" w:sz="8" w:space="1" w:color="000000"/>
        </w:rPr>
      </w:pPr>
      <w:r>
        <w:rPr>
          <w:sz w:val="20"/>
          <w:bdr w:val="single" w:sz="8" w:space="1" w:color="000000"/>
        </w:rPr>
        <w:t>-13-</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registered holder of a Global Security may grant proxies and otherwise authorize any person, including Agent Members and persons that may hold interests through Agent Members, to take any action which a Holder is entitled to take under this Indenture or the Securities of such series.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3.09.          </w:t>
      </w:r>
      <w:r>
        <w:rPr>
          <w:rFonts w:ascii="Times New Roman;Times;Serif" w:hAnsi="Times New Roman;Times;Serif"/>
          <w:b w:val="false"/>
          <w:i w:val="false"/>
          <w:caps w:val="false"/>
          <w:smallCaps w:val="false"/>
          <w:sz w:val="20"/>
          <w:u w:val="single"/>
        </w:rPr>
        <w:t>Mutilated, Defaced, Destroyed, Lost and Stolen Securities</w:t>
      </w:r>
      <w:r>
        <w:rPr>
          <w:rFonts w:ascii="Times New Roman;Times;Serif" w:hAnsi="Times New Roman;Times;Serif"/>
          <w:b w:val="false"/>
          <w:i w:val="false"/>
          <w:caps w:val="false"/>
          <w:smallCaps w:val="false"/>
          <w:sz w:val="20"/>
        </w:rPr>
        <w:t>. In case any temporary or definitive Security shall become mutilated, defaced or be apparently destroyed, lost or stolen, the Company in its discretion may execute a new Security of the same series bearing a number not contemporaneously outstanding, the applicable Guarantors, if any, shall execute the Guarantees endorsed thereon and, upon the written request of any officer of the Company and delivery to the Trustee of all documents and certificates as required by this Indenture, the Trustee shall authenticate and make available for delivery such Security, in exchange and substitution for the mutilated or defaced Security, or in lieu of and substitution for the Security so apparently destroyed, lost or stolen. In every case the applicant for a substitute Security shall furnish to the Company, each Guarantor, if any, the Trustee and any of their respective agents, such security or indemnity as may be required by each of them to indemnify and defend and to save each of them harmless and, in every case of destruction, loss or theft evidence to their satisfaction of the apparent destruction, loss or theft of such Security and of the ownership thereof.</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issuance of any substitute Security, the Company may require the payment of a sum sufficient to cover any tax or other governmental charge that may be imposed in relation thereto and any other expenses (including the fees and expenses of the Trustee) connected therewith. In case any Security which has matured or is about to mature, or has been called for redemption in full, shall become mutilated or defaced or be apparently destroyed, lost or stolen, the Company may, instead of issuing a substitute Security of the same series, pay or authorize the payment of the same (without surrender thereof except in the case of a mutilated or defaced Security), if the applicant for such payment shall furnish to the Company, each Guarantor, if any, the Trustee and any of their respective agents such Security or indemnity as any of them may require to save each of them harmless from all risks, however remote, and, in every case of apparent destruction, loss or theft, the applicant shall also furnish to the Company, each such Guarantor, the Trustee and any of such agents evidence to their satisfaction of the apparent destruction, loss or theft of such Security and of the ownership thereof.</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Every substitute Security and the Guarantee endorsed thereon, if any, issued pursuant to the provisions of this Section by virtue of the fact that any Security is apparently destroyed, lost or stolen shall constitute an additional contractual obligation of the Company and any Guarantor, as applicable, whether or not the apparently destroyed, lost or stolen Security shall be at any time enforceable by anyone and shall be entitled to all the benefits of (but shall be subject to all the limitations of rights set forth in) this Indenture equally and proportionately with any and all other Securities and the Guarantees endorsed thereon, if any, duly authenticated and delivered hereunder. All Securities shall be held and owned upon the express condition that, to the extent permitted by law, with respect to the holder of a substitute Security, the foregoing provisions are exclusive with respect to the replacement or payment of mutilated, defaced, or apparently destroyed, lost or stolen Securities and shall preclude any and all other rights or remedies notwithstanding any law or statute existing or hereafter enacted to the contrary with respect to the replacement or payment of negotiable instruments or other securities without their surrender.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3.10.         </w:t>
      </w:r>
      <w:r>
        <w:rPr>
          <w:rFonts w:ascii="Times New Roman;Times;Serif" w:hAnsi="Times New Roman;Times;Serif"/>
          <w:b w:val="false"/>
          <w:i w:val="false"/>
          <w:caps w:val="false"/>
          <w:smallCaps w:val="false"/>
          <w:sz w:val="20"/>
          <w:u w:val="single"/>
        </w:rPr>
        <w:t>Cancellation of Securities</w:t>
      </w:r>
      <w:r>
        <w:rPr>
          <w:rFonts w:ascii="Times New Roman;Times;Serif" w:hAnsi="Times New Roman;Times;Serif"/>
          <w:b w:val="false"/>
          <w:i w:val="false"/>
          <w:caps w:val="false"/>
          <w:smallCaps w:val="false"/>
          <w:sz w:val="20"/>
        </w:rPr>
        <w:t>. All Securities surrendered for payment, redemption, registration of transfer or exchange, if surrendered to the Company, any Guarantor, the Trustee or any of their respective agents, shall be delivered to the Trustee for cancellation or, if surrendered to the Trustee, shall be cancelled by it; and no Securities shall be issued in lieu thereof except as expressly permitted by any of the provisions of this Indenture. The Trustee shall dispose of cancelled Securities in accordance with its customary procedures. If the Company or any Guarantor shall acquire any of the Securities, such acquisition shall not operate as a redemption or satisfaction of the indebtedness represented by such Securities unless and until the same are delivered to the Trustee for cancellation.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3.11.          </w:t>
      </w:r>
      <w:r>
        <w:rPr>
          <w:rFonts w:ascii="Times New Roman;Times;Serif" w:hAnsi="Times New Roman;Times;Serif"/>
          <w:b w:val="false"/>
          <w:i w:val="false"/>
          <w:caps w:val="false"/>
          <w:smallCaps w:val="false"/>
          <w:sz w:val="20"/>
          <w:u w:val="single"/>
        </w:rPr>
        <w:t>Temporary Securities</w:t>
      </w:r>
      <w:r>
        <w:rPr>
          <w:rFonts w:ascii="Times New Roman;Times;Serif" w:hAnsi="Times New Roman;Times;Serif"/>
          <w:b w:val="false"/>
          <w:i w:val="false"/>
          <w:caps w:val="false"/>
          <w:smallCaps w:val="false"/>
          <w:sz w:val="20"/>
        </w:rPr>
        <w:t>. Pending the preparation of definitive Securities of any series, the Company may execute and the Trustee shall authenticate and make available for delivery temporary Securities of such series (printed, lithographed, typewritten or otherwise reproduced, in each case in form satisfactory to the Trustee). Temporary Securities shall be issuable as registered Securities of such series without coupons, of any authorized denomination, and substantially in the form of the definitive Securities of such series, and if the Securities are to be guaranteed, having endorsed thereon the Guarantees executed by each Guarantor, but in all cases with such appropriate omissions, insertions and variations as may be appropriate for temporary Securities, all as may be determined by the Company and the Guarantors, if any, with the concurrence of the Trustee. Temporary Securities may contain such reference to any provisions of this Indenture as may be appropriate. Every temporary Security shall be executed by the Company and endorsed by each Guarantor, if any, and be authenticated by the Trustee upon the same conditions and in substantially the same manner, and with like effect, as the definitive Securities of such series. Without unreasonable delay the Company shall execute and shall furnish definitive Securities of such series and thereupon temporary Securities of such series may be surrendered in exchange therefor without charge at each office or agency to be maintained by the Company for the purpose pursuant to Section 4.02, and upon delivery to the Trustee of all documents and certificates as required by this Indenture, the Trustee shall authenticate and make available for delivery in exchange for such temporary Securities a like aggregate principal amount of definitive Securities of such series of authorized denominations, and if the Securities are guaranteed, having endorsed thereon the Guarantees executed by each Guarantor. Until so exchanged the temporary Securities of such series shall be entitled to the same benefits under this Indenture as definitive Securities of such series.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sz w:val="20"/>
          <w:bdr w:val="single" w:sz="8" w:space="1" w:color="000000"/>
        </w:rPr>
      </w:pPr>
      <w:r>
        <w:rPr>
          <w:sz w:val="20"/>
          <w:bdr w:val="single" w:sz="8" w:space="1" w:color="000000"/>
        </w:rPr>
        <w:t>-14-</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3.12.          </w:t>
      </w:r>
      <w:r>
        <w:rPr>
          <w:rFonts w:ascii="Times New Roman;Times;Serif" w:hAnsi="Times New Roman;Times;Serif"/>
          <w:b w:val="false"/>
          <w:i w:val="false"/>
          <w:caps w:val="false"/>
          <w:smallCaps w:val="false"/>
          <w:sz w:val="20"/>
          <w:u w:val="single"/>
        </w:rPr>
        <w:t>CUSIP and ISIN Numbers</w:t>
      </w:r>
      <w:r>
        <w:rPr>
          <w:rFonts w:ascii="Times New Roman;Times;Serif" w:hAnsi="Times New Roman;Times;Serif"/>
          <w:b w:val="false"/>
          <w:i w:val="false"/>
          <w:caps w:val="false"/>
          <w:smallCaps w:val="false"/>
          <w:sz w:val="20"/>
        </w:rPr>
        <w:t xml:space="preserve">. The Company in issuing the Securities of any series may use a “CUSIP” and “ISIN” number (if then generally in use), and, if so, the Trustee shall use the CUSIP numbers or ISIN numbers, as the case may be, in notices of redemption or exchange as a convenience to Holders of such series; </w:t>
      </w:r>
      <w:r>
        <w:rPr>
          <w:rFonts w:ascii="Times New Roman;Times;Serif" w:hAnsi="Times New Roman;Times;Serif"/>
          <w:b w:val="false"/>
          <w:i w:val="false"/>
          <w:caps w:val="false"/>
          <w:smallCaps w:val="false"/>
          <w:sz w:val="20"/>
          <w:u w:val="single"/>
        </w:rPr>
        <w:t xml:space="preserve">provided </w:t>
      </w:r>
      <w:r>
        <w:rPr>
          <w:rFonts w:ascii="Times New Roman;Times;Serif" w:hAnsi="Times New Roman;Times;Serif"/>
          <w:b w:val="false"/>
          <w:i w:val="false"/>
          <w:caps w:val="false"/>
          <w:smallCaps w:val="false"/>
          <w:sz w:val="20"/>
        </w:rPr>
        <w:t>that any such notice shall state that no representation is made as to the correctness of such numbers either as printed on the Securities or as contained in any notice of redemption or exchange and that reliance may be placed only on the other identification numbers printed on the Securities and any such redemption shall not be affected by any defect in or omission of such numbers. The Company shall promptly notify the Trustee of any change in the CUSIP numbers or ISIN numbers.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4</w:t>
        <w:br/>
        <w:br/>
        <w:t>CERTAIN COVENANTS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4.01.          </w:t>
      </w:r>
      <w:r>
        <w:rPr>
          <w:rFonts w:ascii="Times New Roman;Times;Serif" w:hAnsi="Times New Roman;Times;Serif"/>
          <w:b w:val="false"/>
          <w:i w:val="false"/>
          <w:caps w:val="false"/>
          <w:smallCaps w:val="false"/>
          <w:sz w:val="20"/>
          <w:u w:val="single"/>
        </w:rPr>
        <w:t>Payment of Principal, Premium and Interest on Securities</w:t>
      </w:r>
      <w:r>
        <w:rPr>
          <w:rFonts w:ascii="Times New Roman;Times;Serif" w:hAnsi="Times New Roman;Times;Serif"/>
          <w:b w:val="false"/>
          <w:i w:val="false"/>
          <w:caps w:val="false"/>
          <w:smallCaps w:val="false"/>
          <w:sz w:val="20"/>
        </w:rPr>
        <w:t>. The Company, for the benefit of each series of the Securities, will duly and punctually pay or cause to be paid the principal of and any premium and interest on the Securities of that series in accordance with the terms of such Securities and this Indenture.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4.02.          </w:t>
      </w:r>
      <w:r>
        <w:rPr>
          <w:rFonts w:ascii="Times New Roman;Times;Serif" w:hAnsi="Times New Roman;Times;Serif"/>
          <w:b w:val="false"/>
          <w:i w:val="false"/>
          <w:caps w:val="false"/>
          <w:smallCaps w:val="false"/>
          <w:sz w:val="20"/>
          <w:u w:val="single"/>
        </w:rPr>
        <w:t>Maintenance of Office or Agency</w:t>
      </w:r>
      <w:r>
        <w:rPr>
          <w:rFonts w:ascii="Times New Roman;Times;Serif" w:hAnsi="Times New Roman;Times;Serif"/>
          <w:b w:val="false"/>
          <w:i w:val="false"/>
          <w:caps w:val="false"/>
          <w:smallCaps w:val="false"/>
          <w:sz w:val="20"/>
        </w:rPr>
        <w:t>. The Company will maintain a Payment Office where Securities may be presented or surrendered for payment, where Securities may be surrendered for registration of transfer or exchange, and where notices and demands to or upon the Company in respect of the Securities and this Indenture may be served. The Company will give prompt written notice to the Trustee of the location, and any change in the location of, such office or agency. If at any time the Company shall fail to maintain any such required office or agency or shall fail to furnish the Trustee with the address thereof, such presentations, surrenders, notices and demands may be made or served at the Corporate Trust Office of the Trustee, and the Company hereby initially appoints the Trustee at its office or agency as its agent to receive all such presentations, surrenders, notices and demands.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may also from time to time designate one or more other offices or agencies where the Securities of one or more series may be presented or surrendered for any or all such purposes and may from time to time rescind such designations;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 such designation or rescission shall in any manner relieve the Company of its obligation to maintain an office or agency in accordance with the requirements set forth above for Securities of any series for such purposes. The Company will give prompt written notice to the Trustee of any such designation or rescission and of any change in the location of any such other office or agency.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4.03.          </w:t>
      </w:r>
      <w:r>
        <w:rPr>
          <w:rFonts w:ascii="Times New Roman;Times;Serif" w:hAnsi="Times New Roman;Times;Serif"/>
          <w:b w:val="false"/>
          <w:i w:val="false"/>
          <w:caps w:val="false"/>
          <w:smallCaps w:val="false"/>
          <w:sz w:val="20"/>
          <w:u w:val="single"/>
        </w:rPr>
        <w:t>Money for Securities Payments to be Held in Trust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the Company shall at any time act as its own Paying Agent with respect to any series of Securities, it will, on or before each due date of the principal of or any premium or interest on any of the Securities of that series, segregate and hold in trust for the benefit of the Persons entitled thereto a sum sufficient to pay the principal and any premium and interest so becoming due until such sums shall be paid to such Persons or otherwise disposed of as herein provided and will promptly notify the Trustee of its action or failure so to act.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sz w:val="20"/>
          <w:bdr w:val="single" w:sz="8" w:space="1" w:color="000000"/>
        </w:rPr>
      </w:pPr>
      <w:r>
        <w:rPr>
          <w:sz w:val="20"/>
          <w:bdr w:val="single" w:sz="8" w:space="1" w:color="000000"/>
        </w:rPr>
        <w:t>-15-</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Whenever the Company shall have one or more Paying Agents for any series of Securities, it will, prior to each due date of the principal of or any premium or interest on any Securities of that series, deposit with a Paying Agent a sum sufficient to pay such amount, such sum to be held as provided by the Trust Indenture Act, and (unless such Paying Agent is the Trustee) the Company will promptly notify the Trustee of its action or failure so to act.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Company will cause each Paying Agent for any series of Securities (other than the Trustee) to execute and deliver to the Trustee an instrument in which such Paying Agent will agree with the Trustee, subject to the provisions of this Section 4.03, that such Paying Agent will (i) comply with the provisions of the Trust Indenture Act applicable to it as a Paying Agent; (ii) hold all sums held by it for the payment of the principal of (and premium, if any) or interest, if any, on the Securities of that series in trust for the benefit of the Holders until such sums shall be paid to such Holders or otherwise disposed of as herein provided; (iii) give the Trustee notice of any Default by the Company or any Guarantor (or any other obligor upon the Securities) in the making of any payment of principal (and premium, if any) or interest, if any, on the Securities of that series; and (iv) during the continuance of any Default by the Company (or any other obligor upon the Securities of that series) in the making of any payment in respect of the Securities of that series, and upon the written request of that Trustee, forthwith pay to the Trustee all sums held in trust by such Paying Agent for payment in respect of the Securities of that series.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Company may at any time, for the purpose of obtaining the satisfaction and discharge of this Indenture or for any other purpose, pay, or by Company Order direct any Paying Agent to pay, to the Trustee all sums held in trust by the Company or such Paying Agent, such sums to be held by the Trustee upon the same trusts as those upon which such sums were held by the Company or such Paying Agent; and, upon such payment by any Paying Agent to the Trustee, such Paying Agent will be released from all further liability with respect to such money.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Any money deposited with the Trustee or any Paying Agent, or then held by the Company, in trust for the payment of the principal of or any premium or interest on any Security of any series and remaining unclaimed for two years after such principal, premium, or interest has become due and payable and was deposited with the Paying Agent will be paid to the Company upon a Company Request (or, if then held by the Company, will be discharged from such trust) subject to any applicable abandoned property law; and the Holder of such Security will thereafter, as an unsecured general creditor, look only to the Company for payment thereof, and all liability of the Trustee or such Paying Agent with respect to such trust money will thereupon cease.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4.04.          </w:t>
      </w:r>
      <w:r>
        <w:rPr>
          <w:rFonts w:ascii="Times New Roman;Times;Serif" w:hAnsi="Times New Roman;Times;Serif"/>
          <w:b w:val="false"/>
          <w:i w:val="false"/>
          <w:caps w:val="false"/>
          <w:smallCaps w:val="false"/>
          <w:sz w:val="20"/>
          <w:u w:val="single"/>
        </w:rPr>
        <w:t>Existence</w:t>
      </w:r>
      <w:r>
        <w:rPr>
          <w:rFonts w:ascii="Times New Roman;Times;Serif" w:hAnsi="Times New Roman;Times;Serif"/>
          <w:b w:val="false"/>
          <w:i w:val="false"/>
          <w:caps w:val="false"/>
          <w:smallCaps w:val="false"/>
          <w:sz w:val="20"/>
        </w:rPr>
        <w:t xml:space="preserve">. Subject to Article 10, the Company will do or cause to be done all things necessary to preserve and keep in full force and effect its existence and rights (charter and statutory);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Company will not be required to preserve any such right or franchise if the Board of Directors determines that the preservation thereof is no longer desirable in the conduct of the business of the Company and that the loss thereof will not be disadvantageous in any material respect to the Holders.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4.05.          </w:t>
      </w:r>
      <w:r>
        <w:rPr>
          <w:rFonts w:ascii="Times New Roman;Times;Serif" w:hAnsi="Times New Roman;Times;Serif"/>
          <w:b w:val="false"/>
          <w:i w:val="false"/>
          <w:caps w:val="false"/>
          <w:smallCaps w:val="false"/>
          <w:sz w:val="20"/>
          <w:u w:val="single"/>
        </w:rPr>
        <w:t>Statement by Officers as to Default</w:t>
      </w:r>
      <w:r>
        <w:rPr>
          <w:rFonts w:ascii="Times New Roman;Times;Serif" w:hAnsi="Times New Roman;Times;Serif"/>
          <w:b w:val="false"/>
          <w:i w:val="false"/>
          <w:caps w:val="false"/>
          <w:smallCaps w:val="false"/>
          <w:sz w:val="20"/>
        </w:rPr>
        <w:t>. The Company and, to the extent required by the TIA, each Guarantor, if any, will deliver to the Trustee, within 120 calendar days after the end of each fiscal year of the Company ending after the first date any series of Securities issued under this Indenture is outstanding, a certificate signed by the principal executive officer, principal financial officer or principal accounting officer of the Company or such Guarantor stating whether or not to the knowledge of such person after due inquiry the Company or such Guarantor is in default in the performance and observance of any of the terms, provisions, and conditions of this Indenture (without regard to any period of grace or requirement of notice provided hereunder) and, if the Company or such Guarantor is in default, specifying all such defaults and the nature and status thereof of which such person may have such knowledge. The Company or such Guarantor shall deliver to the Trustee, as soon as possible and in any event within seven calendar days after any such aforementioned officer of the Company or such Guarantor becomes aware of the occurrence of any Event of Default or an event which, with notice or the lapse of time or both, would constitute an Event of Default, an Officers’ Certificate setting forth the details of such Event of Default or default and the action which the Company or such Guarantor proposes to take with respect thereto.</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sz w:val="20"/>
          <w:bdr w:val="single" w:sz="8" w:space="1" w:color="000000"/>
        </w:rPr>
      </w:pPr>
      <w:r>
        <w:rPr>
          <w:sz w:val="20"/>
          <w:bdr w:val="single" w:sz="8" w:space="1" w:color="000000"/>
        </w:rPr>
        <w:t>-16-</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4.06.          </w:t>
      </w:r>
      <w:r>
        <w:rPr>
          <w:rFonts w:ascii="Times New Roman;Times;Serif" w:hAnsi="Times New Roman;Times;Serif"/>
          <w:b w:val="false"/>
          <w:i w:val="false"/>
          <w:caps w:val="false"/>
          <w:smallCaps w:val="false"/>
          <w:sz w:val="20"/>
          <w:u w:val="single"/>
        </w:rPr>
        <w:t>Waiver of Certain Covenants</w:t>
      </w:r>
      <w:r>
        <w:rPr>
          <w:rFonts w:ascii="Times New Roman;Times;Serif" w:hAnsi="Times New Roman;Times;Serif"/>
          <w:b w:val="false"/>
          <w:i w:val="false"/>
          <w:caps w:val="false"/>
          <w:smallCaps w:val="false"/>
          <w:sz w:val="20"/>
        </w:rPr>
        <w:t>. The Company and each Guarantor, if any, may omit in any particular instance to comply with any term, provision, or condition set forth in this Indenture or any applicable supplemental indenture, with respect to the Securities of any series, if the Holders of a majority in Principal Amount of all outstanding Securities of such series shall, by act of such Holders in accordance with Section 7.01, either waive such compliance in such instance or generally waive compliance with such term, provision, or condition in accordance with Article 9 and Section 5.07, but no such waiver will extend to or affect such term, provision or condition except to the extent so expressly waived, and, until such waiver shall become effective, the obligations of the Company and such Guarantor and the duties of the Trustee in respect of any such term, provision, or condition will remain in full force and effect.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5</w:t>
        <w:br/>
        <w:br/>
        <w:t>REMEDIES OF THE TRUSTEE AND HOLDERS ON EVENT OF DEFAULT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5.01.          </w:t>
      </w:r>
      <w:r>
        <w:rPr>
          <w:rFonts w:ascii="Times New Roman;Times;Serif" w:hAnsi="Times New Roman;Times;Serif"/>
          <w:b w:val="false"/>
          <w:i w:val="false"/>
          <w:caps w:val="false"/>
          <w:smallCaps w:val="false"/>
          <w:sz w:val="20"/>
          <w:u w:val="single"/>
        </w:rPr>
        <w:t>Events of Default</w:t>
      </w:r>
      <w:r>
        <w:rPr>
          <w:rFonts w:ascii="Times New Roman;Times;Serif" w:hAnsi="Times New Roman;Times;Serif"/>
          <w:b w:val="false"/>
          <w:i w:val="false"/>
          <w:caps w:val="false"/>
          <w:smallCaps w:val="false"/>
          <w:sz w:val="20"/>
        </w:rPr>
        <w:t>. Each of the following events constitutes an “Event of Default” wherever used herein with respect to Securities of any series: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default for 30 calendar days in the payment when due of interest on the Securities of that series;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default in payment when due of the principal (whether at Stated Maturity, upon redemption (if applicable), upon any required repurchase by the Company (if applicable) or otherwise) of or premium, if any, on the Securities of that series;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default by the Company or any Guarantor of such series of Securities in the observance or performance of any other covenant or agreement contained in this Indenture or as specified pursuant to Section 3.01 (other than a default referred to in clauses (a) or (b) above, or an agreement, covenant or provision that has expressly been included in this Indenture solely for the benefit of one or more series of Securities other than that series) which default continues for a period of 60 calendar days after the Company or such Guarantor receives written notice specifying the default (and demanding that such default be remedied) from the Trustee or the Holders of at least 25% of the Principal Amount of Securities of that series then outstanding (with a copy to the Trustee if given by Holders) (except in the case of a default with respect to Section 10.01 of this Indenture, which will constitute an Event of Default with such notice requirement but without such passage of time requirement).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entry by a court having jurisdiction in the premises of (i) a decree or order for relief in respect of the Company or a Guarantor of such series of Securities in an involuntary case or proceeding under any applicable federal or state bankruptcy, insolvency, reorganization, or other similar law or (ii) a decree or order adjudging the Company or such Guarantor bankrupt or insolvent, or approving as properly filed a petition seeking reorganization, arrangement, adjustment, or composition of or in respect of the Company or such Guarantor under any applicable federal or state law, or appointing a custodian, receiver, liquidator, assignee, trustee, sequestrator, or other similar official of the Company or such Guarantor or of any substantial part of its property, or ordering the winding up or liquidation of its affairs, and the continuance of any such decree or order for relief or any such other decree or order unstayed and in effect for a period of 60 consecutive calendar days;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commencement by the Company or a Guarantor of such series of Securities of a voluntary case or proceeding under any applicable federal or state bankruptcy, insolvency, reorganization, or other similar law or of any other case or proceeding to be adjudicated bankrupt or insolvent, or the consent by it to the entry of a decree or order for relief in respect of the Company or such Guarantor in an involuntary case or proceeding under any applicable federal or state bankruptcy, insolvency, reorganization, or other similar law or to the commencement of any bankruptcy or insolvency case or proceeding against it, or the filing by it of a petition or answer or consent seeking reorganization or relief with respect to the Company or such Guarantor under any applicable federal or state bankruptcy, insolvency, reorganization, or other similar law, or the consent by it to the filing of such petition or to the appointment of or taking possession by a custodian, receiver, liquidator, assignee, trustee, sequestrator, or other similar official of the Company or such Guarantor or of any substantial part of its property pursuant to any such law, or the making by it of an assignment for the benefit of creditors, or the admission by it in writing of its inability to pay its debts generally as they become due, or the taking of corporate action by the Company or such Guarantor in furtherance of any such action;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sz w:val="20"/>
          <w:bdr w:val="single" w:sz="8" w:space="1" w:color="000000"/>
        </w:rPr>
      </w:pPr>
      <w:r>
        <w:rPr>
          <w:sz w:val="20"/>
          <w:bdr w:val="single" w:sz="8" w:space="1" w:color="000000"/>
        </w:rPr>
        <w:t>-17-</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any Guarantee relating to such series Securities shall cease to be in full force and effect (other than in accordance with the terms of this Indenture) or any Guarantor denies or disaffirms its obligations under its Guarantee; or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any other Event of Default with respect to Securities of that series as specified pursuant to Section 3.01, which shall not have been remedied within the specified period after written notice, as specified in Section 5.01(c).</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5.02.         </w:t>
      </w:r>
      <w:r>
        <w:rPr>
          <w:rFonts w:ascii="Times New Roman;Times;Serif" w:hAnsi="Times New Roman;Times;Serif"/>
          <w:b w:val="false"/>
          <w:i w:val="false"/>
          <w:caps w:val="false"/>
          <w:smallCaps w:val="false"/>
          <w:sz w:val="20"/>
          <w:u w:val="single"/>
        </w:rPr>
        <w:t>Acceleration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If any Event of Default (other than an Event of Default specified in clause (d) or (e) of Section 5.01) occurs and is continuing with respect to Securities of any series, the Trustee by written notice to the Company or the Holders of at least 25% in aggregate Principal Amount of the then outstanding Securities of that series by written notice to the Company and the Trustee, may declare the unpaid principal of, premium, if any, and any accrued and unpaid interest on all the Securities of the affected series to be due and payable immediately. Except as set forth above, upon such declaration the principal of, premium, if any, and interest shall be due and payable immediately. If an Event of Default specified in clause (d) or (e) of Section 5.01 occurs with respect to the Company or any Guarantor, the unpaid principal of, premium, if any, and any accrued and unpaid interest on all the Securities shall </w:t>
      </w:r>
      <w:r>
        <w:rPr>
          <w:rFonts w:ascii="Times New Roman;Times;Serif" w:hAnsi="Times New Roman;Times;Serif"/>
          <w:b w:val="false"/>
          <w:i/>
          <w:caps w:val="false"/>
          <w:smallCaps w:val="false"/>
          <w:sz w:val="20"/>
        </w:rPr>
        <w:t>ipso facto</w:t>
      </w:r>
      <w:r>
        <w:rPr>
          <w:rFonts w:ascii="Times New Roman;Times;Serif" w:hAnsi="Times New Roman;Times;Serif"/>
          <w:b w:val="false"/>
          <w:i w:val="false"/>
          <w:caps w:val="false"/>
          <w:smallCaps w:val="false"/>
          <w:sz w:val="20"/>
        </w:rPr>
        <w:t xml:space="preserve"> become and be immediately due and payable without further action or notice on the part of the Trustee or any Holder.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At any time after such a declaration of acceleration with respect to the Securities of any series has been made and before a judgment or decree for payment of the money due has been obtained by the Trustee as hereinafter in this Article 5 provided, the Holders of a majority in Principal Amount of the outstanding Securities of such series, by written notice to the Company and the Trustee, may rescind and annul such declaration and its consequences if (i) the Company or a Guarantor has paid or deposited with the Trustee a sum sufficient to pay (A) all overdue interest on all of the Securities of that series, (B) the principal of (and premium, if any, on) Securities of that series which has become due otherwise than by such declaration of acceleration and any interest thereon at the rate or rates prescribed therefor in the Securities of that series, (C) to the extent that payment of such interest is lawful, interest upon overdue interest at the rate or rates prescribed therefor in the Securities of that series, and (D) all sums paid or advanced by the Trustee hereunder and the reasonable compensation, expenses, disbursements and advances of the Trustee and its agents and counsel and (ii) all Events of Default with respect to the Securities of that series, other than the non-payment of the principal of the Securities of that series which have become due solely by such declaration of acceleration, have been cured or waived as provided in Section 5.04. No such rescission will affect any subsequent default or impair any right consequent thereon.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5.03.          </w:t>
      </w:r>
      <w:r>
        <w:rPr>
          <w:rFonts w:ascii="Times New Roman;Times;Serif" w:hAnsi="Times New Roman;Times;Serif"/>
          <w:b w:val="false"/>
          <w:i w:val="false"/>
          <w:caps w:val="false"/>
          <w:smallCaps w:val="false"/>
          <w:sz w:val="20"/>
          <w:u w:val="single"/>
        </w:rPr>
        <w:t>Other Remedies</w:t>
      </w:r>
      <w:r>
        <w:rPr>
          <w:rFonts w:ascii="Times New Roman;Times;Serif" w:hAnsi="Times New Roman;Times;Serif"/>
          <w:b w:val="false"/>
          <w:i w:val="false"/>
          <w:caps w:val="false"/>
          <w:smallCaps w:val="false"/>
          <w:sz w:val="20"/>
        </w:rPr>
        <w:t>. If an Event of Default with respect to Securities of any series occurs and is continuing, the Trustee may pursue any available remedy to collect the payment of principal or interest on the Securities of such series or to enforce the performance of any provision of the Securities of such series or this Indenture.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may maintain a proceeding even if it does not possess any of the Securities of such series or does not produce any of them in the proceeding and any such proceeding instituted by the Trustee shall be brought in its own name as trustee of an express trust, and any recovery of judgment shall, after provision for the payment of the reasonable compensation, expenses, disbursements and advances of the Trustee, its agents and counsel, be for the ratable benefit of the Holders of the Securities in respect of which such judgment has been recovered. A delay or omission by the Trustee or any Holder in exercising any right or remedy accruing upon an Event of Default shall not impair the right or remedy or constitute a waiver of or acquiescence in the Event of Default. All remedies are cumulative to the extent permitted by law.</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sz w:val="20"/>
          <w:bdr w:val="single" w:sz="8" w:space="1" w:color="000000"/>
        </w:rPr>
      </w:pPr>
      <w:r>
        <w:rPr>
          <w:sz w:val="20"/>
          <w:bdr w:val="single" w:sz="8" w:space="1" w:color="000000"/>
        </w:rPr>
        <w:t>-18-</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5.04.          </w:t>
      </w:r>
      <w:r>
        <w:rPr>
          <w:rFonts w:ascii="Times New Roman;Times;Serif" w:hAnsi="Times New Roman;Times;Serif"/>
          <w:b w:val="false"/>
          <w:i w:val="false"/>
          <w:caps w:val="false"/>
          <w:smallCaps w:val="false"/>
          <w:sz w:val="20"/>
          <w:u w:val="single"/>
        </w:rPr>
        <w:t>Waiver of Past Defaults</w:t>
      </w:r>
      <w:r>
        <w:rPr>
          <w:rFonts w:ascii="Times New Roman;Times;Serif" w:hAnsi="Times New Roman;Times;Serif"/>
          <w:b w:val="false"/>
          <w:i w:val="false"/>
          <w:caps w:val="false"/>
          <w:smallCaps w:val="false"/>
          <w:sz w:val="20"/>
        </w:rPr>
        <w:t>. The Holders of not less than a majority in aggregate Principal Amount of the Securities of any series then outstanding by written notice to the Trustee may on behalf of the Holders of all of the Securities of such series waive any existing Default or Event of Default and its consequences under this Indenture except a continuing Default or Event of Default in the payment of the principal (whether at Stated Maturity, upon redemption (if applicable), upon any required repurchase by the Company (if applicable) or otherwise) of (and premium, if any) or interest, if any, on any Security of such series or, in the case of the Securities of any series that are convertible or exchangeable, in the payment or delivery of any consideration due upon conversion or exchange of the Securities of that series (if applicable). The Company may, but shall not be obligated to, fix a record date for the purpose of determining the Persons entitled to waive any past Default hereunder. If a record date is fixed, the Holders on such record date, or their duly designated proxies, and only such Persons, shall be entitled to waive any Default hereunder, whether or not such Holders remain Holders after such record date. Upon any such waiver, such Default shall cease to exist, and any Event of Default arising therefrom shall be deemed to have been cured for every purpose of this Indenture; but no such waiver shall extend to any subsequent or other Default or impair any right consequent thereon.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5.05.         </w:t>
      </w:r>
      <w:r>
        <w:rPr>
          <w:rFonts w:ascii="Times New Roman;Times;Serif" w:hAnsi="Times New Roman;Times;Serif"/>
          <w:b w:val="false"/>
          <w:i w:val="false"/>
          <w:caps w:val="false"/>
          <w:smallCaps w:val="false"/>
          <w:sz w:val="20"/>
          <w:u w:val="single"/>
        </w:rPr>
        <w:t>Control by Majority</w:t>
      </w:r>
      <w:r>
        <w:rPr>
          <w:rFonts w:ascii="Times New Roman;Times;Serif" w:hAnsi="Times New Roman;Times;Serif"/>
          <w:b w:val="false"/>
          <w:i w:val="false"/>
          <w:caps w:val="false"/>
          <w:smallCaps w:val="false"/>
          <w:sz w:val="20"/>
        </w:rPr>
        <w:t>. With respect to the Securities of any series, the Holders of a majority in aggregate Principal Amount of the then outstanding Securities of that series may direct the time, method and place of conducting any proceeding for any remedy available to the Trustee or exercising any trust or power conferred on it. However, the Trustee may refuse to follow any direction that conflicts with law or this Indenture, that the Trustee in good faith determines may be unduly prejudicial to the rights of other Holders of that series or that may involve or cause the Trustee any potential liability. The Trustee may take any other action which it deems proper which is not inconsistent with any such direction.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5.06.         </w:t>
      </w:r>
      <w:r>
        <w:rPr>
          <w:rFonts w:ascii="Times New Roman;Times;Serif" w:hAnsi="Times New Roman;Times;Serif"/>
          <w:b w:val="false"/>
          <w:i w:val="false"/>
          <w:caps w:val="false"/>
          <w:smallCaps w:val="false"/>
          <w:sz w:val="20"/>
          <w:u w:val="single"/>
        </w:rPr>
        <w:t>Limitation on Suits</w:t>
      </w:r>
      <w:r>
        <w:rPr>
          <w:rFonts w:ascii="Times New Roman;Times;Serif" w:hAnsi="Times New Roman;Times;Serif"/>
          <w:b w:val="false"/>
          <w:i w:val="false"/>
          <w:caps w:val="false"/>
          <w:smallCaps w:val="false"/>
          <w:sz w:val="20"/>
        </w:rPr>
        <w:t>. A Holder of any Security of any series may pursue a remedy with respect to this Indenture or the Securities of the applicable series only if:</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Holder gives to the Trustee written notice of a continuing Event of Default with respect to that series;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Holders of at least 25% in aggregate Principal Amount of the then outstanding Securities of that series make a written request to the Trustee to pursue the remedy;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such Holder or Holders provide to the Trustee indemnity satisfactory to the Trustee against any loss, liability or expense in connection with the pursuance of such remedy;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during the 60-day period specified in (e) below, the Holders of a majority in aggregate Principal Amount of the then outstanding Securities of such series do not give the Trustee a direction inconsistent with the request; and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Trustee does not comply with the request within 60 calendar days after receipt of the notice, request and the offer of indemnity.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shall not have any right in any manner whatever by virtue of, or by availing of, any provision of this Indenture or any Security to affect, disturb or prejudice the rights of any other such Holders or Holders of Securities of any other series, or to obtain or to seek to obtain priority or preference over any other Holders or to enforce any right under this Indenture, except in the manner herein provided and for the equal and ratable benefit of all such Holders.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5.07.          </w:t>
      </w:r>
      <w:r>
        <w:rPr>
          <w:rFonts w:ascii="Times New Roman;Times;Serif" w:hAnsi="Times New Roman;Times;Serif"/>
          <w:b w:val="false"/>
          <w:i w:val="false"/>
          <w:caps w:val="false"/>
          <w:smallCaps w:val="false"/>
          <w:sz w:val="20"/>
          <w:u w:val="single"/>
        </w:rPr>
        <w:t>Rights of Holders to Receive Payment</w:t>
      </w:r>
      <w:r>
        <w:rPr>
          <w:rFonts w:ascii="Times New Roman;Times;Serif" w:hAnsi="Times New Roman;Times;Serif"/>
          <w:b w:val="false"/>
          <w:i w:val="false"/>
          <w:caps w:val="false"/>
          <w:smallCaps w:val="false"/>
          <w:sz w:val="20"/>
        </w:rPr>
        <w:t>. Notwithstanding any other provision of this Indenture, the right of any Holder to receive payment of principal (whether at Stated Maturity, upon redemption (if applicable), upon any required repurchase by the Company (if applicable) or otherwise) of (and premium, if any) and interest, if any, on any Security or, if applicable, payment or delivery of any consideration due upon conversion or exchange of any Security, in each case, on or after the respective due dates expressed in such Security, or to bring suit for the enforcement of any such payment or delivery on or after such respective dates, shall not be impaired or affected without the consent of the Holder.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5.08.         </w:t>
      </w:r>
      <w:r>
        <w:rPr>
          <w:rFonts w:ascii="Times New Roman;Times;Serif" w:hAnsi="Times New Roman;Times;Serif"/>
          <w:b w:val="false"/>
          <w:i w:val="false"/>
          <w:caps w:val="false"/>
          <w:smallCaps w:val="false"/>
          <w:sz w:val="20"/>
          <w:u w:val="single"/>
        </w:rPr>
        <w:t>Collection Suit by Trustee</w:t>
      </w:r>
      <w:r>
        <w:rPr>
          <w:rFonts w:ascii="Times New Roman;Times;Serif" w:hAnsi="Times New Roman;Times;Serif"/>
          <w:b w:val="false"/>
          <w:i w:val="false"/>
          <w:caps w:val="false"/>
          <w:smallCaps w:val="false"/>
          <w:sz w:val="20"/>
        </w:rPr>
        <w:t>. If an Event of Default specified in Sections 5.01(a) or 5.01(b) occurs and is continuing, the Trustee is authorized to recover judgment in its own name and as trustee of an express trust against the Company, any Guarantor or any other obligor for the whole amount of principal (and premium, if any) and interest, if any, remaining unpaid on any Securities of such series and interest on overdue principal and, to the extent lawful, interest and such further amount as shall be sufficient to cover amounts due the Trustee under Section 6.07 hereof, including the costs and expenses of collection, including the reasonable compensation, expenses, disbursements and advances of the Trustee, its agents and counsel.</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sz w:val="20"/>
          <w:bdr w:val="single" w:sz="8" w:space="1" w:color="000000"/>
        </w:rPr>
      </w:pPr>
      <w:r>
        <w:rPr>
          <w:sz w:val="20"/>
          <w:bdr w:val="single" w:sz="8" w:space="1" w:color="000000"/>
        </w:rPr>
        <w:t>-19-</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5.09.          </w:t>
      </w:r>
      <w:r>
        <w:rPr>
          <w:rFonts w:ascii="Times New Roman;Times;Serif" w:hAnsi="Times New Roman;Times;Serif"/>
          <w:b w:val="false"/>
          <w:i w:val="false"/>
          <w:caps w:val="false"/>
          <w:smallCaps w:val="false"/>
          <w:sz w:val="20"/>
          <w:u w:val="single"/>
        </w:rPr>
        <w:t>Trustee May File Proofs of Claim</w:t>
      </w:r>
      <w:r>
        <w:rPr>
          <w:rFonts w:ascii="Times New Roman;Times;Serif" w:hAnsi="Times New Roman;Times;Serif"/>
          <w:b w:val="false"/>
          <w:i w:val="false"/>
          <w:caps w:val="false"/>
          <w:smallCaps w:val="false"/>
          <w:sz w:val="20"/>
        </w:rPr>
        <w:t>. The Trustee is authorized to file such proofs of claim and other papers or documents as may be necessary or advisable in order to have the claims of the Trustee (including any claim for the reasonable compensation, expenses, disbursements and advances of the Trustee, its agents and counsel) and the Holders allowed in any judicial proceedings relative to the Company or any Guarantor (or any other obligor upon the Securities), its creditors or its property and shall be entitled and empowered to collect, receive and distribute any money or other property payable or deliverable on any such claims and any custodian in any such judicial proceeding is hereby authorized by each Holder to make such payments to the Trustee, and in the event that the Trustee shall consent to the making of such payments directly to the Holders, to pay to the Trustee any amount due to it for the reasonable compensation, expenses, disbursements and advances of the Trustee, its agents and counsel, and any other amounts due the Trustee under Section 6.07 hereof. To the extent that the payment of any such compensation, expenses, disbursements and advances of the Trustee, its agents and counsel, and any other amounts due the Trustee under Section 6.07 hereof out of the estate in any such proceeding, shall be denied for any reason, payment of the same shall be secured by a lien on, and shall be paid out of, any and all distributions, dividends, money, securities and other properties which the Holders may be entitled to receive in such proceeding whether in liquidation or under any plan of reorganization or arrangement or otherwise. Nothing herein contained shall be deemed to authorize the Trustee to authorize or consent to or accept or adopt on behalf of any Holder any plan of reorganization, arrangement, adjustment or composition affecting the Securities of any series or the rights of any Holder thereof, or to authorize the Trustee to vote in respect of the claim of any Holder in any such proceeding.</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5.10.          </w:t>
      </w:r>
      <w:r>
        <w:rPr>
          <w:rFonts w:ascii="Times New Roman;Times;Serif" w:hAnsi="Times New Roman;Times;Serif"/>
          <w:b w:val="false"/>
          <w:i w:val="false"/>
          <w:caps w:val="false"/>
          <w:smallCaps w:val="false"/>
          <w:sz w:val="20"/>
          <w:u w:val="single"/>
        </w:rPr>
        <w:t>Priorities</w:t>
      </w:r>
      <w:r>
        <w:rPr>
          <w:rFonts w:ascii="Times New Roman;Times;Serif" w:hAnsi="Times New Roman;Times;Serif"/>
          <w:b w:val="false"/>
          <w:i w:val="false"/>
          <w:caps w:val="false"/>
          <w:smallCaps w:val="false"/>
          <w:sz w:val="20"/>
        </w:rPr>
        <w:t>. If the Trustee collects any money pursuant to this Article, it shall pay out the money in the following order: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First: to the Trustee, its agents and attorneys for amounts due under Section 6.07, including payment of all compensation, expense and liabilities incurred, and all advances made, by the Trustee and the costs and expenses of collection;</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Second: to Holders for amounts due and unpaid on the Securities of any series for principal (and premium, if any) and interest, if any, ratably, without preference or priority of any kind, according to the amounts due and payable on the Securities of such series for principal (and premium, if any) and interest, if any, respectively; and</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Third: to the Company or, to the extent the Trustee collects any amount pursuant to Section 2.02 hereof from a Guarantor, to such Guarantor, or to such party as a court of competent jurisdiction shall direct.</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may fix a record date and payment date for any payment to Holders pursuant to this Section 5.10 upon seven calendar days prior notice to the Company.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5.11.         </w:t>
      </w:r>
      <w:r>
        <w:rPr>
          <w:rFonts w:ascii="Times New Roman;Times;Serif" w:hAnsi="Times New Roman;Times;Serif"/>
          <w:b w:val="false"/>
          <w:i w:val="false"/>
          <w:caps w:val="false"/>
          <w:smallCaps w:val="false"/>
          <w:sz w:val="20"/>
          <w:u w:val="single"/>
        </w:rPr>
        <w:t>Undertaking for Costs</w:t>
      </w:r>
      <w:r>
        <w:rPr>
          <w:rFonts w:ascii="Times New Roman;Times;Serif" w:hAnsi="Times New Roman;Times;Serif"/>
          <w:b w:val="false"/>
          <w:i w:val="false"/>
          <w:caps w:val="false"/>
          <w:smallCaps w:val="false"/>
          <w:sz w:val="20"/>
        </w:rPr>
        <w:t>. In any suit for the enforcement of any right or remedy under this Indenture or in any suit against the Trustee for any action taken or omitted by it as a Trustee, a court in its discretion may require the filing by any party litigant in the suit of an undertaking to pay the costs of the suit, and the court in its discretion may assess reasonable costs, including reasonable attorneys’ fees and expenses, against any party litigant in the suit, having due regard to the merits and good faith of the claims or defenses made by the party litigant. This Section 5.11 does not apply to a suit by the Trustee, a suit by a Holder of Securities of the affected series pursuant to Section 5.07 hereof, a suit by Holders of more than 10% in aggregate Principal Amount of the then outstanding Securities of any series in the case of any suit relating to or arising under clause (a), (b), (c), (f) or (g) of Section 5.01, or a suit by Holders of more than 10% in aggregate Principal Amount of the then outstanding Securities of all series in the case of any suit relating to or arising under clause (d) or (e) of Section 5.01.</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sz w:val="20"/>
          <w:bdr w:val="single" w:sz="8" w:space="1" w:color="000000"/>
        </w:rPr>
      </w:pPr>
      <w:r>
        <w:rPr>
          <w:sz w:val="20"/>
          <w:bdr w:val="single" w:sz="8" w:space="1" w:color="000000"/>
        </w:rPr>
        <w:t>-20-</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5.12.         </w:t>
      </w:r>
      <w:r>
        <w:rPr>
          <w:rFonts w:ascii="Times New Roman;Times;Serif" w:hAnsi="Times New Roman;Times;Serif"/>
          <w:b w:val="false"/>
          <w:i w:val="false"/>
          <w:caps w:val="false"/>
          <w:smallCaps w:val="false"/>
          <w:sz w:val="20"/>
          <w:u w:val="single"/>
        </w:rPr>
        <w:t>Restoration of Rights and Remedies</w:t>
      </w:r>
      <w:r>
        <w:rPr>
          <w:rFonts w:ascii="Times New Roman;Times;Serif" w:hAnsi="Times New Roman;Times;Serif"/>
          <w:b w:val="false"/>
          <w:i w:val="false"/>
          <w:caps w:val="false"/>
          <w:smallCaps w:val="false"/>
          <w:sz w:val="20"/>
        </w:rPr>
        <w:t>. If the Trustee or any Holder has instituted any proceeding to enforce any right or remedy under this Indenture and such proceeding has been discontinued or abandoned for any reason, or has been determined adversely to the Trustee or to such Holder, then and in every such case, subject to any determination in such proceeding, the Company, any Guarantor, the Trustee and the Holders shall be restored severally and respectively to their former positions hereunder and thereafter all rights and remedies of the Trustee and the Holders shall continue as though no such proceeding has been instituted.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5.13.          </w:t>
      </w:r>
      <w:r>
        <w:rPr>
          <w:rFonts w:ascii="Times New Roman;Times;Serif" w:hAnsi="Times New Roman;Times;Serif"/>
          <w:b w:val="false"/>
          <w:i w:val="false"/>
          <w:caps w:val="false"/>
          <w:smallCaps w:val="false"/>
          <w:sz w:val="20"/>
          <w:u w:val="single"/>
        </w:rPr>
        <w:t>Rights and Remedies Cumulative</w:t>
      </w:r>
      <w:r>
        <w:rPr>
          <w:rFonts w:ascii="Times New Roman;Times;Serif" w:hAnsi="Times New Roman;Times;Serif"/>
          <w:b w:val="false"/>
          <w:i w:val="false"/>
          <w:caps w:val="false"/>
          <w:smallCaps w:val="false"/>
          <w:sz w:val="20"/>
        </w:rPr>
        <w:t>. Except as otherwise provided with respect to the replacement or payment of mutilated, destroyed, lost or stolen Securities in the last paragraph of Section 3.09, no right or remedy herein conferred upon or reserved to the Trustee or to the Holders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appropriate right or remedy.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5.14.          </w:t>
      </w:r>
      <w:r>
        <w:rPr>
          <w:rFonts w:ascii="Times New Roman;Times;Serif" w:hAnsi="Times New Roman;Times;Serif"/>
          <w:b w:val="false"/>
          <w:i w:val="false"/>
          <w:caps w:val="false"/>
          <w:smallCaps w:val="false"/>
          <w:sz w:val="20"/>
          <w:u w:val="single"/>
        </w:rPr>
        <w:t>Delay or Omission Not Waiver</w:t>
      </w:r>
      <w:r>
        <w:rPr>
          <w:rFonts w:ascii="Times New Roman;Times;Serif" w:hAnsi="Times New Roman;Times;Serif"/>
          <w:b w:val="false"/>
          <w:i w:val="false"/>
          <w:caps w:val="false"/>
          <w:smallCaps w:val="false"/>
          <w:sz w:val="20"/>
        </w:rPr>
        <w:t>. No delay or omission of the Trustee or of any Holder of Securities of any series to exercise any right or remedy accruing upon any Event of Default shall impair any such right or remedy or constitute a waiver of any such Event of Default or an acquiescence therein. Every right and remedy given by this Article or by law to the Trustee or to the Holders may be exercised from time to time, and as often as may be deemed expedient, by the Trustee or by the Holders, as the case may be.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6</w:t>
        <w:br/>
        <w:br/>
        <w:t>THE TRUSTEE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6.01.          </w:t>
      </w:r>
      <w:r>
        <w:rPr>
          <w:rFonts w:ascii="Times New Roman;Times;Serif" w:hAnsi="Times New Roman;Times;Serif"/>
          <w:b w:val="false"/>
          <w:i w:val="false"/>
          <w:caps w:val="false"/>
          <w:smallCaps w:val="false"/>
          <w:sz w:val="20"/>
          <w:u w:val="single"/>
        </w:rPr>
        <w:t>Duties and Responsibilities of the Trustee; During Default; Prior to Default</w:t>
      </w:r>
      <w:r>
        <w:rPr>
          <w:rFonts w:ascii="Times New Roman;Times;Serif" w:hAnsi="Times New Roman;Times;Serif"/>
          <w:b w:val="false"/>
          <w:i w:val="false"/>
          <w:caps w:val="false"/>
          <w:smallCaps w:val="false"/>
          <w:sz w:val="20"/>
        </w:rPr>
        <w:t>. The Trustee, with respect to the Securities of any series, prior to the occurrence of an Event of Default with respect to the Securities of such series and after the curing or waiving of all Events of Default with respect to the Securities of such series which may have occurred, undertakes to perform such duties and only such duties with respect to such series as are specifically set forth in this Indenture. In case an Event of Default with respect to the Securities of a series has occurred (and is continuing which has not been cured or waived) the Trustee shall exercise such of the rights and powers vested in it by this Indenture with respect to such series, and use the same degree of care and skill in their exercise, as a prudent person would exercise or use under the circumstances in the conduct of such person’s own affairs.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 provision of this Indenture shall be construed to relieve the Trustee from liability for its own negligent action, its own negligent failure to act or its own willful misconduct, </w:t>
      </w:r>
      <w:r>
        <w:rPr>
          <w:rFonts w:ascii="Times New Roman;Times;Serif" w:hAnsi="Times New Roman;Times;Serif"/>
          <w:b w:val="false"/>
          <w:i w:val="false"/>
          <w:caps w:val="false"/>
          <w:smallCaps w:val="false"/>
          <w:sz w:val="20"/>
          <w:u w:val="single"/>
        </w:rPr>
        <w:t xml:space="preserve">provided </w:t>
      </w:r>
      <w:r>
        <w:rPr>
          <w:rFonts w:ascii="Times New Roman;Times;Serif" w:hAnsi="Times New Roman;Times;Serif"/>
          <w:b w:val="false"/>
          <w:i w:val="false"/>
          <w:caps w:val="false"/>
          <w:smallCaps w:val="false"/>
          <w:sz w:val="20"/>
        </w:rPr>
        <w:t>that: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duties and obligations of the Trustee shall be determined solely by the express provisions of this Indenture, and the Trustee shall not be liable except for the performance of such duties and obligations as are specifically set forth in this Indenture, and no implied covenants or obligations shall be read into this Indenture against the Trustee;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the absence of bad faith on the part of the Trustee, the Trustee may conclusively rely, as to the truth of the statements and the correctness of the opinions expressed therein, upon any statements, certificates or opinions furnished to the Trustee and conforming to the requirements of this Indenture; but in the case of any such statements, certificates or opinions which by any provision hereof are specifically required to be furnished to the Trustee, the Trustee shall be under a duty to examine the same to determine whether or not they conform to the requirements of this Indenture (but need not confirm or investigate the accuracy of any calculation or facts stated therein);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Trustee shall not be liable for any error of judgment made in good faith by a Responsible Officer, unless it shall be conclusively determined by a court of competent jurisdiction or by such other means as may be agreed by the Company and the Trustee at the time of determination that the Trustee was negligent in ascertaining the pertinent facts; and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Trustee shall not be liable with respect to any action taken or omitted to be taken by it in good faith in accordance with a Company Order or the direction of the Holders given as provided in Section 5.05 or otherwise exercising any trust or power conferred upon the Trustee, under this Indenture.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sz w:val="20"/>
          <w:bdr w:val="single" w:sz="8" w:space="1" w:color="000000"/>
        </w:rPr>
      </w:pPr>
      <w:r>
        <w:rPr>
          <w:sz w:val="20"/>
          <w:bdr w:val="single" w:sz="8" w:space="1" w:color="000000"/>
        </w:rPr>
        <w:t>-21-</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of the provisions contained in this Indenture shall require the Trustee to expend or risk its own funds or otherwise incur any potential or actual liability (financial or otherwise) in the performance of any of its duties or in the exercise of any of its rights or powers, if there shall be reasonable ground for believing that the repayment of such funds or adequate indemnity against such liability is not assured to it. This Section 6.01 is in furtherance of and subject to Sections 315 and 316 of the Trust Indenture Act.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or not therein expressly so provided, every provision of this Indenture relating to the conduct or affecting the liability of or affording protection to the Trustee shall be subject to the provisions of this Article 6.</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6.02.          </w:t>
      </w:r>
      <w:r>
        <w:rPr>
          <w:rFonts w:ascii="Times New Roman;Times;Serif" w:hAnsi="Times New Roman;Times;Serif"/>
          <w:b w:val="false"/>
          <w:i w:val="false"/>
          <w:caps w:val="false"/>
          <w:smallCaps w:val="false"/>
          <w:sz w:val="20"/>
          <w:u w:val="single"/>
        </w:rPr>
        <w:t>Certain Rights of the Trustee</w:t>
      </w:r>
      <w:r>
        <w:rPr>
          <w:rFonts w:ascii="Times New Roman;Times;Serif" w:hAnsi="Times New Roman;Times;Serif"/>
          <w:b w:val="false"/>
          <w:i w:val="false"/>
          <w:caps w:val="false"/>
          <w:smallCaps w:val="false"/>
          <w:sz w:val="20"/>
        </w:rPr>
        <w:t>. In furtherance of and subject to the Trust Indenture Act, and subject to Section 6.01:</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Trustee may conclusively rely and shall be protected in acting or refraining from acting upon any resolution, Officers’ Certificate, Opinion of Counsel or any other certificate, statement, instrument, opinion, report, notice, request, consent, order, bond, debenture, note, coupon, security or other paper or document believed by it to be genuine and to have been signed or presented by the proper party or parties;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request, direction, order or demand of the Company mentioned herein shall be sufficiently evidenced by an Officers’ Certificate (unless other evidence in respect thereof be herein specifically prescribed) and the Trustee may request and be entitled to receive an Officers’ Certificate before acting or refraining from acting with respect to such request, direction, order or demand; and any resolution of the Board of Directors of the Company or a Guarantor, if any, may be evidenced to the Trustee by a copy thereof certified by the Secretary or an Assistant Secretary of the Company or that Guarantor;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Trustee may consult with counsel of its selection and any advice or Opinion of Counsel shall be full and complete authorization and protection in respect of any action taken, suffered or omitted to be taken by it hereunder in good faith and in accordance with such advice or Opinion of Counsel;</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Trustee shall be under no obligation to exercise any of the rights or powers vested in it by this Indenture at the request, order or direction of any of the Holders of the Securities of any series pursuant to the provisions of this Indenture, unless such Holders shall have offered and provided to the Trustee security or indemnity satisfactory to it against the costs, expenses and liabilities which might be incurred therein or thereby;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Trustee shall not be liable for any action taken or omitted by it in good faith and believed by it to be authorized or within the discretion, rights or powers conferred upon it by this Indenture;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the Trustee shall not be bound to make any investigation into the facts or matters stated in any resolution, certificate, statement, instrument, opinion, report, notice, request, consent, order, approval, appraisal, bond, debenture, note, coupon, security, or other paper or document unless requested in writing so to do by the Holders of not less than a majority in aggregate Principal Amount of the Securities of any series then outstanding; </w:t>
      </w:r>
      <w:r>
        <w:rPr>
          <w:rFonts w:ascii="Times New Roman;Times;Serif" w:hAnsi="Times New Roman;Times;Serif"/>
          <w:b w:val="false"/>
          <w:i w:val="false"/>
          <w:caps w:val="false"/>
          <w:smallCaps w:val="false"/>
          <w:sz w:val="20"/>
          <w:u w:val="single"/>
        </w:rPr>
        <w:t xml:space="preserve">provided </w:t>
      </w:r>
      <w:r>
        <w:rPr>
          <w:rFonts w:ascii="Times New Roman;Times;Serif" w:hAnsi="Times New Roman;Times;Serif"/>
          <w:b w:val="false"/>
          <w:i w:val="false"/>
          <w:caps w:val="false"/>
          <w:smallCaps w:val="false"/>
          <w:sz w:val="20"/>
        </w:rPr>
        <w:t>that, if the payment within a reasonable time to the Trustee of the costs, expenses or liabilities likely to be incurred by it in the making of such investigation is, in the opinion of the Trustee, not assured to the Trustee by the security afforded to it by the terms of this Indenture, the Trustee may require (and shall not be required to make such investigation unless it receives) indemnity satisfactory to it against such expenses or liabilities as a condition to proceeding; the reasonable expenses of every such examination shall be paid by the Company;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Trustee may execute any of the trusts or powers hereunder or perform any duties hereunder either directly or by or through agents or attorneys not regularly in its employ and the Trustee shall not be responsible for any misconduct or negligence on the part of any such agent or attorney appointed with due care by it hereunder;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 rights, privileges, protections, immunities and benefits given to the Trustee under this Indenture, including, without limitation, its right to be indemnified, are extended to, and shall be enforceable by, the Trustee in each of its capacities hereunder, and to each agent, custodian and other Person employed to act hereunder and the employees, officers and directors of the Trustee;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sz w:val="20"/>
          <w:bdr w:val="single" w:sz="8" w:space="1" w:color="000000"/>
        </w:rPr>
      </w:pPr>
      <w:r>
        <w:rPr>
          <w:sz w:val="20"/>
          <w:bdr w:val="single" w:sz="8" w:space="1" w:color="000000"/>
        </w:rPr>
        <w:t>-22-</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Trustee shall not be deemed to have knowledge of any Default or Event of Default unless a Responsible Officer of the Trustee has received from a Holder, the Company or any Guarantor written notice of any event which is in fact such a Default or Event of Default, as the case may be, and such notice references the Securities, this Indenture, the circumstances giving rise to such a Default or Event of Default and that the same has occurred and is continuing; and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The Trustee may request that the Company deliver an Officers’ Certificate setting forth the names of individuals and/or titles of officers authorized at such time to take specified actions pursuant to this Indenture, which Officers’ Certificate may be signed by any person authorized to sign an Officers’ Certificate, including any person specified as so authorized in any such certificate previously delivered and not superseded.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6.03.          </w:t>
      </w:r>
      <w:r>
        <w:rPr>
          <w:rFonts w:ascii="Times New Roman;Times;Serif" w:hAnsi="Times New Roman;Times;Serif"/>
          <w:b w:val="false"/>
          <w:i w:val="false"/>
          <w:caps w:val="false"/>
          <w:smallCaps w:val="false"/>
          <w:sz w:val="20"/>
          <w:u w:val="single"/>
        </w:rPr>
        <w:t>Trustee Not Responsible for Recitals, Disposition of Securities or Application of Proceeds Thereof</w:t>
      </w:r>
      <w:r>
        <w:rPr>
          <w:rFonts w:ascii="Times New Roman;Times;Serif" w:hAnsi="Times New Roman;Times;Serif"/>
          <w:b w:val="false"/>
          <w:i w:val="false"/>
          <w:caps w:val="false"/>
          <w:smallCaps w:val="false"/>
          <w:sz w:val="20"/>
        </w:rPr>
        <w:t>. The recitals contained herein and in the Securities, except the Trustee’s certificates of authentication, shall be taken as the statements of the Company, and the Trustee assumes no responsibility for the correctness of the same. The Trustee makes no representation as to the validity or sufficiency of this Indenture or of the Securities, except that the Trustee represents, that it is duly authorized to execute and deliver this Indenture, authenticate the Securities and perform its obligations hereunder and that the statements made by it in a Statement of Eligibility on Form T-1 supplied to the Company, are true and accurate, subject to the qualifications set forth therein. The Trustee shall not be liable or accountable in any manner for the use or application by the Company of any of the Securities or of the proceeds thereof.</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6.04.          </w:t>
      </w:r>
      <w:r>
        <w:rPr>
          <w:rFonts w:ascii="Times New Roman;Times;Serif" w:hAnsi="Times New Roman;Times;Serif"/>
          <w:b w:val="false"/>
          <w:i w:val="false"/>
          <w:caps w:val="false"/>
          <w:smallCaps w:val="false"/>
          <w:sz w:val="20"/>
          <w:u w:val="single"/>
        </w:rPr>
        <w:t>Trustee and Agents May Hold Securities; Collections, Etc</w:t>
      </w:r>
      <w:r>
        <w:rPr>
          <w:rFonts w:ascii="Times New Roman;Times;Serif" w:hAnsi="Times New Roman;Times;Serif"/>
          <w:b w:val="false"/>
          <w:i w:val="false"/>
          <w:caps w:val="false"/>
          <w:smallCaps w:val="false"/>
          <w:sz w:val="20"/>
        </w:rPr>
        <w:t>. The Trustee or any of its affiliates or any agent of the Company or the Trustee, in its individual or any other capacity, may become the owner or pledgee of Securities, subject to Sections 6.10 and 6.13 with the same rights it would have if it were not the Trustee or such agent and may otherwise deal with the Company, any Guarantor or their respective affiliates and receive, collect, hold and retain collections from the Company with the same rights it would have if it were not the Trustee or such agent. However, in the event that the Trustee acquires any “conflicting interest,” as defined in Section 310(b) of the Trust Indenture Act, it must eliminate such conflict within 90 calendar days, apply to the Commission for permission to continue as trustee or resign.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6.05.          </w:t>
      </w:r>
      <w:r>
        <w:rPr>
          <w:rFonts w:ascii="Times New Roman;Times;Serif" w:hAnsi="Times New Roman;Times;Serif"/>
          <w:b w:val="false"/>
          <w:i w:val="false"/>
          <w:caps w:val="false"/>
          <w:smallCaps w:val="false"/>
          <w:sz w:val="20"/>
          <w:u w:val="single"/>
        </w:rPr>
        <w:t>Moneys Held by Trustee</w:t>
      </w:r>
      <w:r>
        <w:rPr>
          <w:rFonts w:ascii="Times New Roman;Times;Serif" w:hAnsi="Times New Roman;Times;Serif"/>
          <w:b w:val="false"/>
          <w:i w:val="false"/>
          <w:caps w:val="false"/>
          <w:smallCaps w:val="false"/>
          <w:sz w:val="20"/>
        </w:rPr>
        <w:t>. All moneys received by the Trustee shall, until used or applied as herein provided, be held in trust for the purposes for which they were received, but need not be segregated from other funds except to the extent required by mandatory provisions of law. Neither the Trustee nor any agent of the Company or the Trustee shall be under any liability for interest on any moneys received by it hereunder, except as otherwise agreed with the Company.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6.06.         </w:t>
      </w:r>
      <w:r>
        <w:rPr>
          <w:rFonts w:ascii="Times New Roman;Times;Serif" w:hAnsi="Times New Roman;Times;Serif"/>
          <w:b w:val="false"/>
          <w:i w:val="false"/>
          <w:caps w:val="false"/>
          <w:smallCaps w:val="false"/>
          <w:sz w:val="20"/>
          <w:u w:val="single"/>
        </w:rPr>
        <w:t>Notice of Default</w:t>
      </w:r>
      <w:r>
        <w:rPr>
          <w:rFonts w:ascii="Times New Roman;Times;Serif" w:hAnsi="Times New Roman;Times;Serif"/>
          <w:b w:val="false"/>
          <w:i w:val="false"/>
          <w:caps w:val="false"/>
          <w:smallCaps w:val="false"/>
          <w:sz w:val="20"/>
        </w:rPr>
        <w:t xml:space="preserve">. If any Default or any Event of Default occurs and is continuing with respect to the Securities of any series and if such Default or Event of Default is actually known to a Responsible Officer of the Trustee, the Trustee shall mail to each Holder of Securities of such series in the manner and to the extent provided in Trust Indenture Act Section 313(c) notice of the Default or Event of Default (“Notice of Default”) within 90 calendar days after it occurs, unless such Default or Event of Default has been cured;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except in the case of a default in the payment of the principal (whether at Stated Maturity, upon redemption (if applicable), upon any required repurchase by the Company (if applicable) or otherwise) of, or interest or premium, if any, on any Security of such series, in the payment or delivery of any consideration due upon conversion or exchange of any Security of such series (if applicable) or in the payment of any sinking fund installment with respect to Securities of such series, the Trustee shall be protected in withholding such notice if and so long as the board of directors, the executive committee or a trust committee of directors and/or Responsible Officers of the Trustee in good faith determine that the withholding of such notice is in the interest of the Holders of Securities of such series.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sz w:val="20"/>
          <w:bdr w:val="single" w:sz="8" w:space="1" w:color="000000"/>
        </w:rPr>
      </w:pPr>
      <w:r>
        <w:rPr>
          <w:sz w:val="20"/>
          <w:bdr w:val="single" w:sz="8" w:space="1" w:color="000000"/>
        </w:rPr>
        <w:t>-23-</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6.07.          </w:t>
      </w:r>
      <w:r>
        <w:rPr>
          <w:rFonts w:ascii="Times New Roman;Times;Serif" w:hAnsi="Times New Roman;Times;Serif"/>
          <w:b w:val="false"/>
          <w:i w:val="false"/>
          <w:caps w:val="false"/>
          <w:smallCaps w:val="false"/>
          <w:sz w:val="20"/>
          <w:u w:val="single"/>
        </w:rPr>
        <w:t>Compensation and Indemnification of Trustee and Its Prior Claim</w:t>
      </w:r>
      <w:r>
        <w:rPr>
          <w:rFonts w:ascii="Times New Roman;Times;Serif" w:hAnsi="Times New Roman;Times;Serif"/>
          <w:b w:val="false"/>
          <w:i w:val="false"/>
          <w:caps w:val="false"/>
          <w:smallCaps w:val="false"/>
          <w:sz w:val="20"/>
        </w:rPr>
        <w:t>. The Company covenants and agrees to pay to the Trustee from time to time, and the Trustee shall be entitled to, such compensation as shall be agreed in writing between the Company and the Trustee (which shall not be limited by any provision of law in regard to the compensation of a trustee of an express trust) and the Company covenants and agrees to pay or reimburse the Trustee and each predecessor Trustee upon its request for all reasonable expenses, disbursements and advances incurred or made by or on behalf of it in accordance with any of the provisions of this Indenture (including the reasonable compensation and the expenses and disbursements of its counsel and of all agents and other persons not regularly in its employ) except any such expense, disbursement or advance as may arise from its negligence or bad faith (as determined by a court of competent jurisdiction in a final, non-appealable decision or by such other means as may be agreed by the Company and the Trustee at the time of determination). The Company also covenants to indemnify the Trustee and each predecessor Trustee for, and to hold it harmless against, any and all loss, liability, damage, claim or expense, including taxes (other than taxes based on the income of the Trustee) incurred without negligence or bad faith on its part (as determined by a court of competent jurisdiction in a final, non-appealable decision or by such other means as may be agreed by the Company and the Trustee at the time of determination), arising out of or in connection with the acceptance or administration of this Indenture or the trusts hereunder and its duties hereunder, including without limitation the costs and expenses of defending itself against or investigating any claim (whether asserted by the Company, a Holder or any other Person). The obligations of the Company under this Section to compensate and indemnify the Trustee and each predecessor Trustee and to pay or reimburse the Trustee and each predecessor Trustee for expenses, disbursements and advances shall constitute additional indebtedness hereunder and shall survive the satisfaction and discharge of this Indenture. Such financial obligations of the Company identified in this Section 6.07 shall be a senior claim to that of the Securities of each series, and as security for such obligations, the Trustee shall have a lien prior to such Securities, upon all property and funds held or collected by the Trustee as such, except funds held in trust for the benefit of the Holders of particular Securities, and the Securities of each series are hereby subordinated to such senior claim. Such lien shall survive the discharge and satisfaction of this Indenture.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the Trustee incurs expenses or renders services in connection with an Event of Default specified in Section 5.01(d) or Section 5.01(e), the expenses (including the reasonable charges and expenses of its counsel) and the compensation for the services are intended to constitute expenses of administration under any applicable federal or state bankruptcy, insolvency or other similar law.</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6.08.          </w:t>
      </w:r>
      <w:r>
        <w:rPr>
          <w:rFonts w:ascii="Times New Roman;Times;Serif" w:hAnsi="Times New Roman;Times;Serif"/>
          <w:b w:val="false"/>
          <w:i w:val="false"/>
          <w:caps w:val="false"/>
          <w:smallCaps w:val="false"/>
          <w:sz w:val="20"/>
          <w:u w:val="single"/>
        </w:rPr>
        <w:t>Right of Trustee to Rely on Officers’ Certificate, Etc</w:t>
      </w:r>
      <w:r>
        <w:rPr>
          <w:rFonts w:ascii="Times New Roman;Times;Serif" w:hAnsi="Times New Roman;Times;Serif"/>
          <w:b w:val="false"/>
          <w:i w:val="false"/>
          <w:caps w:val="false"/>
          <w:smallCaps w:val="false"/>
          <w:sz w:val="20"/>
        </w:rPr>
        <w:t>. Subject to Sections 6.01 and 6.02, whenever in the administration of the trusts of this Indenture the Trustee shall deem it necessary or desirable that a matter be proved or established prior to taking or suffering or omitting any action hereunder, such matter (unless other evidence in respect thereof be herein specifically prescribed) may, in the absence of negligence or bad faith on the part of the Trustee, be deemed to be conclusively proved and established by an Officers’ Certificate delivered to the Trustee, and such certificate, in the absence of negligence or bad faith on the part of the Trustee, shall be full warrant to the Trustee for any action taken, suffered or omitted by it under the provisions of this Indenture upon the faith thereof.</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6.09.         </w:t>
      </w:r>
      <w:r>
        <w:rPr>
          <w:rFonts w:ascii="Times New Roman;Times;Serif" w:hAnsi="Times New Roman;Times;Serif"/>
          <w:b w:val="false"/>
          <w:i w:val="false"/>
          <w:caps w:val="false"/>
          <w:smallCaps w:val="false"/>
          <w:sz w:val="20"/>
          <w:u w:val="single"/>
        </w:rPr>
        <w:t>Persons Eligible for Appointment as Trustee</w:t>
      </w:r>
      <w:r>
        <w:rPr>
          <w:rFonts w:ascii="Times New Roman;Times;Serif" w:hAnsi="Times New Roman;Times;Serif"/>
          <w:b w:val="false"/>
          <w:i w:val="false"/>
          <w:caps w:val="false"/>
          <w:smallCaps w:val="false"/>
          <w:sz w:val="20"/>
        </w:rPr>
        <w:t>. The Trustee hereunder shall at all times be a corporation, national association or other appropriate entity having a combined capital and surplus of at least $150,000,000, and which is eligible in accordance with the provisions of Section 310(a) of the Trust Indenture Act. If such corporation publishes reports of condition at least annually, pursuant to law or to the requirements of a federal, state or District of Columbia supervising or examining authority, then for the purposes of this Section, the combined capital and surplus of such corporation shall be deemed to be its combined capital and surplus as set forth in its most recent report of condition so published.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6.10.          </w:t>
      </w:r>
      <w:r>
        <w:rPr>
          <w:rFonts w:ascii="Times New Roman;Times;Serif" w:hAnsi="Times New Roman;Times;Serif"/>
          <w:b w:val="false"/>
          <w:i w:val="false"/>
          <w:caps w:val="false"/>
          <w:smallCaps w:val="false"/>
          <w:sz w:val="20"/>
          <w:u w:val="single"/>
        </w:rPr>
        <w:t>Resignation and Removal; Appointment of Successor Trustee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Trustee may at any time resign with respect to the Securities of one or more series by giving written notice of resignation to the Company and to the Holders of Securities of such series, such notice to the Holders to be given by mailing (by first class mail) the same within 30 calendar days after such notice is given to the Company. Upon receiving such notice of resignation, the Company shall promptly appoint a successor trustee by written instrument in duplicate, executed by authority of the Board of Directors of the Company, one copy of which instrument shall be delivered to the resigning Trustee and one copy to the successor trustee. If no successor trustee shall have been so appointed and have accepted appointment within 30 calendar days after the mailing of such notice of resignation, the resigning trustee may petition, at the expense of the Company, any court of competent jurisdiction for the appointment of a successor trustee, or any Holder of the affected series who has been a bona fide holder of the Securities of the affected series for at least six months (or since the Issue Date for such Securities if the holding period is less than six months) may, on behalf of itself and all others similarly situated, petition any such court for the appointment of a successor trustee. Such court may thereupon, after such notice, if any, as it may deem proper and prescribe, appoint a successor trustee.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sz w:val="20"/>
          <w:bdr w:val="single" w:sz="8" w:space="1" w:color="000000"/>
        </w:rPr>
      </w:pPr>
      <w:r>
        <w:rPr>
          <w:sz w:val="20"/>
          <w:bdr w:val="single" w:sz="8" w:space="1" w:color="000000"/>
        </w:rPr>
        <w:t>-24-</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case at any time any of the following shall occur: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firstLine="1008"/>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Trustee shall fail to comply with the provisions of Section 310(b) of the Trust Indenture Act, after written request therefor by the Company or by any Holder who has been a bona fide holder of Securities of the affected series for at least six months; or</w:t>
      </w:r>
    </w:p>
    <w:p>
      <w:pPr>
        <w:pStyle w:val="TextBody"/>
        <w:bidi w:val="0"/>
        <w:spacing w:before="0" w:after="0"/>
        <w:ind w:left="720" w:right="0" w:firstLine="1008"/>
        <w:jc w:val="left"/>
        <w:rPr>
          <w:caps w:val="false"/>
          <w:smallCaps w:val="false"/>
        </w:rPr>
      </w:pPr>
      <w:r>
        <w:rPr>
          <w:caps w:val="false"/>
          <w:smallCaps w:val="false"/>
        </w:rPr>
        <w:t> </w:t>
      </w:r>
    </w:p>
    <w:p>
      <w:pPr>
        <w:pStyle w:val="TextBody"/>
        <w:bidi w:val="0"/>
        <w:spacing w:before="0" w:after="0"/>
        <w:ind w:left="720" w:right="0" w:firstLine="1008"/>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Trustee shall cease to be eligible in accordance with the provisions of Section 6.09, and shall fail to resign after written request therefor by the Company or by any such Holder; or</w:t>
      </w:r>
    </w:p>
    <w:p>
      <w:pPr>
        <w:pStyle w:val="TextBody"/>
        <w:bidi w:val="0"/>
        <w:spacing w:before="0" w:after="0"/>
        <w:ind w:left="720" w:right="0" w:firstLine="1008"/>
        <w:jc w:val="left"/>
        <w:rPr>
          <w:caps w:val="false"/>
          <w:smallCaps w:val="false"/>
        </w:rPr>
      </w:pPr>
      <w:r>
        <w:rPr>
          <w:caps w:val="false"/>
          <w:smallCaps w:val="false"/>
        </w:rPr>
        <w:t> </w:t>
      </w:r>
    </w:p>
    <w:p>
      <w:pPr>
        <w:pStyle w:val="TextBody"/>
        <w:bidi w:val="0"/>
        <w:spacing w:before="0" w:after="0"/>
        <w:ind w:left="720" w:right="0" w:firstLine="1008"/>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Trustee shall become incapable of acting, or shall be adjudged as bankrupt or insolvent, or a receiver or liquidator of the Trustee or of its property shall be appointed, or any public officer shall take charge or control of the Trustee or of its property or affairs for the purpose of rehabilitation, conservation or liquidation;</w:t>
      </w:r>
    </w:p>
    <w:p>
      <w:pPr>
        <w:pStyle w:val="TextBody"/>
        <w:bidi w:val="0"/>
        <w:spacing w:before="0" w:after="0"/>
        <w:ind w:left="720" w:right="0" w:firstLine="1008"/>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then, in any such case, the Company may remove the Trustee and appoint a successor trustee by written instrument, in duplicate, executed by authority of the Board of Directors of the Company, one copy of which instrument shall be delivered to the Trustee so removed and one copy to the successor trustee, or, subject to Section 315(e) of the Trust Indenture Act, any Holder of the affected series who has been a bona fide holder of the Securities of the affected series for at least six months may, on behalf of itself and all others similarly situated, petition any court of competent jurisdiction for the removal of the Trustee and the appointment of a successor trustee. Such court may thereupon, after such notice, if any, as it may deem proper and prescribe, remove the Trustee and appoint a successor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Holders of a majority in aggregate Principal Amount of the Securities of any series at the time outstanding may at any time remove the Trustee for that series and appoint a successor trustee by delivering to the Trustee so removed, to the successor trustee so appointed and to the Company and any Guarantor the evidence provided for in Section 7.01 of the action in that regard taken by the Holders of that series.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no successor trustee shall have been so appointed and have accepted appointment 30 calendar days after the mailing of such notice of removal, the Trustee being removed may petition, at the expense of the Company, any court of competent jurisdiction for the appointment of a successor trustee. Such court may thereupon, after such notice, if any, as it may deem proper and prescribe, appoint a successor trustee.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Any resignation or removal of the Trustee and any appointment of a successor trustee pursuant to any of the provisions of this Section 6.10 shall become effective upon acceptance of appointment by the successor trustee as provided in Section 6.11.</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Company shall give notice of each resignation and each removal of the Trustee with respect to the Securities of any series and each appointment of a successor Trustee with respect to the Securities of any series by mailing written notice of such event by first-class mail, postage prepaid, to all Holders of Securities of such series as their names and addresses appear in the Security Register. Each notice shall include the name of the successor Trustee with respect to the Securities of such series and the address of its Corporate Trust Office.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6.11.          </w:t>
      </w:r>
      <w:r>
        <w:rPr>
          <w:rFonts w:ascii="Times New Roman;Times;Serif" w:hAnsi="Times New Roman;Times;Serif"/>
          <w:b w:val="false"/>
          <w:i w:val="false"/>
          <w:caps w:val="false"/>
          <w:smallCaps w:val="false"/>
          <w:sz w:val="20"/>
          <w:u w:val="single"/>
        </w:rPr>
        <w:t>Acceptance of Appointment by Successor</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 case of the appointment hereunder of a successor Trustee with respect to all Securities, every such successor Trustee so appointed shall execute, acknowledge and deliver to the Company and to the retiring Trustee an instrument accepting such appointment, and thereupon the resignation or removal of the retiring Trustee shall become effective and such successor Trustee, without any further act, deed or conveyance, shall become vested with all the rights, powers, trusts and duties of the retiring Trustee; but, on the request of the Company or the successor Trustee, such retiring Trustee shall, upon payment of its fees, costs, expenses and other charges, execute and deliver an instrument transferring to such successor Trustee all the rights, powers and trusts of the retiring Trustee and shall duly assign, transfer and deliver to such successor Trustee all property and money held by such retiring Trustee hereunder.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sz w:val="20"/>
          <w:bdr w:val="single" w:sz="8" w:space="1" w:color="000000"/>
        </w:rPr>
      </w:pPr>
      <w:r>
        <w:rPr>
          <w:sz w:val="20"/>
          <w:bdr w:val="single" w:sz="8" w:space="1" w:color="000000"/>
        </w:rPr>
        <w:t>-25-</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case of the appointment hereunder of a successor Trustee with respect to the Securities of one or more (but not all) series, the Company, any applicable Guarantor, the retiring Trustee and each successor Trustee with respect to the Securities of one or more series shall execute and deliver an indenture supplemental hereto wherein each successor Trustee shall accept such appointment and which (1) shall contain such provisions as shall be necessary or desirable to transfer and confirm to, and to vest in, each successor Trustee all the rights, powers, trusts and duties of the retiring Trustee with respect to the Securities of that or those series to which the appointment of such successor Trustee relates, (2) if the retiring Trustee is not retiring with respect to all Securities, shall contain such provisions as shall be deemed necessary or desirable to confirm that all the rights, powers, trusts and duties of the retiring Trustee with respect to the Securities of that or those series as to which the retiring Trustee is not retiring shall continue to be vested in the retiring Trustee, and (3) shall add to or change any of the provisions of this Indenture as shall be necessary to provide for or facilitate the administration of the trusts hereunder by more than one Trustee, it being understood that nothing herein or in such supplemental indenture shall constitute such Trustees co-trustees of the same trust and that each such Trustee shall be trustee of a trust or trusts hereunder separate and apart from any trust or trusts hereunder administered by any other such Trustee; and upon the execution and delivery of such supplemental indenture the resignation or removal of the retiring Trustee shall become effective to the extent provided therein and each such successor Trustee, without any further act, deed or conveyance, shall become vested with all the rights, powers, trusts and duties of the retiring Trustee with respect to the Securities of that or those series to which the appointment of such successor Trustee relates; but, on request of the Company or any successor Trustee, such retiring Trustee shall upon payment of its fees, costs, expenses and other charges duly assign, transfer and deliver to such successor Trustee all property and money held by such retiring Trustee hereunder with respect to the Securities of that or those series to which the appointment of such successor Trustee relates.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Upon request of any such successor Trustee, the Company and any applicable Guarantor shall execute any and all instruments for more fully and certainly vesting in and confirming to such successor Trustee all such rights, powers and trusts referred to in paragraph (a) or (b) of this Section, as the case may be.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No successor Trustee shall accept its appointment unless at the time of such acceptance such successor Trustee shall be qualified and eligible under the Trust Indenture Act.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6.12.          </w:t>
      </w:r>
      <w:r>
        <w:rPr>
          <w:rFonts w:ascii="Times New Roman;Times;Serif" w:hAnsi="Times New Roman;Times;Serif"/>
          <w:b w:val="false"/>
          <w:i w:val="false"/>
          <w:caps w:val="false"/>
          <w:smallCaps w:val="false"/>
          <w:sz w:val="20"/>
          <w:u w:val="single"/>
        </w:rPr>
        <w:t>Merger, Conversion, Consolidation or Succession to Business of Trustee</w:t>
      </w:r>
      <w:r>
        <w:rPr>
          <w:rFonts w:ascii="Times New Roman;Times;Serif" w:hAnsi="Times New Roman;Times;Serif"/>
          <w:b w:val="false"/>
          <w:i w:val="false"/>
          <w:caps w:val="false"/>
          <w:smallCaps w:val="false"/>
          <w:sz w:val="20"/>
        </w:rPr>
        <w:t xml:space="preserve">. Any corporation or national association into which the Trustee may be merged or converted or with which it may be consolidated, or to which the Trustee’s assets may be sold, or any corporation or national association resulting from any merger, conversion, consolidation or sale to which the Trustee shall be a party or by which the Trustee’s property may be bound, or any corporation or national association succeeding to all or substantially all the corporate trust business of the Trustee, shall be the successor of the Trustee hereunder, </w:t>
      </w:r>
      <w:r>
        <w:rPr>
          <w:rFonts w:ascii="Times New Roman;Times;Serif" w:hAnsi="Times New Roman;Times;Serif"/>
          <w:b w:val="false"/>
          <w:i w:val="false"/>
          <w:caps w:val="false"/>
          <w:smallCaps w:val="false"/>
          <w:sz w:val="20"/>
          <w:u w:val="single"/>
        </w:rPr>
        <w:t xml:space="preserve">provided </w:t>
      </w:r>
      <w:r>
        <w:rPr>
          <w:rFonts w:ascii="Times New Roman;Times;Serif" w:hAnsi="Times New Roman;Times;Serif"/>
          <w:b w:val="false"/>
          <w:i w:val="false"/>
          <w:caps w:val="false"/>
          <w:smallCaps w:val="false"/>
          <w:sz w:val="20"/>
        </w:rPr>
        <w:t>that such entity shall be eligible under the provisions of Section 6.09, without the execution or filing of any paper or any further act on the part of any of the parties hereto, anything herein to the contrary notwithstanding.</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case at the time such successor to the Trustee shall succeed to the trusts created by this Indenture any of the Securities shall have been authenticated but not delivered, any such successor to the Trustee may adopt the certificate of authentication of any predecessor Trustee and deliver such Securities so authenticated; and, in case at that time any of the Securities shall not have been authenticated, any successor to the Trustee may authenticate such Securities either in the name of any predecessor hereunder or in the name of the successor Trustee; and in all such cases such certificate shall have the full force that it is anywhere in the Securities or in this Indenture ; </w:t>
      </w:r>
      <w:r>
        <w:rPr>
          <w:rFonts w:ascii="Times New Roman;Times;Serif" w:hAnsi="Times New Roman;Times;Serif"/>
          <w:b w:val="false"/>
          <w:i w:val="false"/>
          <w:caps w:val="false"/>
          <w:smallCaps w:val="false"/>
          <w:sz w:val="20"/>
          <w:u w:val="single"/>
        </w:rPr>
        <w:t xml:space="preserve">provided </w:t>
      </w:r>
      <w:r>
        <w:rPr>
          <w:rFonts w:ascii="Times New Roman;Times;Serif" w:hAnsi="Times New Roman;Times;Serif"/>
          <w:b w:val="false"/>
          <w:i w:val="false"/>
          <w:caps w:val="false"/>
          <w:smallCaps w:val="false"/>
          <w:sz w:val="20"/>
        </w:rPr>
        <w:t>that the right to adopt the certificate of authentication of any predecessor Trustee or to authenticate Securities in the name of any predecessor Trustee shall apply only to its successor or successors by merger, conversion or consolidation.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6.13.          </w:t>
      </w:r>
      <w:r>
        <w:rPr>
          <w:rFonts w:ascii="Times New Roman;Times;Serif" w:hAnsi="Times New Roman;Times;Serif"/>
          <w:b w:val="false"/>
          <w:i w:val="false"/>
          <w:caps w:val="false"/>
          <w:smallCaps w:val="false"/>
          <w:sz w:val="20"/>
          <w:u w:val="single"/>
        </w:rPr>
        <w:t>Preferential Collection of Claims</w:t>
      </w:r>
      <w:r>
        <w:rPr>
          <w:rFonts w:ascii="Times New Roman;Times;Serif" w:hAnsi="Times New Roman;Times;Serif"/>
          <w:b w:val="false"/>
          <w:i w:val="false"/>
          <w:caps w:val="false"/>
          <w:smallCaps w:val="false"/>
          <w:sz w:val="20"/>
        </w:rPr>
        <w:t>. If the Trustee shall be or shall become a creditor, directly or indirectly, secured or unsecured, of the Company (or any other obligor on the Securities), the Trustee shall be subject to the provisions of Section 311 of the Trust Indenture Act regarding the collection of claims against the Company (or any such other obligor). For purposes of Section 311(b) (4) and (6) of such Act, the following terms shall mean: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sz w:val="20"/>
          <w:bdr w:val="single" w:sz="8" w:space="1" w:color="000000"/>
        </w:rPr>
      </w:pPr>
      <w:r>
        <w:rPr>
          <w:sz w:val="20"/>
          <w:bdr w:val="single" w:sz="8" w:space="1" w:color="000000"/>
        </w:rPr>
        <w:t>-26-</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“cash transaction” means any transaction in which full payment for goods or securities sold is made within seven calendar days after delivery of the goods or securities in currency or in checks or other orders drawn upon banks or bankers and payable upon demand; and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“self-liquidating paper” means any draft, bill of exchange, acceptance or obligation which is made, drawn, negotiated or incurred by the Company for the purpose of financing the purchase, processing, manufacturing, shipment, storage or sale of goods, wares or merchandise and which is secured by documents evidencing title to, possession of, or a lien upon, the goods, wares or merchandise or the receivables or proceeds arising from the sale of the goods, wares or merchandise previously constituting the security, provided the security is received by the Trustee simultaneously with the creation of the creditor relationship with the Company arising from the making, drawing, negotiating or incurring of the draft, bill of exchange, acceptance or obligation.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6.14.          </w:t>
      </w:r>
      <w:r>
        <w:rPr>
          <w:rFonts w:ascii="Times New Roman;Times;Serif" w:hAnsi="Times New Roman;Times;Serif"/>
          <w:b w:val="false"/>
          <w:i w:val="false"/>
          <w:caps w:val="false"/>
          <w:smallCaps w:val="false"/>
          <w:sz w:val="20"/>
          <w:u w:val="single"/>
        </w:rPr>
        <w:t>Communications with the Trustee</w:t>
      </w:r>
      <w:r>
        <w:rPr>
          <w:rFonts w:ascii="Times New Roman;Times;Serif" w:hAnsi="Times New Roman;Times;Serif"/>
          <w:b w:val="false"/>
          <w:i w:val="false"/>
          <w:caps w:val="false"/>
          <w:smallCaps w:val="false"/>
          <w:sz w:val="20"/>
        </w:rPr>
        <w:t>. Any and all notices, certificates, opinions or filings with the Commission required or permitted to be provided by the Company to the Trustee under this Indenture shall be in writing and shall be personally delivered, sent via an internationally recognized overnight delivery service or sent by facsimile or electronic transmission to the address or telecopy number of the Corporate Trust Office.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6.15.          </w:t>
      </w:r>
      <w:r>
        <w:rPr>
          <w:rFonts w:ascii="Times New Roman;Times;Serif" w:hAnsi="Times New Roman;Times;Serif"/>
          <w:b w:val="false"/>
          <w:i w:val="false"/>
          <w:caps w:val="false"/>
          <w:smallCaps w:val="false"/>
          <w:sz w:val="20"/>
          <w:u w:val="single"/>
        </w:rPr>
        <w:t>Paying Agent/Registrar</w:t>
      </w:r>
      <w:r>
        <w:rPr>
          <w:rFonts w:ascii="Times New Roman;Times;Serif" w:hAnsi="Times New Roman;Times;Serif"/>
          <w:b w:val="false"/>
          <w:i w:val="false"/>
          <w:caps w:val="false"/>
          <w:smallCaps w:val="false"/>
          <w:sz w:val="20"/>
        </w:rPr>
        <w:t>. If the Trustee is acting as Paying Agent and/or Registrar hereunder, the rights and protections afforded to the Trustee under this Article 6 will also be afforded to the Paying Agent and/or the Registrar.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7</w:t>
        <w:br/>
        <w:br/>
        <w:t>CONCERNING THE HOLDERS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7.01.          </w:t>
      </w:r>
      <w:r>
        <w:rPr>
          <w:rFonts w:ascii="Times New Roman;Times;Serif" w:hAnsi="Times New Roman;Times;Serif"/>
          <w:b w:val="false"/>
          <w:i w:val="false"/>
          <w:caps w:val="false"/>
          <w:smallCaps w:val="false"/>
          <w:sz w:val="20"/>
          <w:u w:val="single"/>
        </w:rPr>
        <w:t>Evidence of Action Taken by Holders</w:t>
      </w:r>
      <w:r>
        <w:rPr>
          <w:rFonts w:ascii="Times New Roman;Times;Serif" w:hAnsi="Times New Roman;Times;Serif"/>
          <w:b w:val="false"/>
          <w:i w:val="false"/>
          <w:caps w:val="false"/>
          <w:smallCaps w:val="false"/>
          <w:sz w:val="20"/>
        </w:rPr>
        <w:t>. Any request, demand, authorization, direction, notice, consent, waiver or other action provided by this Indenture to be given or taken by Holders of Securities of any series may be embodied in and evidenced (a) by one or more instruments of substantially similar tenor signed by such Holders in person or by agent duly appointed in writing, (b) by the record of the Holders of Securities of such series voting in favor thereof at any meeting of Holders duly called and held in accordance with the provisions of Article 8, or (c) by a combination of such instrument or instruments and any such record of such a meeting of Holders; and, except as herein otherwise expressly provided, such action shall become effective when such instrument or instruments are delivered to the Trustee and, where it is hereby expressly required, to the Company and each Guarantor, if any. Proof of execution of any instrument or of a writing appointing any such agent shall be sufficient for any purpose of this Indenture and (subject to Sections 6.01 and 6.02) conclusive in favor of the Trustee, the Company and each Guarantor, if any, if made in the manner provided in this Article.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7.02.          </w:t>
      </w:r>
      <w:r>
        <w:rPr>
          <w:rFonts w:ascii="Times New Roman;Times;Serif" w:hAnsi="Times New Roman;Times;Serif"/>
          <w:b w:val="false"/>
          <w:i w:val="false"/>
          <w:caps w:val="false"/>
          <w:smallCaps w:val="false"/>
          <w:sz w:val="20"/>
          <w:u w:val="single"/>
        </w:rPr>
        <w:t>Proof of Execution of Instruments and of Holding of Securities; Record Date</w:t>
      </w:r>
      <w:r>
        <w:rPr>
          <w:rFonts w:ascii="Times New Roman;Times;Serif" w:hAnsi="Times New Roman;Times;Serif"/>
          <w:b w:val="false"/>
          <w:i w:val="false"/>
          <w:caps w:val="false"/>
          <w:smallCaps w:val="false"/>
          <w:sz w:val="20"/>
        </w:rPr>
        <w:t>. Subject to Sections 6.01 and 6.02, the execution of any instrument by a Holder or its agent or proxy may be proved in accordance with such reasonable rules and regulations as may be prescribed by the Trustee or in such manner as shall be satisfactory to the Trustee. The holding of Securities shall be proved by the Security Register or by a certificate of the Registrar thereof. The Company may set a record date for purposes of determining the identity of Holders of Securities entitled to vote or consent to any action referred to in Section 7.01, which record date may be set at any time or from time to time by notice to the Trustee, for any date or dates (in the case of any adjournment or resolicitation) not more than 90 calendar days nor less than 20 calendar days prior to the proposed date of such vote or consent, and thereafter, notwithstanding any other provisions hereof, only Holders of Securities of record on such record date shall be entitled to so vote or give such consent or to withdraw such vote or consent.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7.03.          </w:t>
      </w:r>
      <w:r>
        <w:rPr>
          <w:rFonts w:ascii="Times New Roman;Times;Serif" w:hAnsi="Times New Roman;Times;Serif"/>
          <w:b w:val="false"/>
          <w:i w:val="false"/>
          <w:caps w:val="false"/>
          <w:smallCaps w:val="false"/>
          <w:sz w:val="20"/>
          <w:u w:val="single"/>
        </w:rPr>
        <w:t>Who May Be Deemed Owners of Securities</w:t>
      </w:r>
      <w:r>
        <w:rPr>
          <w:rFonts w:ascii="Times New Roman;Times;Serif" w:hAnsi="Times New Roman;Times;Serif"/>
          <w:b w:val="false"/>
          <w:i w:val="false"/>
          <w:caps w:val="false"/>
          <w:smallCaps w:val="false"/>
          <w:sz w:val="20"/>
        </w:rPr>
        <w:t>. The Company, each Guarantor, if any, the Trustee, any Paying Agent and any Registrar may deem and treat the person in whose name any Security of any series shall be registered in the Security Register on the applicable record date as the absolute owner of such Security (whether or not such Security shall be overdue and notwithstanding any notation of ownership or other writing thereon) for the purpose of receiving payment of or on account of the principal of (and premium, if any) and interest, if any, on such Security and for all other purposes; and none of the Company, any Guarantor, the Trustee, any Paying Agent or any Registrar shall be affected by any notice to the contrary. All such payments so made to, or upon the order of, any Holders shall be valid, and, to the extent of the sum or sums so paid, effectual to satisfy and discharge the liability of moneys payable upon any such Security.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sz w:val="20"/>
          <w:bdr w:val="single" w:sz="8" w:space="1" w:color="000000"/>
        </w:rPr>
      </w:pPr>
      <w:r>
        <w:rPr>
          <w:sz w:val="20"/>
          <w:bdr w:val="single" w:sz="8" w:space="1" w:color="000000"/>
        </w:rPr>
        <w:t>-27-</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7.04.         </w:t>
      </w:r>
      <w:r>
        <w:rPr>
          <w:rFonts w:ascii="Times New Roman;Times;Serif" w:hAnsi="Times New Roman;Times;Serif"/>
          <w:b w:val="false"/>
          <w:i w:val="false"/>
          <w:caps w:val="false"/>
          <w:smallCaps w:val="false"/>
          <w:sz w:val="20"/>
          <w:u w:val="single"/>
        </w:rPr>
        <w:t>Securities Owned by Company Deemed Not Outstanding</w:t>
      </w:r>
      <w:r>
        <w:rPr>
          <w:rFonts w:ascii="Times New Roman;Times;Serif" w:hAnsi="Times New Roman;Times;Serif"/>
          <w:b w:val="false"/>
          <w:i w:val="false"/>
          <w:caps w:val="false"/>
          <w:smallCaps w:val="false"/>
          <w:sz w:val="20"/>
        </w:rPr>
        <w:t>. In determining whether the Holders of the requisite aggregate Principal Amount of Securities of any series have concurred in any direction, consent or waiver under this Indenture, Securities of such series which are owned by the Company, any Guarantor with respect to such series or any other obligor on the Securities of such series or by any person directly or indirectly controlling or controlled by or under direct or indirect common control with the Company, any such Guarantor or any other obligor on the Securities of such series shall be disregarded and deemed not to be outstanding for the purpose of any such determination, except that for the purpose of determining whether the Trustee shall be protected in relying on any such direction, consent or waiver only Securities which a Responsible Officer of the Trustee actually knows are so owned shall be so disregarded. Securities so owned which have been pledged in good faith may be regarded as outstanding if the pledgee establishes to the satisfaction of the Trustee the pledgee’s right so to act with respect to such Securities and that the pledgee is not the Company, any Guarantor or any other obligor upon the Securities or any person directly or indirectly controlling or controlled by or under direct or indirect common control with the Company, any Guarantor or any other obligor on the Securities. In case of a dispute as to such right, the advice of counsel shall be full protection in respect of any decision made by the Trustee in accordance with such advice. Upon request of the Trustee, the Company shall furnish to the Trustee promptly an Officers’ Certificate listing and identifying all Securities of any series, if any, known by the Company to be owned or held by or for the account of any of the above-described persons; and, subject to Sections 6.01 and 6.02, the Trustee shall be entitled to accept such Officers’ Certificate as conclusive evidence of the facts therein set forth and of the fact that all Securities of such series not listed therein are outstanding for the purpose of any such determination.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7.05.          </w:t>
      </w:r>
      <w:r>
        <w:rPr>
          <w:rFonts w:ascii="Times New Roman;Times;Serif" w:hAnsi="Times New Roman;Times;Serif"/>
          <w:b w:val="false"/>
          <w:i w:val="false"/>
          <w:caps w:val="false"/>
          <w:smallCaps w:val="false"/>
          <w:sz w:val="20"/>
          <w:u w:val="single"/>
        </w:rPr>
        <w:t>Record Date for Action by Holders</w:t>
      </w:r>
      <w:r>
        <w:rPr>
          <w:rFonts w:ascii="Times New Roman;Times;Serif" w:hAnsi="Times New Roman;Times;Serif"/>
          <w:b w:val="false"/>
          <w:i w:val="false"/>
          <w:caps w:val="false"/>
          <w:smallCaps w:val="false"/>
          <w:sz w:val="20"/>
        </w:rPr>
        <w:t>. Whenever in this Indenture it is provided that Holders of a specified percentage in aggregate principal amount of the Securities of any series may take any action (including the making of any demand or request, the giving of any direction, notice, consent or waiver or the taking of any other action), other than any action taken at a meeting of Holders of such series called pursuant to Article 8, the Company may, but shall not be obligated to, fix a record date, which need not be the date provided in TIA Section 316(c) to the extent it would otherwise be applicable, for the purpose of determining the Holders entitled to give their consent or take any other action described above or required or permitted to be taken pursuant to this Indenture. If a record date is fixed, then notwithstanding Section 7.06, those Persons who were Holders at such record date (or their duly designated proxies), and only those Persons, shall be entitled to give such consent or to revoke any consent previously given or to take any such action, whether or not such Persons continue to be Holders after such record date. No such consent shall be valid or effective for more than 90 days after such record date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7.06.          </w:t>
      </w:r>
      <w:r>
        <w:rPr>
          <w:rFonts w:ascii="Times New Roman;Times;Serif" w:hAnsi="Times New Roman;Times;Serif"/>
          <w:b w:val="false"/>
          <w:i w:val="false"/>
          <w:caps w:val="false"/>
          <w:smallCaps w:val="false"/>
          <w:sz w:val="20"/>
          <w:u w:val="single"/>
        </w:rPr>
        <w:t>Right of Revocation of Action Taken</w:t>
      </w:r>
      <w:r>
        <w:rPr>
          <w:rFonts w:ascii="Times New Roman;Times;Serif" w:hAnsi="Times New Roman;Times;Serif"/>
          <w:b w:val="false"/>
          <w:i w:val="false"/>
          <w:caps w:val="false"/>
          <w:smallCaps w:val="false"/>
          <w:sz w:val="20"/>
        </w:rPr>
        <w:t>. At any time prior to (but not after) the evidencing to the Trustee, as provided in Section 7.01, of the taking of any action by the Holders of the percentage in aggregate Principal Amount of the Securities of any series specified in this Indenture in connection with such action, any Holder of a Security the serial number of which is shown by the evidence to be included among the serial numbers of the Securities of the series the Holders of which have consented to such action may, by filing written notice at the Corporate Trust Office and upon proof of holding as provided in this Article 7, revoke such action so far as concerns such Security. Except as aforesaid, any such action taken by the Holder of any Security shall be conclusive and binding upon such Holder and upon all future holders and owners of such Security and of any Securities issued in exchange or substitution therefor, irrespective of whether or not any notation in regard thereto is made upon any such Security. Any action taken by the Holders of the percentage in aggregate Principal Amount of the Securities of any series specified in this Indenture in connection with such action shall be conclusively binding upon the Company, each Guarantor with respect to such series, if any, the Trustee and the Holders of all the Securities of such series.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8</w:t>
        <w:br/>
        <w:br/>
        <w:t>MEETINGS OF HOLDERS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8.01.          </w:t>
      </w:r>
      <w:r>
        <w:rPr>
          <w:rFonts w:ascii="Times New Roman;Times;Serif" w:hAnsi="Times New Roman;Times;Serif"/>
          <w:b w:val="false"/>
          <w:i w:val="false"/>
          <w:caps w:val="false"/>
          <w:smallCaps w:val="false"/>
          <w:sz w:val="20"/>
          <w:u w:val="single"/>
        </w:rPr>
        <w:t>Purposes for Which Meeting May Be Called</w:t>
      </w:r>
      <w:r>
        <w:rPr>
          <w:rFonts w:ascii="Times New Roman;Times;Serif" w:hAnsi="Times New Roman;Times;Serif"/>
          <w:b w:val="false"/>
          <w:i w:val="false"/>
          <w:caps w:val="false"/>
          <w:smallCaps w:val="false"/>
          <w:sz w:val="20"/>
        </w:rPr>
        <w:t>. A meeting of Holders of Securities of any series may be called at any time and from time to time pursuant to the provisions of this Article 8 for any of the following purposes: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sz w:val="20"/>
          <w:bdr w:val="single" w:sz="8" w:space="1" w:color="000000"/>
        </w:rPr>
      </w:pPr>
      <w:r>
        <w:rPr>
          <w:sz w:val="20"/>
          <w:bdr w:val="single" w:sz="8" w:space="1" w:color="000000"/>
        </w:rPr>
        <w:t>-28-</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to give any notice to the Company, any Guarantor or to the Trustee, or to give any directions to the Trustee, or to consent to the waiving of any Default or Event of Default with respect to the Securities of such series hereunder and its consequences, or take any other action authorized to be taken by Holders of such series pursuant to any of the provisions of Article 5;</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to remove the Trustee and appoint a successor trustee with respect to the Securities of such series pursuant to the provisions of Article 6;</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to consent to the execution of an indenture or indentures supplemental hereto pursuant to the provisions of Section 9.02; or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to take any other action authorized to be taken by or on behalf of the Holders of the percentage in aggregate Principal Amount of the Securities of such series under any other provisions of this Indenture or under applicable law.</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8.02.          </w:t>
      </w:r>
      <w:r>
        <w:rPr>
          <w:rFonts w:ascii="Times New Roman;Times;Serif" w:hAnsi="Times New Roman;Times;Serif"/>
          <w:b w:val="false"/>
          <w:i w:val="false"/>
          <w:caps w:val="false"/>
          <w:smallCaps w:val="false"/>
          <w:sz w:val="20"/>
          <w:u w:val="single"/>
        </w:rPr>
        <w:t>Manner of Calling Meetings; Record Date</w:t>
      </w:r>
      <w:r>
        <w:rPr>
          <w:rFonts w:ascii="Times New Roman;Times;Serif" w:hAnsi="Times New Roman;Times;Serif"/>
          <w:b w:val="false"/>
          <w:i w:val="false"/>
          <w:caps w:val="false"/>
          <w:smallCaps w:val="false"/>
          <w:sz w:val="20"/>
        </w:rPr>
        <w:t>. The Trustee may at any time call a meeting of Holders of any series to take any action specified in Section 8.01, to be held at such time and at such place in [●], or as the Trustee shall determine. Notice of every meeting of Holders of any series setting forth the time and the place of such meeting and in general terms the action proposed to be taken at such meeting, shall be mailed not less than 30 nor more than 60 calendar days prior to the date fixed for the meeting to such Holders at their registered addresses. For the purpose of determining Holders entitled to notice of any meeting of Holders, the Trustee shall fix in advance a date as the record date for such determination, such date to be a Business Day not more than 10 calendar days prior to the date of the mailing of such notice as hereinabove provided. Only persons in whose name a Security of such series is registered upon the books of the Company on a record date fixed by the Trustee as aforesaid, or by the Company or the Holders as in Section 8.03 provided, shall be entitled to notice of the meeting of Holders with respect to which such record date was so fixed.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8.03.          </w:t>
      </w:r>
      <w:r>
        <w:rPr>
          <w:rFonts w:ascii="Times New Roman;Times;Serif" w:hAnsi="Times New Roman;Times;Serif"/>
          <w:b w:val="false"/>
          <w:i w:val="false"/>
          <w:caps w:val="false"/>
          <w:smallCaps w:val="false"/>
          <w:sz w:val="20"/>
          <w:u w:val="single"/>
        </w:rPr>
        <w:t>Call of Meeting by Company or Holders</w:t>
      </w:r>
      <w:r>
        <w:rPr>
          <w:rFonts w:ascii="Times New Roman;Times;Serif" w:hAnsi="Times New Roman;Times;Serif"/>
          <w:b w:val="false"/>
          <w:i w:val="false"/>
          <w:caps w:val="false"/>
          <w:smallCaps w:val="false"/>
          <w:sz w:val="20"/>
        </w:rPr>
        <w:t>. In case at any time the Company or a Guarantor, if any, pursuant to a resolution of its Board of Directors, or the Holders of at least 10 percent in aggregate principal amount of the Securities of any series then outstanding, shall have requested the Trustee to call a meeting of the Holders of such series to take any action authorized in Section 8.01 by written request setting forth in reasonable detail the action proposed to be taken at the meeting, and the Trustee shall not have mailed notice of such meeting within 20 calendar days after receipt of such request, then the Company, any such Guarantor or the Holders of Securities of such series in the amount above specified may fix the record date with respect to, and determine the time and the place for, such meeting and may call such meeting to take any action authorized in Section 8.01, by mailing notice thereof as provided in Section 8.02. The record date fixed as provided in the preceding sentence shall be set forth in a written notice to the Trustee and shall be a Business Day not less than 15 nor more than 20 calendar days after the date on which such notice is sent to the Trustee.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8.04.          </w:t>
      </w:r>
      <w:r>
        <w:rPr>
          <w:rFonts w:ascii="Times New Roman;Times;Serif" w:hAnsi="Times New Roman;Times;Serif"/>
          <w:b w:val="false"/>
          <w:i w:val="false"/>
          <w:caps w:val="false"/>
          <w:smallCaps w:val="false"/>
          <w:sz w:val="20"/>
          <w:u w:val="single"/>
        </w:rPr>
        <w:t>Who May Attend and Vote at Meeting</w:t>
      </w:r>
      <w:r>
        <w:rPr>
          <w:rFonts w:ascii="Times New Roman;Times;Serif" w:hAnsi="Times New Roman;Times;Serif"/>
          <w:b w:val="false"/>
          <w:i w:val="false"/>
          <w:caps w:val="false"/>
          <w:smallCaps w:val="false"/>
          <w:sz w:val="20"/>
        </w:rPr>
        <w:t>. To be entitled to vote at any meeting of Holders of any series, a person shall be a Holder of one or more Securities of such series. The only persons who shall be entitled to be present or to speak at any meeting of Holders of any series shall be the persons entitled to vote at such meeting and their counsel, any representatives of the Trustee and its counsel, any representatives of the Company and its counsel, and any representatives of any Guarantor of such Securities and its counsel. When a determination of Holders entitled to vote at any meeting of Holders has been made as provided in this Section 8.04, such determination shall apply to any adjournment thereof.</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8.05.          </w:t>
      </w:r>
      <w:r>
        <w:rPr>
          <w:rFonts w:ascii="Times New Roman;Times;Serif" w:hAnsi="Times New Roman;Times;Serif"/>
          <w:b w:val="false"/>
          <w:i w:val="false"/>
          <w:caps w:val="false"/>
          <w:smallCaps w:val="false"/>
          <w:sz w:val="20"/>
          <w:u w:val="single"/>
        </w:rPr>
        <w:t>Regulations</w:t>
      </w:r>
      <w:r>
        <w:rPr>
          <w:rFonts w:ascii="Times New Roman;Times;Serif" w:hAnsi="Times New Roman;Times;Serif"/>
          <w:b w:val="false"/>
          <w:i w:val="false"/>
          <w:caps w:val="false"/>
          <w:smallCaps w:val="false"/>
          <w:sz w:val="20"/>
        </w:rPr>
        <w:t>. Notwithstanding any other provisions of this Indenture, the Trustee may make such reasonable regulations as it may deem advisable for any meeting of Holders of any series, in regard to proof of the holding of the Securities of such series and of the appointment of proxies, and in regard to the appointment and duties of inspectors of votes, the submission and examination of proxies, certificates and other evidence of the right to vote, and such other matters concerning the conduct of the meeting as it shall think fit. Except as otherwise permitted or required by any such regulations, the holding of the Securities of such series shall be provided in the manner specified in Section 8.06.</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sz w:val="20"/>
          <w:bdr w:val="single" w:sz="8" w:space="1" w:color="000000"/>
        </w:rPr>
      </w:pPr>
      <w:r>
        <w:rPr>
          <w:sz w:val="20"/>
          <w:bdr w:val="single" w:sz="8" w:space="1" w:color="000000"/>
        </w:rPr>
        <w:t>-29-</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shall, by an instrument in writing, appoint a temporary chairman of the meeting, unless the meeting shall have been called by the Company or by Holders as provided in Section 8.03, in which case the Company or the Holders calling the meeting, as the case may be, shall in like manner appoint a temporary chairman. A permanent chairman and a permanent secretary of the meeting shall be elected by a vote of the Holders of a majority in Principal Amount of the Securities represented at the meeting and entitled to vote.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Subject to the provisions of Section 7.04, at any meeting each Holder or proxy entitled to vote thereat shall be entitled to one vote for each $1,000 principal amount of Securities of such series held or represented by him;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 vote shall be cast or counted at any meeting in respect of any Security challenged as not outstanding and ruled by the chairman of the meeting to be not outstanding. The chairman of the meeting shall have no right to vote other than by virtue of Securities held by him or instruments in writing as aforesaid duly designating him as the person to vote on behalf of other Holders. Any meeting of Holders duly called pursuant to the provisions of Section 8.02 or 8.03 may be adjourned from time to time, and the meeting may be held as so adjourned without further notice.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any meeting of Holders of any series, the presence of persons who held, or who are acting as proxy for persons who held, an aggregate Principal Amount of Securities of such series on the record date for such meeting sufficient to take action on the business for the transaction of which such meeting was called shall constitute a quorum, but, if less than a quorum is present, the persons holding or representing a majority in aggregate Principal Amount of the Securities of such series represented at the meeting may adjourn such meeting with the same effect, for all intents and purposes, as though a quorum had been present.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8.06.          </w:t>
      </w:r>
      <w:r>
        <w:rPr>
          <w:rFonts w:ascii="Times New Roman;Times;Serif" w:hAnsi="Times New Roman;Times;Serif"/>
          <w:b w:val="false"/>
          <w:i w:val="false"/>
          <w:caps w:val="false"/>
          <w:smallCaps w:val="false"/>
          <w:sz w:val="20"/>
          <w:u w:val="single"/>
        </w:rPr>
        <w:t>Manner of Voting at Meetings and Record to be Kept</w:t>
      </w:r>
      <w:r>
        <w:rPr>
          <w:rFonts w:ascii="Times New Roman;Times;Serif" w:hAnsi="Times New Roman;Times;Serif"/>
          <w:b w:val="false"/>
          <w:i w:val="false"/>
          <w:caps w:val="false"/>
          <w:smallCaps w:val="false"/>
          <w:sz w:val="20"/>
        </w:rPr>
        <w:t>. The vote upon any resolution submitted to any meeting of Holders of any series shall be by written ballots on each of which shall be subscribed the signature of the Holder or proxy casting such ballot and the identifying number or numbers of the Securities of such series held or represented in respect of which such ballot is cast. The permanent chairman of the meeting shall appoint two inspectors of votes who shall count all votes cast at the meeting for or against any resolution and who shall make and file with the secretary of the meeting their verified written reports in duplicate of all votes cast at the meeting. A record in duplicate of the proceedings of each meeting of Holders shall be prepared by the secretary of the meeting and there shall be attached to said record the original reports of the inspectors of votes on any vote by ballot taken thereat and affidavits by one or more persons having knowledge of the facts setting forth a copy of the notice of the meeting and showing that said notice was mailed as provided in Section 8.02. The record shall show the identifying numbers of the Securities of such series voting in favor of or against any resolution. Each counterpart of such record shall be signed and verified by the affidavits of the permanent chairman and secretary of the meeting and one of the counterparts shall be delivered to the Company and the other to the Trustee to be preserved by the Trustee.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counterpart record so signed and verified shall be conclusive evidence of the matters therein stated and shall be the record referred to in clause (b) of Section 7.01.</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8.07.          </w:t>
      </w:r>
      <w:r>
        <w:rPr>
          <w:rFonts w:ascii="Times New Roman;Times;Serif" w:hAnsi="Times New Roman;Times;Serif"/>
          <w:b w:val="false"/>
          <w:i w:val="false"/>
          <w:caps w:val="false"/>
          <w:smallCaps w:val="false"/>
          <w:sz w:val="20"/>
          <w:u w:val="single"/>
        </w:rPr>
        <w:t>Exercise of Rights of Trustee and Holders Not to be Hindered or Delayed</w:t>
      </w:r>
      <w:r>
        <w:rPr>
          <w:rFonts w:ascii="Times New Roman;Times;Serif" w:hAnsi="Times New Roman;Times;Serif"/>
          <w:b w:val="false"/>
          <w:i w:val="false"/>
          <w:caps w:val="false"/>
          <w:smallCaps w:val="false"/>
          <w:sz w:val="20"/>
        </w:rPr>
        <w:t>. Nothing in this Article 8 contained shall be deemed or construed to authorize or permit, by reason of any call of a meeting of Holders or any rights expressly or impliedly conferred hereunder to make such call, any hindrance or delay in the exercise of any right or rights conferred upon or reserved to the Trustee or to the Holders of any series under any of the provisions of this Indenture or of the Securities of such series.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9</w:t>
        <w:br/>
        <w:br/>
        <w:t>SUPPLEMENTAL INDENTURES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9.01.          </w:t>
      </w:r>
      <w:r>
        <w:rPr>
          <w:rFonts w:ascii="Times New Roman;Times;Serif" w:hAnsi="Times New Roman;Times;Serif"/>
          <w:b w:val="false"/>
          <w:i w:val="false"/>
          <w:caps w:val="false"/>
          <w:smallCaps w:val="false"/>
          <w:sz w:val="20"/>
          <w:u w:val="single"/>
        </w:rPr>
        <w:t>Supplemental Indentures Without Consent of Holders</w:t>
      </w:r>
      <w:r>
        <w:rPr>
          <w:rFonts w:ascii="Times New Roman;Times;Serif" w:hAnsi="Times New Roman;Times;Serif"/>
          <w:b w:val="false"/>
          <w:i w:val="false"/>
          <w:caps w:val="false"/>
          <w:smallCaps w:val="false"/>
          <w:sz w:val="20"/>
        </w:rPr>
        <w:t>. The Company, the Guarantors, if any, and the Trustee may amend or supplement this Indenture or the Securities of any series or waive any provision hereof or thereof without the consent of any Holder: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sz w:val="20"/>
          <w:bdr w:val="single" w:sz="8" w:space="1" w:color="000000"/>
        </w:rPr>
      </w:pPr>
      <w:r>
        <w:rPr>
          <w:sz w:val="20"/>
          <w:bdr w:val="single" w:sz="8" w:space="1" w:color="000000"/>
        </w:rPr>
        <w:t>-30-</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to cure any ambiguity, defect or inconsistency in a manner that does not, individually or in the aggregate with all other changes, adversely affect the rights of any Holder of the Securities of any series in any material respect;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to provide for uncertificated Securities in addition to or in place of certificated Securities;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to evidence the assumption of the obligations of the Company or a Guarantor to the Holders of the Securities in the case of any transaction pursuant to Article 10 hereof;</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to evidence and provide for the acceptance of appointment hereunder by a successor trustee and to add to or change any of the provisions of the Indenture as shall be necessary to provide for or facilitate the administration of the trusts hereunder by more than one trustee;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to make any change that would provide any additional rights or benefits to the Holders of all or any series of Securities or that does not adversely affect the legal rights hereunder of any such Holder;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to comply with requirements of the Commission in order to effect or maintain the qualification of this Indenture under the Trust Indenture Act;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to establish the form or terms of Securities of any series as permitted by Sections 2.01 and 3.01;</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to secure the Company’s obligations in respect of the Securities of any series;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to add an additional Guarantor in respect of the Securities of any series.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in the case of convertible or exchangeable Securities of any series, subject to the provisions of the supplemental indenture for such series of Securities, to provide for conversion rights, exchange rights and/or repurchase rights of Holders of such series of Securities in connection with any reclassification or change of the Company’s common stock or in the event of any amalgamation, consolidation, merger or sale of all or substantially all of the assets of the Company or its Subsidiaries substantially as an entirety occurs;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in the case of convertible or exchangeable Securities of any series, to reduce the conversion price or exchange price applicable to such series of Securities;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                  in the case of convertible or exchangeable Securities of any series, to increase the conversion rate or exchange ratio in the manner described in the supplemental indenture for such series of Securities, </w:t>
      </w:r>
      <w:r>
        <w:rPr>
          <w:rFonts w:ascii="Times New Roman;Times;Serif" w:hAnsi="Times New Roman;Times;Serif"/>
          <w:b w:val="false"/>
          <w:i w:val="false"/>
          <w:caps w:val="false"/>
          <w:smallCaps w:val="false"/>
          <w:sz w:val="20"/>
          <w:u w:val="single"/>
        </w:rPr>
        <w:t xml:space="preserve">provided </w:t>
      </w:r>
      <w:r>
        <w:rPr>
          <w:rFonts w:ascii="Times New Roman;Times;Serif" w:hAnsi="Times New Roman;Times;Serif"/>
          <w:b w:val="false"/>
          <w:i w:val="false"/>
          <w:caps w:val="false"/>
          <w:smallCaps w:val="false"/>
          <w:sz w:val="20"/>
        </w:rPr>
        <w:t>that the increase will not adversely affect the interests of the Holders of the Securities of such series in any material respect; or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any other action to amend or supplement the Indenture or the Securities of any series as set forth in the supplemental indenture establishing the terms of the Securities of that series as provided in Section 3.01(b).</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request of the Company accompanied by a resolution of its Board of Directors authorizing the execution of any such supplemental indenture, and upon receipt by the Trustee of the documents described in Section 9.04 hereof, the Trustee shall join with the Company and the Guarantors, if any, in the execution of any supplemental indenture authorized or permitted by the terms of this Indenture and to make any further appropriate agreements and stipulations which may be therein contained, but the Trustee shall not be obligated to enter into such supplemental indenture which affects its own rights, duties or immunities under this Indenture or otherwise.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9.02.         </w:t>
      </w:r>
      <w:r>
        <w:rPr>
          <w:rFonts w:ascii="Times New Roman;Times;Serif" w:hAnsi="Times New Roman;Times;Serif"/>
          <w:b w:val="false"/>
          <w:i w:val="false"/>
          <w:caps w:val="false"/>
          <w:smallCaps w:val="false"/>
          <w:sz w:val="20"/>
          <w:u w:val="single"/>
        </w:rPr>
        <w:t>With Consent of Holders</w:t>
      </w:r>
      <w:r>
        <w:rPr>
          <w:rFonts w:ascii="Times New Roman;Times;Serif" w:hAnsi="Times New Roman;Times;Serif"/>
          <w:b w:val="false"/>
          <w:i w:val="false"/>
          <w:caps w:val="false"/>
          <w:smallCaps w:val="false"/>
          <w:sz w:val="20"/>
        </w:rPr>
        <w:t>. Except as provided in the next succeeding paragraphs, this Indenture or the Securities may be amended or supplemented with the consent of the Holders of at least a majority in aggregate Principal Amount of all the Securities then outstanding affected by such supplemental indenture (acting as a single class).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sz w:val="20"/>
          <w:bdr w:val="single" w:sz="8" w:space="1" w:color="000000"/>
        </w:rPr>
      </w:pPr>
      <w:r>
        <w:rPr>
          <w:sz w:val="20"/>
          <w:bdr w:val="single" w:sz="8" w:space="1" w:color="000000"/>
        </w:rPr>
        <w:t>-31-</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request of the Company accompanied by a resolution of its Board of Directors authorizing the execution of any such supplemental indenture, and upon the filing with the Trustee of evidence satisfactory to the Trustee of the consent of the Holders as aforesaid, and upon receipt by the Trustee of the documents described in Section 9.04 hereof, the Trustee shall join with the Company and the Guarantors, if any, in the execution of such supplemental indenture unless such supplemental indenture affects the Trustee’s own rights, duties or immunities under this Indenture or otherwise, in which case the Trustee may in its discretion, but shall not be obligated to, enter into such supplemental indenture.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shall not be necessary for the consent of the Holders under this Section 9.02 to approve the particular form of any proposed amendment or waiver, but it shall be sufficient if such consent approves the substance thereof.</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an amendment, supplement or waiver under this Section becomes effective, the Company shall mail to the Holders affected thereby a notice briefly describing the amendment, supplement or waiver. Any failure of the Company to mail such notice, or any defect therein, shall not, however, in any way impair or affect the validity of any such supplemental indenture or waiver. Subject to Sections 5.02(b), 5.04 and 5.07 hereof, the application of or compliance with, either generally or in a particular instance, of any provision of this Indenture or the Securities may be waived as to each series of Securities by the Holders of a majority in aggregate principal amount of the outstanding Securities of that series.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the consent of each Holder affected thereby, however, an amendment or waiver may not: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reduce the percentage in Principal Amount of Securities of any series whose Holders must consent to an amendment, supplement or waiver;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change the Stated Maturity of the principal of, or any installment of principal of or interest on, or time for payment of interest on, any Security, or reduce the Principal Amount thereof or the rate of interest thereon or any premium payable upon the redemption thereof, or change any Payment Office where, or the coin or currency in which, any Security or any premium or interest thereon is payable, or impair the right to institute suit for the enforcement of any such payment on or after the Stated Maturity thereof (or, in the case of redemption, on or after the redemption date);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modify any of the provisions of this Section 9.02, Section 5.04 or Section 4.06, except to increase the percentage in Principal Amount of Holders required under any such Section or to provide that certain other provisions of this Indenture cannot be modified or waived without the consent of the Holder of each outstanding Security affected thereby,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this clause (c) will not be deemed to require the consent of any Holder with respect to changes in the references to “the Trustee” and concomitant changes in this Section 9.02, Section 5.02(b), Section 5.04 and Section 4.06, or the deletion of this proviso, in accordance with the requirements of Section 6.11;</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impair the rights of Holders of the Securities of any series that are exchangeable or convertible to receive payment or delivery of any consideration due upon the conversion or exchange of the Securities of that series;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change in any manner adverse to the interests of the Holders of any outstanding Securities the terms and conditions of the obligations of the Guarantors, if applicable, in respect of the due and punctual payment of the principal thereof (and premium, if any, thereon) and interest thereon or any additional amounts or any sinking fund or analogous payments provided in respect thereof; or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modify or amend any of the provisions of the Indenture or Securities of any series as may be set forth in the supplemental indenture with respect to the Securities of that series as requiring the consent of each Holder affected thereby.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9.03.         </w:t>
      </w:r>
      <w:r>
        <w:rPr>
          <w:rFonts w:ascii="Times New Roman;Times;Serif" w:hAnsi="Times New Roman;Times;Serif"/>
          <w:b w:val="false"/>
          <w:i w:val="false"/>
          <w:caps w:val="false"/>
          <w:smallCaps w:val="false"/>
          <w:sz w:val="20"/>
          <w:u w:val="single"/>
        </w:rPr>
        <w:t>Effect of Supplemental Indenture</w:t>
      </w:r>
      <w:r>
        <w:rPr>
          <w:rFonts w:ascii="Times New Roman;Times;Serif" w:hAnsi="Times New Roman;Times;Serif"/>
          <w:b w:val="false"/>
          <w:i w:val="false"/>
          <w:caps w:val="false"/>
          <w:smallCaps w:val="false"/>
          <w:sz w:val="20"/>
        </w:rPr>
        <w:t>. Upon the execution of any supplemental indenture pursuant to the provisions hereof, this Indenture shall be and be deemed to be modified and amended in accordance therewith and the respective rights, limitations of rights, obligations, duties and immunities under this Indenture of the Trustee, the Company, each Guarantor, if any, and the Holders shall thereafter be determined, exercised and enforced hereunder subject in all respects to such modifications and amendments, and all the terms and conditions of any such supplemental indenture shall be and be deemed to be part of the terms and conditions of this Indenture for any and all purposes.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sz w:val="20"/>
          <w:bdr w:val="single" w:sz="8" w:space="1" w:color="000000"/>
        </w:rPr>
      </w:pPr>
      <w:r>
        <w:rPr>
          <w:sz w:val="20"/>
          <w:bdr w:val="single" w:sz="8" w:space="1" w:color="000000"/>
        </w:rPr>
        <w:t>-32-</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9.04.         </w:t>
      </w:r>
      <w:r>
        <w:rPr>
          <w:rFonts w:ascii="Times New Roman;Times;Serif" w:hAnsi="Times New Roman;Times;Serif"/>
          <w:b w:val="false"/>
          <w:i w:val="false"/>
          <w:caps w:val="false"/>
          <w:smallCaps w:val="false"/>
          <w:sz w:val="20"/>
          <w:u w:val="single"/>
        </w:rPr>
        <w:t>Documents to Be Given to Trustee; Compliance with TIA</w:t>
      </w:r>
      <w:r>
        <w:rPr>
          <w:rFonts w:ascii="Times New Roman;Times;Serif" w:hAnsi="Times New Roman;Times;Serif"/>
          <w:b w:val="false"/>
          <w:i w:val="false"/>
          <w:caps w:val="false"/>
          <w:smallCaps w:val="false"/>
          <w:sz w:val="20"/>
        </w:rPr>
        <w:t>. The Trustee, subject to the provisions of Sections 6.01 and 6.02, shall be entitled to receive and conclusively rely upon an Officers’ Certificate and an Opinion of Counsel as conclusive evidence that any such supplemental indenture is permitted or authorized under and otherwise complies with the applicable provisions of this Indenture. Every such supplemental indenture shall comply with the TIA.</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9.05.          </w:t>
      </w:r>
      <w:r>
        <w:rPr>
          <w:rFonts w:ascii="Times New Roman;Times;Serif" w:hAnsi="Times New Roman;Times;Serif"/>
          <w:b w:val="false"/>
          <w:i w:val="false"/>
          <w:caps w:val="false"/>
          <w:smallCaps w:val="false"/>
          <w:sz w:val="20"/>
          <w:u w:val="single"/>
        </w:rPr>
        <w:t>Notation on Securities in Respect of Supplemental Indentures</w:t>
      </w:r>
      <w:r>
        <w:rPr>
          <w:rFonts w:ascii="Times New Roman;Times;Serif" w:hAnsi="Times New Roman;Times;Serif"/>
          <w:b w:val="false"/>
          <w:i w:val="false"/>
          <w:caps w:val="false"/>
          <w:smallCaps w:val="false"/>
          <w:sz w:val="20"/>
        </w:rPr>
        <w:t>. Securities authenticated and delivered after the execution of any supplemental indenture pursuant to the provisions of this Article may bear a notation approved by the Trustee as to form (but not as to substance) as to any matter provided for by such supplemental indenture or as to any action taken at any such meeting. If the Company, any applicable Guarantor or the Trustee shall so determine, new Securities of any series so modified as to conform, in the opinion of the Trustee and the Board of Directors of the Company, to any modification of this Indenture contained in any such supplemental indenture may be prepared by the Company, endorsed by any such Guarantor, authenticated by the Trustee and delivered in exchange for the Securities of such series then outstanding.</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10</w:t>
        <w:br/>
        <w:br/>
        <w:t>CONSOLIDATION, MERGER OR SALE OF ASSETS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10.01.       </w:t>
      </w:r>
      <w:r>
        <w:rPr>
          <w:rFonts w:ascii="Times New Roman;Times;Serif" w:hAnsi="Times New Roman;Times;Serif"/>
          <w:b w:val="false"/>
          <w:i w:val="false"/>
          <w:caps w:val="false"/>
          <w:smallCaps w:val="false"/>
          <w:sz w:val="20"/>
          <w:u w:val="single"/>
        </w:rPr>
        <w:t>When the Company May Merge, Etc</w:t>
      </w:r>
      <w:r>
        <w:rPr>
          <w:rFonts w:ascii="Times New Roman;Times;Serif" w:hAnsi="Times New Roman;Times;Serif"/>
          <w:b w:val="false"/>
          <w:i w:val="false"/>
          <w:caps w:val="false"/>
          <w:smallCaps w:val="false"/>
          <w:sz w:val="20"/>
        </w:rPr>
        <w:t>. The Company shall not consolidate with or merge with or into, or sell, transfer, lease, convey or otherwise dispose of all or substantially all of its assets to, another Person (including pursuant to a statutory arrangement), whether in a single transaction or series of related transactions, unless: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is the surviving entity or the Person formed by or surviving any such consolidation or merger or to which such sale, transfer, lease, conveyance or other disposition is made shall be a Person organized and existing under the laws of the United States of America or any State or the District of Columbia, and shall expressly assume, by an indenture supplemental hereto, executed and delivered to the Trustee, the due and punctual payment of the principal of (and premium, if any) and interest, if any, on all the Securities and the performance or observance of every covenant of this Indenture of the part of the Company to be performed or observed;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immediately after giving effect to such transaction, no Event of Default, and no event which, after notice or lapse of time, or both, would become an Event of Default, shall have happened and be continuing; and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Company has delivered to the Trustee an Officers’ Certificate and an Opinion of Counsel each stating that such consolidation, merger, conveyance or transfer and, if a supplemental indenture is required in connection with such transaction, such supplemental indenture comply with this Article and that all conditions precedent herein provided for relating to such transaction have been complied with.</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10.02.       </w:t>
      </w:r>
      <w:r>
        <w:rPr>
          <w:rFonts w:ascii="Times New Roman;Times;Serif" w:hAnsi="Times New Roman;Times;Serif"/>
          <w:b w:val="false"/>
          <w:i w:val="false"/>
          <w:caps w:val="false"/>
          <w:smallCaps w:val="false"/>
          <w:sz w:val="20"/>
          <w:u w:val="single"/>
        </w:rPr>
        <w:t>Successor Person Substituted</w:t>
      </w:r>
      <w:r>
        <w:rPr>
          <w:rFonts w:ascii="Times New Roman;Times;Serif" w:hAnsi="Times New Roman;Times;Serif"/>
          <w:b w:val="false"/>
          <w:i w:val="false"/>
          <w:caps w:val="false"/>
          <w:smallCaps w:val="false"/>
          <w:sz w:val="20"/>
        </w:rPr>
        <w:t>. Upon any consolidation or merger, or any sale, transfer, lease, conveyance or other disposition of all or substantially all of the assets of the Company in accordance with Section 10.01 hereof, the successor Person formed by such consolidation or into or with which the Company is merged or to which such sale, transfer, lease, conveyance or other disposition is made shall succeed to, and, except in the case of a lease, be substituted for (so that from and after the date of such consolidation, merger, sale, transfer, conveyance or other disposition, the provisions of this Indenture referring to the “Company” shall refer instead to the successor Person), and may exercise every right and power of, the Company under this Indenture with the same effect as if such successor Person had been named as the Company herein.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of any such consolidation, merger, sale, transfer, lease, conveyance or other disposition such changes in phraseology and form (but not in substance) may be made in the Securities thereafter to be issued as may be appropriate. Notwithstanding the foregoing, (i) a consolidation or merger by the Company with or into, or (ii) the sale, transfer, lease, conveyance or other disposition by the Company of all or substantially all of its assets to, one or more of its Subsidiaries shall not relieve the Company from its obligations under this Indenture and the Securities.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sz w:val="20"/>
          <w:bdr w:val="single" w:sz="8" w:space="1" w:color="000000"/>
        </w:rPr>
      </w:pPr>
      <w:r>
        <w:rPr>
          <w:sz w:val="20"/>
          <w:bdr w:val="single" w:sz="8" w:space="1" w:color="000000"/>
        </w:rPr>
        <w:t>-33-</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10.03.        </w:t>
      </w:r>
      <w:r>
        <w:rPr>
          <w:rFonts w:ascii="Times New Roman;Times;Serif" w:hAnsi="Times New Roman;Times;Serif"/>
          <w:b w:val="false"/>
          <w:i w:val="false"/>
          <w:caps w:val="false"/>
          <w:smallCaps w:val="false"/>
          <w:sz w:val="20"/>
          <w:u w:val="single"/>
        </w:rPr>
        <w:t>Opinion of Counsel to Trustee</w:t>
      </w:r>
      <w:r>
        <w:rPr>
          <w:rFonts w:ascii="Times New Roman;Times;Serif" w:hAnsi="Times New Roman;Times;Serif"/>
          <w:b w:val="false"/>
          <w:i w:val="false"/>
          <w:caps w:val="false"/>
          <w:smallCaps w:val="false"/>
          <w:sz w:val="20"/>
        </w:rPr>
        <w:t>. The Trustee, subject to the provisions of Sections 6.01 and 6.02, may receive an Opinion of Counsel as conclusive evidence that any such consolidation, merger, sale, transfer, lease, conveyance or other disposition complies with the applicable provisions of this Indenture.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11</w:t>
        <w:br/>
        <w:br/>
        <w:t>REDEMPTION OF SECURITIES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11.01.       </w:t>
      </w:r>
      <w:r>
        <w:rPr>
          <w:rFonts w:ascii="Times New Roman;Times;Serif" w:hAnsi="Times New Roman;Times;Serif"/>
          <w:b w:val="false"/>
          <w:i w:val="false"/>
          <w:caps w:val="false"/>
          <w:smallCaps w:val="false"/>
          <w:sz w:val="20"/>
          <w:u w:val="single"/>
        </w:rPr>
        <w:t>Applicability of Article</w:t>
      </w:r>
      <w:r>
        <w:rPr>
          <w:rFonts w:ascii="Times New Roman;Times;Serif" w:hAnsi="Times New Roman;Times;Serif"/>
          <w:b w:val="false"/>
          <w:i w:val="false"/>
          <w:caps w:val="false"/>
          <w:smallCaps w:val="false"/>
          <w:sz w:val="20"/>
        </w:rPr>
        <w:t>. Securities of any series which are redeemable before their Stated Maturity shall be redeemable in accordance with their terms and (except as otherwise specified as contemplated by Section 3.01 for Securities of any series) in accordance with this Article.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11.02.       </w:t>
      </w:r>
      <w:r>
        <w:rPr>
          <w:rFonts w:ascii="Times New Roman;Times;Serif" w:hAnsi="Times New Roman;Times;Serif"/>
          <w:b w:val="false"/>
          <w:i w:val="false"/>
          <w:caps w:val="false"/>
          <w:smallCaps w:val="false"/>
          <w:sz w:val="20"/>
          <w:u w:val="single"/>
        </w:rPr>
        <w:t>Notice of Redemption; Partial Redemptions</w:t>
      </w:r>
      <w:r>
        <w:rPr>
          <w:rFonts w:ascii="Times New Roman;Times;Serif" w:hAnsi="Times New Roman;Times;Serif"/>
          <w:b w:val="false"/>
          <w:i w:val="false"/>
          <w:caps w:val="false"/>
          <w:smallCaps w:val="false"/>
          <w:sz w:val="20"/>
        </w:rPr>
        <w:t>. Notice of redemption to the Holders of Securities of any series to be redeemed as a whole or in part shall be given by mailing notice of such redemption by first class mail, postage prepaid, at least 30 calendar days and not more than 60 calendar days prior to the date fixed for redemption to such Holders of Securities at their last addresses as they shall appear upon the registry books. Any notice which is mailed in the manner herein provided shall be conclusively presumed to have been duly given, whether or not the Holder receives the notice. Failure to give notice by mail, or any defect in the notice to the Holder of any Security designated for redemption as a whole or in part shall not affect the validity of the proceedings for the redemption of any other Security.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notice of redemption to each such Holder shall identify the Securities to be redeemed (including CUSIP numbers) and shall specify the Principal Amount of each Security held by such Holder to be redeemed, the date fixed for redemption, the redemption price, the place or places of payment, that payment will be made upon presentation and surrender of such Securities, that interest accrued to the date fixed for redemption will be paid as specified in said notice and that on and after said date interest thereon or on the portions thereof to be redeemed will cease to accrue. In case any Security is to be redeemed in part only the notice of redemption shall state the portion of the Principal Amount thereof to be redeemed and shall state that on and after the date fixed for redemption, upon surrender of such Security, a new Security or Securities in Principal Amount equal to the unredeemed portion thereof will be issued.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notice of redemption of Securities of any series to be redeemed at the option of the Company shall be given by the Company or, at the Company’s request, by the Trustee in the name and at the expense of the Company.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later than 10:00 a.m. New York City time on the redemption date specified in the notice of redemption given as provided in this Section, the Company will deposit with the Trustee or with one or more Paying Agents (or, if the Company is acting as its own Paying Agent, set aside, segregate and hold in trust) an amount of money sufficient to redeem on the redemption date all the Securities of a series so called for redemption at the appropriate redemption price, together with accrued interest to the date fixed for redemption. The Company will deliver to the Trustee at least 30 calendar days prior to the date fixed for redemption an Officers’ Certificate stating the aggregate Principal Amount of Securities of such series to be redeemed.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less than all the Securities of a series are to be redeemed, the Trustee shall select, either pro rata, by lot or by any other method it shall deem fair and reasonable, Securities to be redeemed in whole or in part. Securities may be redeemed in part only in denominations equal to the minimum authorized denomination for Securities of that series or any integral multiple thereof. The Trustee shall promptly notify the Company in writing of the Securities selected for redemption and, in the case of any Securities selected for partial redemption, the Principal Amount thereof to be redeemed. For all purposes of this Indenture, unless the context otherwise requires, all provisions relating to the redemption of Securities shall relate, in the case of any Security redeemed or to be redeemed only in part, to the portion of the Principal Amount of such Security which has been or is to be redeemed.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sz w:val="20"/>
          <w:bdr w:val="single" w:sz="8" w:space="1" w:color="000000"/>
        </w:rPr>
      </w:pPr>
      <w:r>
        <w:rPr>
          <w:sz w:val="20"/>
          <w:bdr w:val="single" w:sz="8" w:space="1" w:color="000000"/>
        </w:rPr>
        <w:t>-34-</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11.03.        </w:t>
      </w:r>
      <w:r>
        <w:rPr>
          <w:rFonts w:ascii="Times New Roman;Times;Serif" w:hAnsi="Times New Roman;Times;Serif"/>
          <w:b w:val="false"/>
          <w:i w:val="false"/>
          <w:caps w:val="false"/>
          <w:smallCaps w:val="false"/>
          <w:sz w:val="20"/>
          <w:u w:val="single"/>
        </w:rPr>
        <w:t>Payment of Securities Called for Redemption</w:t>
      </w:r>
      <w:r>
        <w:rPr>
          <w:rFonts w:ascii="Times New Roman;Times;Serif" w:hAnsi="Times New Roman;Times;Serif"/>
          <w:b w:val="false"/>
          <w:i w:val="false"/>
          <w:caps w:val="false"/>
          <w:smallCaps w:val="false"/>
          <w:sz w:val="20"/>
        </w:rPr>
        <w:t xml:space="preserve">. If notice of redemption has been given as above provided, the Securities or portions of Securities specified in such notice shall become due and payable on the date and at the place stated in such notice at the applicable redemption price, together with interest accrued to, but not including, the date fixed for redemption, and on and after said date (unless the Company and any Guarantors shall default in the payment of such Securities at the redemption price, together with interest accrued to said date) interest on the Securities or portions of Securities so called for redemption shall cease to accrue and, except as provided in Sections 6.05 and 12.06, such Securities shall cease from and after the date fixed for redemption to be entitled to any benefit or security under this Indenture, and the Holders thereof shall have no right in respect of such Securities except the right to receive the redemption price thereof and unpaid interest to the date fixed for redemption. On presentation and surrender of such Securities at a Payment Office specified in said notice, said Securities or the specified portions thereof shall be paid and redeemed by the Company at the applicable redemption price, together with interest accrued thereon to, but not including, the date fixed for redemption; </w:t>
      </w:r>
      <w:r>
        <w:rPr>
          <w:rFonts w:ascii="Times New Roman;Times;Serif" w:hAnsi="Times New Roman;Times;Serif"/>
          <w:b w:val="false"/>
          <w:i w:val="false"/>
          <w:caps w:val="false"/>
          <w:smallCaps w:val="false"/>
          <w:sz w:val="20"/>
          <w:u w:val="single"/>
        </w:rPr>
        <w:t xml:space="preserve">provided </w:t>
      </w:r>
      <w:r>
        <w:rPr>
          <w:rFonts w:ascii="Times New Roman;Times;Serif" w:hAnsi="Times New Roman;Times;Serif"/>
          <w:b w:val="false"/>
          <w:i w:val="false"/>
          <w:caps w:val="false"/>
          <w:smallCaps w:val="false"/>
          <w:sz w:val="20"/>
        </w:rPr>
        <w:t>that any payment of interest becoming due on the date fixed for redemption shall be payable to the Holders of such Securities registered as such on the relevant Regular Record Date subject to the terms and provisions of Section 3.05 hereof.</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Security called for redemption shall not be so paid upon surrender thereof for redemption, the principal shall, until paid or duly provided for, bear interest from the date fixed for redemption at the rate borne by the Security.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presentation of any Securities redeemed in part only, the Company shall execute, the Guarantors, if any, shall, execute the Guarantees endorsed thereon, and the Trustee shall authenticate and make available for delivery to or on the order of the Holder thereof, at the expense of the Company, new Securities of authorized denominations, in Principal Amount equal to the unredeemed portion of the Securities so presented.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12</w:t>
        <w:br/>
        <w:br/>
        <w:t>DEFEASANCE AND COVENANT DEFEASANCE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12.01.        </w:t>
      </w:r>
      <w:r>
        <w:rPr>
          <w:rFonts w:ascii="Times New Roman;Times;Serif" w:hAnsi="Times New Roman;Times;Serif"/>
          <w:b w:val="false"/>
          <w:i w:val="false"/>
          <w:caps w:val="false"/>
          <w:smallCaps w:val="false"/>
          <w:sz w:val="20"/>
          <w:u w:val="single"/>
        </w:rPr>
        <w:t>Applicability of the Article; Company’s Option to Effect Defeasance or Covenant Defeasance</w:t>
      </w:r>
      <w:r>
        <w:rPr>
          <w:rFonts w:ascii="Times New Roman;Times;Serif" w:hAnsi="Times New Roman;Times;Serif"/>
          <w:b w:val="false"/>
          <w:i w:val="false"/>
          <w:caps w:val="false"/>
          <w:smallCaps w:val="false"/>
          <w:sz w:val="20"/>
        </w:rPr>
        <w:t>. Unless pursuant to Section 3.01 provision is made for the inapplicability of either or both of (a) defeasance of the Securities of a series under Section 12.02 or (b) covenant defeasance of the Securities of a series under Section 12.03, then the provisions of such Section or Sections, as the case may be, together with the other provisions of this Article, shall be applicable to the Securities of such series, and the Company may, at its option, by resolution of its Board of Directors, at any time, elect to have either Section 12.02 or Section 12.03 applied to the outstanding Securities of a series upon compliance with the conditions set forth below in this Article 12.</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12.02.        </w:t>
      </w:r>
      <w:r>
        <w:rPr>
          <w:rFonts w:ascii="Times New Roman;Times;Serif" w:hAnsi="Times New Roman;Times;Serif"/>
          <w:b w:val="false"/>
          <w:i w:val="false"/>
          <w:caps w:val="false"/>
          <w:smallCaps w:val="false"/>
          <w:sz w:val="20"/>
          <w:u w:val="single"/>
        </w:rPr>
        <w:t>Legal Defeasance and Discharge</w:t>
      </w:r>
      <w:r>
        <w:rPr>
          <w:rFonts w:ascii="Times New Roman;Times;Serif" w:hAnsi="Times New Roman;Times;Serif"/>
          <w:b w:val="false"/>
          <w:i w:val="false"/>
          <w:caps w:val="false"/>
          <w:smallCaps w:val="false"/>
          <w:sz w:val="20"/>
        </w:rPr>
        <w:t>. Upon the Company’s exercise of the option provided under Section 12.01 hereof to defease the outstanding Securities of a particular series under this Section 12.02, the Company and any Guarantors shall be deemed to have been discharged from its obligations with respect to such outstanding Securities and related Guarantees on the date the conditions set forth below are satisfied (hereinafter, “Legal Defeasance”). For this purpose, such Legal Defeasance means that the Company shall be deemed to have paid and discharged the entire indebtedness represented by the outstanding Securities of such series, which shall thereafter be deemed to be “outstanding” only for the purposes of Section 12.05 hereof and the other Sections of this Indenture referred to in clauses (i) and (ii) of this Section 12.02, and to have satisfied all its other obligations under such Securities and this Indenture (and the Trustee, on demand of and at the expense of the Company shall execute proper instruments acknowledging the same), except for the following provisions which shall survive until otherwise terminated or discharged hereunder: (i) the rights of Holders of outstanding Securities of such series to receive solely from the trust fund described in Section 12.04 hereof, and as more fully set forth in such Section, payments in respect of the principal of (and premium, if any) and interest, if any, on such Securities when such payments are due, (ii) the obligations of the Company or any Guarantor with respect to such Securities under Sections 3.06, 3.07, 3.08(a), 3.09, 3.11, and 12.05 hereof, (iii) the rights, powers, trusts, duties and immunities of the Trustee hereunder, including, without limitation, the Trustee’s rights under Section 6.07 hereof, and the obligations of the Company or any Guarantor in connection therewith and with this Article 12. Subject to compliance with this Article 12, the Company may exercise its option under this Section 12.02 notwithstanding the prior exercise of its option under Section 12.03 hereof with respect to the Securities of such series.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sz w:val="20"/>
          <w:bdr w:val="single" w:sz="8" w:space="1" w:color="000000"/>
        </w:rPr>
      </w:pPr>
      <w:r>
        <w:rPr>
          <w:sz w:val="20"/>
          <w:bdr w:val="single" w:sz="8" w:space="1" w:color="000000"/>
        </w:rPr>
        <w:t>-35-</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12.03.        </w:t>
      </w:r>
      <w:r>
        <w:rPr>
          <w:rFonts w:ascii="Times New Roman;Times;Serif" w:hAnsi="Times New Roman;Times;Serif"/>
          <w:b w:val="false"/>
          <w:i w:val="false"/>
          <w:caps w:val="false"/>
          <w:smallCaps w:val="false"/>
          <w:sz w:val="20"/>
          <w:u w:val="single"/>
        </w:rPr>
        <w:t>Covenant Defeasance</w:t>
      </w:r>
      <w:r>
        <w:rPr>
          <w:rFonts w:ascii="Times New Roman;Times;Serif" w:hAnsi="Times New Roman;Times;Serif"/>
          <w:b w:val="false"/>
          <w:i w:val="false"/>
          <w:caps w:val="false"/>
          <w:smallCaps w:val="false"/>
          <w:sz w:val="20"/>
        </w:rPr>
        <w:t>. Upon the Company’s exercise of the option provided under Section 12.01 hereof to obtain a covenant defeasance with respect to the outstanding Securities of a particular series under this Section 12.03, the Company and any Guarantors shall be released from their obligations under the covenants contained in Article 4 and Section 10.01 hereof and the covenants contained in any supplemental indenture applicable to such series, with respect to the outstanding Securities of such series on and after the date the conditions set forth below are satisfied (hereinafter, “Covenant Defeasance”), and the Securities of such series shall thereafter be deemed not outstanding for the purposes of any direction, waiver, consent or declaration or act of Holders (and the consequences of any thereof) in connection with such covenants, but shall continue to be deemed outstanding for all other purposes hereunder. For this purpose, such Covenant Defeasance means that, with respect to the outstanding Securities of such series, the Company or any Guarantors may omit to comply with and shall have no liability in respect of any term, condition or limitation set forth in any such covenant, whether directly or indirectly, by reason of any reference elsewhere herein to any such covenant or by reason of any reference in any such covenant to any other provision herein or in any other document and such omission to comply shall not constitute a Default or an Event of Default under Section 5.01(c) or Section 5.01(g) with respect to outstanding Securities of such series, but, except as specified above, the remainder of this Indenture and of the Securities of such series shall be unaffected thereby.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12.04.       </w:t>
      </w:r>
      <w:r>
        <w:rPr>
          <w:rFonts w:ascii="Times New Roman;Times;Serif" w:hAnsi="Times New Roman;Times;Serif"/>
          <w:b w:val="false"/>
          <w:i w:val="false"/>
          <w:caps w:val="false"/>
          <w:smallCaps w:val="false"/>
          <w:sz w:val="20"/>
          <w:u w:val="single"/>
        </w:rPr>
        <w:t>Conditions to Legal or Covenant Defeasance</w:t>
      </w:r>
      <w:r>
        <w:rPr>
          <w:rFonts w:ascii="Times New Roman;Times;Serif" w:hAnsi="Times New Roman;Times;Serif"/>
          <w:b w:val="false"/>
          <w:i w:val="false"/>
          <w:caps w:val="false"/>
          <w:smallCaps w:val="false"/>
          <w:sz w:val="20"/>
        </w:rPr>
        <w:t>. The following shall be the conditions to the application of either Section 12.02 or Section 12.03 hereof to the outstanding Securities of a particular series: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shall irrevocably have deposited or caused to be deposited with the Trustee (or another trustee satisfying the requirements of Section 6.09 who shall agree to comply with the provisions of this Article 12 applicable to it) as trust funds in trust for the purpose of making the following payments, specifically pledged as security for, and dedicated solely to, the benefit of the Holders of such Securities, (i) an amount (in such currency, currencies or currency unit in which such Securities and any related coupons are then specified as payable at Stated Maturity), or (ii) non-callable Government Securities that through the scheduled payment of principal and interest in respect thereof in accordance with their terms will provide, not later than one day before the due date of any payment, cash in Dollars in an amount, or (iii) a combination thereof, in such amounts as will be sufficient, in the opinion of a nationally recognized firm of independent public accountants expressed in a written certification thereof delivered to the Trustee, to pay and discharge and which shall be applied by the Trustee (or other qualifying trustee) to pay and discharge the principal of (and premium, if any) and interest, if any, on such outstanding Securities on the stated maturity date of such principal or installment of principal, or interest or premium, if any.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the case of an election under Section 12.02 hereof, the Company shall have delivered to the Trustee an Opinion of Counsel confirming that (i) the Company has received from, or there has been published by, the Internal Revenue Service a ruling or (ii) since the date hereof, there has been a change in the applicable federal income tax law, in either case to the effect that, and based thereon such Opinion of Counsel shall confirm that, the Holders of the outstanding Securities of such series will not recognize income, gain or loss for federal income tax purposes as a result of such Legal Defeasance and will be subject to federal income tax on the same amounts, in the same manner and at the same times as would have been the case if such Legal Defeasance had not occurred.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In the case of an election under Section 12.03 hereof, the Company shall have delivered to the Trustee an Opinion of Counsel confirming that the Holders of the outstanding Securities of such series will not recognize income, gain or loss for federal income tax purposes as a result of such Covenant Defeasance and will be subject to federal income tax on the same amounts, in the same manner and at the same times as would have been the case if such Covenant Defeasance had not occurred.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No Default or Event of Default (or event that, with the giving of notice or lapse of time or both would become an Event of Default) with respect to the Securities of such series shall have occurred and be continuing on the date of such deposit or, insofar as Section 5.01(d) or 5.01(e) hereof is concerned, at any time in the period ending on the 124th calendar day after the date of such deposit (it being understood that this condition shall not be deemed satisfied until the expiration of such period).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sz w:val="20"/>
          <w:bdr w:val="single" w:sz="8" w:space="1" w:color="000000"/>
        </w:rPr>
      </w:pPr>
      <w:r>
        <w:rPr>
          <w:sz w:val="20"/>
          <w:bdr w:val="single" w:sz="8" w:space="1" w:color="000000"/>
        </w:rPr>
        <w:t>-36-</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Such Legal Defeasance or Covenant Defeasance shall not result in a breach or violation of, or constitute a default under any material agreement or instrument (other than this Indenture) to which the Company or any Guarantor is a party or by which the Company or such Guarantor is bound (other than a breach, violation or default resulting from the borrowing of funds to be applied to such deposit).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Company shall have delivered to the Trustee an Officers’ Certificate stating that the deposit made by the Company pursuant to its election under Section 12.02 or 12.03 hereof was not made by the Company with the intent of preferring the Holders of the affected Securities over the other creditors of the Company with the intent of defeating, hindering, delaying or defrauding creditors of the Company, or others.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Such Legal Defeasance or Covenant Defeasance shall be effected in compliance with any additional terms, conditions or limitations which may be imposed on the Company in connection therewith pursuant to Section 3.01.</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 Company shall have delivered to the Trustee an Officers’ Certificate and an Opinion of Counsel, each stating that all conditions precedent provided for relating to either the Legal Defeasance under Section 12.02 hereof or the Covenant Defeasance under Section 12.03 hereof (as the case may be) have been complied with as contemplated by this Section 12.04.</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12.05.       </w:t>
      </w:r>
      <w:r>
        <w:rPr>
          <w:rFonts w:ascii="Times New Roman;Times;Serif" w:hAnsi="Times New Roman;Times;Serif"/>
          <w:b w:val="false"/>
          <w:i w:val="false"/>
          <w:caps w:val="false"/>
          <w:smallCaps w:val="false"/>
          <w:sz w:val="20"/>
          <w:u w:val="single"/>
        </w:rPr>
        <w:t>Deposited Money and Government Securities to be Held in Trust; Other Miscellaneous Provisions</w:t>
      </w:r>
      <w:r>
        <w:rPr>
          <w:rFonts w:ascii="Times New Roman;Times;Serif" w:hAnsi="Times New Roman;Times;Serif"/>
          <w:b w:val="false"/>
          <w:i w:val="false"/>
          <w:caps w:val="false"/>
          <w:smallCaps w:val="false"/>
          <w:sz w:val="20"/>
        </w:rPr>
        <w:t>. Subject to Section 12.06 hereof, all money and non-callable Government Securities (including the proceeds thereof) deposited with the Trustee pursuant to Section 12.04 hereof in respect of the outstanding Securities of a particular series shall be held in trust and applied by the Trustee, in accordance with the provisions of such Securities, the Guarantees, if any, relating to such series of Securities and this Indenture, to the payment, either directly or through any Paying Agent (including the Company acting as Paying Agent) as the Trustee may determine, to the Holders of such Securities of all sums due and to become due thereon in respect of principal (and premium, if any) and interest, if any, but such money need not be segregated from other funds except to the extent required by law.</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pay and indemnify the Trustee against any tax, fee or other charge imposed on or assessed against the cash or non-callable Government Securities deposited pursuant to Section 12.04 hereof or the principal and interest received in respect thereof other than any such tax, fee or other charge that by law is for the account of the Holders of the outstanding Securities of such series.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Anything in this Article 12 to the contrary notwithstanding, the Trustee shall deliver or pay to the Company from time to time upon the Company’s request any money or non-callable Government Securities held by it as provided in Section 12.04 hereof with respect to the Securities of any series which, in the opinion of a nationally recognized firm of independent public accountants expressed in a written certification thereof delivered to the Trustee (which may be the opinion delivered under Section 12.04(a) hereof), are in excess of the amount thereof which would then be required to be deposited to effect an equivalent Legal Defeasance or Covenant Defeasance.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12.06.       </w:t>
      </w:r>
      <w:r>
        <w:rPr>
          <w:rFonts w:ascii="Times New Roman;Times;Serif" w:hAnsi="Times New Roman;Times;Serif"/>
          <w:b w:val="false"/>
          <w:i w:val="false"/>
          <w:caps w:val="false"/>
          <w:smallCaps w:val="false"/>
          <w:sz w:val="20"/>
          <w:u w:val="single"/>
        </w:rPr>
        <w:t>Repayment to the Company or Guarantor</w:t>
      </w:r>
      <w:r>
        <w:rPr>
          <w:rFonts w:ascii="Times New Roman;Times;Serif" w:hAnsi="Times New Roman;Times;Serif"/>
          <w:b w:val="false"/>
          <w:i w:val="false"/>
          <w:caps w:val="false"/>
          <w:smallCaps w:val="false"/>
          <w:sz w:val="20"/>
        </w:rPr>
        <w:t>. Any money deposited with the Trustee or any Paying Agent, or then held by the Company or applicable Guarantor, in trust for the payment of the principal of (and premium, if any) and interest, if any, on any Security and remaining unclaimed for two years after such principal, or interest or premium, if any, has become due and payable and was deposited with the Paying Agent shall be paid to the Company or such Guarantor on its written request (or if then held by the Company or such Guarantor) will be discharged from such trust) subject to any applicable abandoned property law; and the Holder of such Security shall thereafter, as an unsecured general creditor, look only to the Company or such Guarantor for payment thereof, and all liability of the Trustee or such Paying Agent with respect to such trust money, and all liability of the Company or such Guarantor as trustee thereof, shall thereupon cease.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12.07.        </w:t>
      </w:r>
      <w:r>
        <w:rPr>
          <w:rFonts w:ascii="Times New Roman;Times;Serif" w:hAnsi="Times New Roman;Times;Serif"/>
          <w:b w:val="false"/>
          <w:i w:val="false"/>
          <w:caps w:val="false"/>
          <w:smallCaps w:val="false"/>
          <w:sz w:val="20"/>
          <w:u w:val="single"/>
        </w:rPr>
        <w:t>Reinstatement</w:t>
      </w:r>
      <w:r>
        <w:rPr>
          <w:rFonts w:ascii="Times New Roman;Times;Serif" w:hAnsi="Times New Roman;Times;Serif"/>
          <w:b w:val="false"/>
          <w:i w:val="false"/>
          <w:caps w:val="false"/>
          <w:smallCaps w:val="false"/>
          <w:sz w:val="20"/>
        </w:rPr>
        <w:t xml:space="preserve">. If the Trustee or Paying Agent is unable to apply any Dollars or non-callable Government Securities in accordance with Section 12.02 or 12.03 hereof, as the case may be, by reason of any order or judgment of any court or governmental authority enjoining, restraining or otherwise prohibiting such application, then the obligations of the Company and the applicable Guarantors under this Indenture, the Securities and any Guarantees shall be revived and reinstated as though no deposit had occurred pursuant to Section 12.02 or 12.03 hereof until such time as the Trustee or Paying Agent is permitted to apply all such money in accordance with Section 12.02 or 12.03 hereof, as the case may be;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the Company or any Guarantor makes any payment of principal of, or interest or premium, if any, on any Security following the reinstatement of its obligations, the Company or any Guarantor shall be subrogated to the rights of the Holders of such Security to receive such payment from the money held by the Trustee or Paying Agent.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sz w:val="20"/>
          <w:bdr w:val="single" w:sz="8" w:space="1" w:color="000000"/>
        </w:rPr>
      </w:pPr>
      <w:r>
        <w:rPr>
          <w:sz w:val="20"/>
          <w:bdr w:val="single" w:sz="8" w:space="1" w:color="000000"/>
        </w:rPr>
        <w:t>-37-</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13</w:t>
        <w:br/>
        <w:br/>
        <w:t>SATISFACTION AND DISCHARGE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13.01.        </w:t>
      </w:r>
      <w:r>
        <w:rPr>
          <w:rFonts w:ascii="Times New Roman;Times;Serif" w:hAnsi="Times New Roman;Times;Serif"/>
          <w:b w:val="false"/>
          <w:i w:val="false"/>
          <w:caps w:val="false"/>
          <w:smallCaps w:val="false"/>
          <w:sz w:val="20"/>
          <w:u w:val="single"/>
        </w:rPr>
        <w:t>Satisfaction and Discharge of Indenture</w:t>
      </w:r>
      <w:r>
        <w:rPr>
          <w:rFonts w:ascii="Times New Roman;Times;Serif" w:hAnsi="Times New Roman;Times;Serif"/>
          <w:b w:val="false"/>
          <w:i w:val="false"/>
          <w:caps w:val="false"/>
          <w:smallCaps w:val="false"/>
          <w:sz w:val="20"/>
        </w:rPr>
        <w:t>. This Indenture shall upon a Company Request cease to be of further effect with respect to any series of Securities (except, as to any surviving rights of registration of transfer, exchange or conversion of Securities of such series herein expressly provided for or in the form of Security for such series and any rights to receive payment of interest thereon), and the Trustee, on demand of and at the expense of the Company, shall execute proper instruments acknowledging satisfaction and discharge of this Indenture, when: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either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1440" w:right="0" w:firstLine="1008"/>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all Securities of such series theretofore authenticated and delivered (other than (A) Securities which have been destroyed, lost or stolen and which have been replaced or paid as provided in Section 3.09, and (B) Securities for whose payment money has theretofore been (x) deposited in trust or segregated and held in trust by the Company and thereafter repaid to the Company or discharged from such trust, as provided in Section 4.03(c) or (y) paid to any State or the District of Columbia pursuant to its unclaimed property or similar laws) have been delivered to the Trustee for cancellation; or</w:t>
      </w:r>
    </w:p>
    <w:p>
      <w:pPr>
        <w:pStyle w:val="TextBody"/>
        <w:bidi w:val="0"/>
        <w:spacing w:before="0" w:after="0"/>
        <w:ind w:left="1440" w:right="0" w:firstLine="1008"/>
        <w:jc w:val="left"/>
        <w:rPr>
          <w:caps w:val="false"/>
          <w:smallCaps w:val="false"/>
        </w:rPr>
      </w:pPr>
      <w:r>
        <w:rPr>
          <w:caps w:val="false"/>
          <w:smallCaps w:val="false"/>
        </w:rPr>
        <w:t> </w:t>
      </w:r>
    </w:p>
    <w:p>
      <w:pPr>
        <w:pStyle w:val="TextBody"/>
        <w:bidi w:val="0"/>
        <w:spacing w:before="0" w:after="0"/>
        <w:ind w:left="1440" w:right="0" w:firstLine="1008"/>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all such Securities not theretofore delivered to the Trustee for cancellation</w:t>
      </w:r>
    </w:p>
    <w:p>
      <w:pPr>
        <w:pStyle w:val="TextBody"/>
        <w:bidi w:val="0"/>
        <w:spacing w:before="0" w:after="0"/>
        <w:ind w:left="1440" w:right="0" w:firstLine="1008"/>
        <w:jc w:val="left"/>
        <w:rPr>
          <w:caps w:val="false"/>
          <w:smallCaps w:val="false"/>
        </w:rPr>
      </w:pPr>
      <w:r>
        <w:rPr>
          <w:caps w:val="false"/>
          <w:smallCaps w:val="false"/>
        </w:rPr>
        <w:t> </w:t>
      </w:r>
    </w:p>
    <w:p>
      <w:pPr>
        <w:pStyle w:val="TextBody"/>
        <w:bidi w:val="0"/>
        <w:spacing w:before="0" w:after="0"/>
        <w:ind w:left="216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have become due and payable (whether at Stated Maturity, upon redemption (if applicable), upon any required repurchase by the Company (if applicable) or otherwise), or</w:t>
      </w:r>
    </w:p>
    <w:p>
      <w:pPr>
        <w:pStyle w:val="TextBody"/>
        <w:bidi w:val="0"/>
        <w:spacing w:before="0" w:after="0"/>
        <w:ind w:left="2160" w:right="0" w:firstLine="720"/>
        <w:jc w:val="left"/>
        <w:rPr>
          <w:caps w:val="false"/>
          <w:smallCaps w:val="false"/>
        </w:rPr>
      </w:pPr>
      <w:r>
        <w:rPr>
          <w:caps w:val="false"/>
          <w:smallCaps w:val="false"/>
        </w:rPr>
        <w:t> </w:t>
      </w:r>
    </w:p>
    <w:p>
      <w:pPr>
        <w:pStyle w:val="TextBody"/>
        <w:bidi w:val="0"/>
        <w:spacing w:before="0" w:after="0"/>
        <w:ind w:left="216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will become due and payable at their stated maturity within one year, or</w:t>
      </w:r>
    </w:p>
    <w:p>
      <w:pPr>
        <w:pStyle w:val="TextBody"/>
        <w:bidi w:val="0"/>
        <w:spacing w:before="0" w:after="0"/>
        <w:ind w:left="2160" w:right="0" w:firstLine="720"/>
        <w:jc w:val="left"/>
        <w:rPr>
          <w:caps w:val="false"/>
          <w:smallCaps w:val="false"/>
        </w:rPr>
      </w:pPr>
      <w:r>
        <w:rPr>
          <w:caps w:val="false"/>
          <w:smallCaps w:val="false"/>
        </w:rPr>
        <w:t> </w:t>
      </w:r>
    </w:p>
    <w:p>
      <w:pPr>
        <w:pStyle w:val="TextBody"/>
        <w:bidi w:val="0"/>
        <w:spacing w:before="0" w:after="0"/>
        <w:ind w:left="216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are to be called for redemption within one year under arrangements satisfactory to the Trustee for the giving of notice of redemption by the Trustee in the name, and at the expense, of the Company, and the Company, in the case of (A), (B) or (C) above, has deposited or caused to be deposited with the Trustee, as trust funds in trust for the purpose, money in the amount in the currency or currency units in which the Securities of such series are payable, sufficient to pay and discharge the entire indebtedness on such Securities not theretofore delivered to the Trustee for cancellation, for principal (and premium, if any) and interest, if any, to the date of such deposit (in the case of Securities which have become due and payable), or to the Stated Maturity or redemption date, as the case may be;</w:t>
      </w:r>
    </w:p>
    <w:p>
      <w:pPr>
        <w:pStyle w:val="TextBody"/>
        <w:bidi w:val="0"/>
        <w:spacing w:before="0" w:after="0"/>
        <w:ind w:left="216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or a Guarantor, if any, has paid or caused to be paid all other sums payable hereunder by the Company or the Guarantors, if any; and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Company has delivered to the Trustee an Officers’ Certificate and an Opinion of Counsel each stating that all conditions precedent herein provided for relating to the satisfaction and discharge of this Indenture have been complied with.</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satisfaction and discharge of this Indenture, the obligations of the Company to the Trustee under Section 6.07 and, if money shall have been deposited with the Trustee pursuant to subclause (ii) of clause (a) of this Section, the obligations of the Trustee under Section 13.02 and Section 4.03(e) shall survive.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sz w:val="20"/>
          <w:bdr w:val="single" w:sz="8" w:space="1" w:color="000000"/>
        </w:rPr>
      </w:pPr>
      <w:r>
        <w:rPr>
          <w:sz w:val="20"/>
          <w:bdr w:val="single" w:sz="8" w:space="1" w:color="000000"/>
        </w:rPr>
        <w:t>-38-</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13.02.        </w:t>
      </w:r>
      <w:r>
        <w:rPr>
          <w:rFonts w:ascii="Times New Roman;Times;Serif" w:hAnsi="Times New Roman;Times;Serif"/>
          <w:b w:val="false"/>
          <w:i w:val="false"/>
          <w:caps w:val="false"/>
          <w:smallCaps w:val="false"/>
          <w:sz w:val="20"/>
          <w:u w:val="single"/>
        </w:rPr>
        <w:t>Application of Trust Money</w:t>
      </w:r>
      <w:r>
        <w:rPr>
          <w:rFonts w:ascii="Times New Roman;Times;Serif" w:hAnsi="Times New Roman;Times;Serif"/>
          <w:b w:val="false"/>
          <w:i w:val="false"/>
          <w:caps w:val="false"/>
          <w:smallCaps w:val="false"/>
          <w:sz w:val="20"/>
        </w:rPr>
        <w:t>. Subject to the provisions of Section 4.03(e), all money deposited with the Trustee pursuant to Section 13.01 shall be held in trust and applied by it, in accordance with the provisions of the Securities, the Guarantees, if any, relating to such series of Securities and this Indenture, to the payment, either directly or through any Paying Agent (including the Company acting as its own Paying Agent), as the Trustee may determine, to the Persons entitled thereto, of the principal (and premium, if any) and interest, if any, for whose payment such money has been deposited with the Trustee.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14</w:t>
        <w:br/>
        <w:br/>
        <w:t>HOLDERS’ LISTS AND REPORTS BY TRUSTEE, COMPANY AND GUARANTORS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14.01.       </w:t>
      </w:r>
      <w:r>
        <w:rPr>
          <w:rFonts w:ascii="Times New Roman;Times;Serif" w:hAnsi="Times New Roman;Times;Serif"/>
          <w:b w:val="false"/>
          <w:i w:val="false"/>
          <w:caps w:val="false"/>
          <w:smallCaps w:val="false"/>
          <w:sz w:val="20"/>
          <w:u w:val="single"/>
        </w:rPr>
        <w:t>Company to Furnish Trustee Names and Addresses of Holders</w:t>
      </w:r>
      <w:r>
        <w:rPr>
          <w:rFonts w:ascii="Times New Roman;Times;Serif" w:hAnsi="Times New Roman;Times;Serif"/>
          <w:b w:val="false"/>
          <w:i w:val="false"/>
          <w:caps w:val="false"/>
          <w:smallCaps w:val="false"/>
          <w:sz w:val="20"/>
        </w:rPr>
        <w:t>. The Company will furnish or cause to be furnished to the Trustee: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semi-annually, not later than 15 calendar days after the Regular Record Date for each series of Securities, a list, in such form as the Trustee may reasonably require, of the names and addresses of the Holders of Securities as of such Regular Record Date (unless the Trustee has such information), or if there is no Regular Record Date for interest for such series of Securities, semi-annually, upon such dates as are set forth in the Board Resolution of the Company or indenture supplemental hereto authorizing such series, and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at such other times as the Trustee may request in writing, within 30 calendar days after the receipt by the Company of any such request, a list of similar form and content as of a date not more than 15 calendar days prior to the time such list is furnished;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so long as the Trustee is the Registrar, no such list shall be required to be furnished.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14.02.        </w:t>
      </w:r>
      <w:r>
        <w:rPr>
          <w:rFonts w:ascii="Times New Roman;Times;Serif" w:hAnsi="Times New Roman;Times;Serif"/>
          <w:b w:val="false"/>
          <w:i w:val="false"/>
          <w:caps w:val="false"/>
          <w:smallCaps w:val="false"/>
          <w:sz w:val="20"/>
          <w:u w:val="single"/>
        </w:rPr>
        <w:t>Preservation of Information; Communications to Holders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Trustee shall preserve, in as current a form as is reasonably practicable, the names and addresses of Holders contained in the most recent list furnished to the Trustee as provided in Section 14.01 and the names and addresses of Holders received by the Trustee in its capacity as the Registrar. The Trustee may destroy any list furnished to it as provided in Section 14.01 upon receipt of a new list so furnished.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three or more Holders (herein referred to as “applicants”) apply in writing to the Trustee, and furnish to the Trustee reasonable proof that each such applicant has owned a Security for a period of at least six months preceding the date of such application (or since the first date of the issuance for such Security, if the holding period is less than six months), and such application states that the applicants desire to communicate with other Holders with respect to their rights under this Indenture or under the Securities and is accompanied by a copy of the form of proxy or other communication which such applicants propose to transmit, then the Trustee shall, within five Business Days after the receipt of such application, at its election, either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firstLine="1008"/>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afford such applicants access to the information preserved at the time by the Trustee in accordance with Section 14.02(a); or</w:t>
      </w:r>
    </w:p>
    <w:p>
      <w:pPr>
        <w:pStyle w:val="TextBody"/>
        <w:bidi w:val="0"/>
        <w:spacing w:before="0" w:after="0"/>
        <w:ind w:left="720" w:right="0" w:firstLine="1008"/>
        <w:jc w:val="left"/>
        <w:rPr>
          <w:caps w:val="false"/>
          <w:smallCaps w:val="false"/>
        </w:rPr>
      </w:pPr>
      <w:r>
        <w:rPr>
          <w:caps w:val="false"/>
          <w:smallCaps w:val="false"/>
        </w:rPr>
        <w:t> </w:t>
      </w:r>
    </w:p>
    <w:p>
      <w:pPr>
        <w:pStyle w:val="TextBody"/>
        <w:bidi w:val="0"/>
        <w:spacing w:before="0" w:after="0"/>
        <w:ind w:left="720" w:right="0" w:firstLine="1008"/>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inform such applicants as to the approximate number of Holders whose names and addresses appear in the information preserved at the time by the Trustee in accordance with Section 14.02(a), and as to the approximate cost of mailing to such Holders the form of proxy or other communication, if any, specified in such application.</w:t>
      </w:r>
    </w:p>
    <w:p>
      <w:pPr>
        <w:pStyle w:val="TextBody"/>
        <w:bidi w:val="0"/>
        <w:spacing w:before="0" w:after="0"/>
        <w:ind w:left="720" w:right="0" w:firstLine="1008"/>
        <w:jc w:val="left"/>
        <w:rPr>
          <w:caps w:val="false"/>
          <w:smallCaps w:val="false"/>
        </w:rPr>
      </w:pPr>
      <w:r>
        <w:rPr>
          <w:caps w:val="false"/>
          <w:smallCaps w:val="false"/>
        </w:rPr>
        <w:t> </w:t>
      </w:r>
    </w:p>
    <w:p>
      <w:pPr>
        <w:pStyle w:val="TextBody"/>
        <w:bidi w:val="0"/>
        <w:spacing w:before="0" w:after="0"/>
        <w:ind w:left="720" w:right="0" w:firstLine="1008"/>
        <w:jc w:val="center"/>
        <w:rPr>
          <w:sz w:val="20"/>
          <w:bdr w:val="single" w:sz="8" w:space="1" w:color="000000"/>
        </w:rPr>
      </w:pPr>
      <w:r>
        <w:rPr>
          <w:sz w:val="20"/>
          <w:bdr w:val="single" w:sz="8" w:space="1" w:color="000000"/>
        </w:rPr>
        <w:t>-39-</w:t>
      </w:r>
    </w:p>
    <w:p>
      <w:pPr>
        <w:pStyle w:val="TextBody"/>
        <w:bidi w:val="0"/>
        <w:spacing w:before="0" w:after="0"/>
        <w:ind w:left="0" w:right="0" w:hanging="0"/>
        <w:jc w:val="left"/>
        <w:rPr/>
      </w:pPr>
      <w:r>
        <w:rPr/>
        <w:t> </w:t>
      </w:r>
    </w:p>
    <w:p>
      <w:pPr>
        <w:pStyle w:val="TextBody"/>
        <w:bidi w:val="0"/>
        <w:spacing w:before="0" w:after="0"/>
        <w:ind w:left="720" w:right="0" w:firstLine="1008"/>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Trustee shall elect not to afford such applicants access to such information, the Trustee shall, upon the written request of such applicants, mail to each Holder whose name and address appears in the information preserved at the time by the Trustee in accordance with Section 14.02(a) a copy of the form of proxy or other communication which is specified in such request, with reasonable promptness after a tender to the Trustee of the material to be mailed and of payment, or provision for the payment, of the reasonable expenses of mailing, unless within five Business Days after such tender the Trustee shall mail to such applicants and file with the Commission, together with a copy of the material to be mailed, a written statement to the effect that, in the opinion of the Trustee, such mailing would be contrary to the best interest of the Holders or would be in violation of applicable law. Such written statement shall specify the basis of such opinion. If the Commission, after opportunity for a hearing upon the objections specified in the written statement so filed, shall enter an order refusing to sustain any of such objections or if, after the entry of an order sustaining one or more of such objections, the Commission shall find, after notice and opportunity for hearing, that all objections so sustained have been met and shall enter an order so declaring, the Trustee shall mail copies of such material to all such Holders with reasonable promptness after the entry of such order and the renewal of such tender; otherwise the Trustee shall be relieved of any obligation or duty to such applicants respecting their application.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Every Holder of Securities, by receiving and holding the same, agrees with the Company, any applicable Guarantor and the Trustee that none of the Company, such Guarantors and the Trustee nor any of their respective agents shall be held accountable by reason of the disclosure of any such information as to the names and addresses of the Holders in accordance with Section 14.02(b), regardless of the source from which such information was derived, and that the Trustee shall not be held accountable by reason of mailing any material pursuant to a request made under Section 14.02(b).</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14.03.        </w:t>
      </w:r>
      <w:r>
        <w:rPr>
          <w:rFonts w:ascii="Times New Roman;Times;Serif" w:hAnsi="Times New Roman;Times;Serif"/>
          <w:b w:val="false"/>
          <w:i w:val="false"/>
          <w:caps w:val="false"/>
          <w:smallCaps w:val="false"/>
          <w:sz w:val="20"/>
          <w:u w:val="single"/>
        </w:rPr>
        <w:t>Reports by the Trustee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Trustee shall transmit to Holders such reports concerning the Trustee and its actions under this Indenture as may be required pursuant to the Trust Indenture Act at the times and in the manner provided pursuant thereto. If required by Section 313(a) of the Trust Indenture Act, the Trustee shall, within 60 calendar days after each [●]15th following the date of this Indenture (commencing [●]15, 20[●]) deliver to Holders a brief report, dated as of such [●]15th, which complies with the provisions of such Section 313(a).</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 copy of each such report shall, at the time of such transmission to Holders, be filed by the Trustee with each securities exchange upon which Securities of any series are listed, with the Commission and with the Company. The Company will promptly notify the Trustee when any Securities are listed on any securities exchange and of any delisting thereof.</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14.04.        </w:t>
      </w:r>
      <w:r>
        <w:rPr>
          <w:rFonts w:ascii="Times New Roman;Times;Serif" w:hAnsi="Times New Roman;Times;Serif"/>
          <w:b w:val="false"/>
          <w:i w:val="false"/>
          <w:caps w:val="false"/>
          <w:smallCaps w:val="false"/>
          <w:sz w:val="20"/>
          <w:u w:val="single"/>
        </w:rPr>
        <w:t>Reports by the Company and Guarantors</w:t>
      </w:r>
      <w:r>
        <w:rPr>
          <w:rFonts w:ascii="Times New Roman;Times;Serif" w:hAnsi="Times New Roman;Times;Serif"/>
          <w:b w:val="false"/>
          <w:i w:val="false"/>
          <w:caps w:val="false"/>
          <w:smallCaps w:val="false"/>
          <w:sz w:val="20"/>
        </w:rPr>
        <w:t xml:space="preserve">. The Company shall furnish to the Trustee, within 15 calendar days after it actually files such annual and quarterly reports, information, documents and other reports with the Commission, copies of its annual report and of the information, documents and other reports (or copies of such portions of any of the foregoing the Commission may by rules and regulations prescribe) that the Company is required to file with the Commission pursuant to Section 13 or 15(d) of the Exchange Act; </w:t>
      </w:r>
      <w:r>
        <w:rPr>
          <w:rFonts w:ascii="Times New Roman;Times;Serif" w:hAnsi="Times New Roman;Times;Serif"/>
          <w:b w:val="false"/>
          <w:i w:val="false"/>
          <w:caps w:val="false"/>
          <w:smallCaps w:val="false"/>
          <w:sz w:val="20"/>
          <w:u w:val="single"/>
        </w:rPr>
        <w:t xml:space="preserve">provided </w:t>
      </w:r>
      <w:r>
        <w:rPr>
          <w:rFonts w:ascii="Times New Roman;Times;Serif" w:hAnsi="Times New Roman;Times;Serif"/>
          <w:b w:val="false"/>
          <w:i w:val="false"/>
          <w:caps w:val="false"/>
          <w:smallCaps w:val="false"/>
          <w:sz w:val="20"/>
        </w:rPr>
        <w:t>that any such annual and quarterly reports, information, documents and other reports and information filed with the Commission may be provided by the Company to the Trustee electronically. The Company and any Guarantor shall comply with the other provisions of TIA Section 314(a). Delivery of such information, documents and reports to the Trustee is for informational purposes only and the Trustee’s receipt of such shall not constitute constructive notice of any information contained therein or determinable from information contained therein, including the Company’s compliance with any of its covenants hereunder (as to which the Trustee is entitled to rely exclusively on Officers’ Certificates). It is expressly understood that materials transmitted electronically by the Company to the Trustee or filed pursuant to the Commission’s EDGAR system (or any successor electronic filing system) shall be deemed filed with the Trustee and transmitted to Holders for purposes of this Section 14.04.</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15</w:t>
        <w:br/>
        <w:br/>
        <w:t>MISCELLANEOUS PROVISIONS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15.01.        </w:t>
      </w:r>
      <w:r>
        <w:rPr>
          <w:rFonts w:ascii="Times New Roman;Times;Serif" w:hAnsi="Times New Roman;Times;Serif"/>
          <w:b w:val="false"/>
          <w:i w:val="false"/>
          <w:caps w:val="false"/>
          <w:smallCaps w:val="false"/>
          <w:sz w:val="20"/>
          <w:u w:val="single"/>
        </w:rPr>
        <w:t>Incorporators, Stockholders, Members, Partners, Officers, Managers and Directors of Company or any Guarantor Exempt from Individual Liability</w:t>
      </w:r>
      <w:r>
        <w:rPr>
          <w:rFonts w:ascii="Times New Roman;Times;Serif" w:hAnsi="Times New Roman;Times;Serif"/>
          <w:b w:val="false"/>
          <w:i w:val="false"/>
          <w:caps w:val="false"/>
          <w:smallCaps w:val="false"/>
          <w:sz w:val="20"/>
        </w:rPr>
        <w:t>. No recourse under or upon any obligation, covenant or agreement contained in this Indenture, or in any Security of any series or any Guarantees, or because of any indebtedness evidenced thereby, shall be had against any incorporator, as such or against any past, present or future stockholder, member, partner, officer, manager or director, as such, of the Company, any Guarantor or any successor, either directly or through the Company, any Guarantor or any successor, under any rule of law, statute or constitutional provision or by the enforcement of any assessment or by any legal or equitable proceeding or otherwise, all such liability being expressly waived and released by the acceptance of the Securities of such series by the Holders thereof and as part of the consideration for the issue of the Securities of such series.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sz w:val="20"/>
          <w:bdr w:val="single" w:sz="8" w:space="1" w:color="000000"/>
        </w:rPr>
      </w:pPr>
      <w:r>
        <w:rPr>
          <w:sz w:val="20"/>
          <w:bdr w:val="single" w:sz="8" w:space="1" w:color="000000"/>
        </w:rPr>
        <w:t>-40-</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15.02.        </w:t>
      </w:r>
      <w:r>
        <w:rPr>
          <w:rFonts w:ascii="Times New Roman;Times;Serif" w:hAnsi="Times New Roman;Times;Serif"/>
          <w:b w:val="false"/>
          <w:i w:val="false"/>
          <w:caps w:val="false"/>
          <w:smallCaps w:val="false"/>
          <w:sz w:val="20"/>
          <w:u w:val="single"/>
        </w:rPr>
        <w:t>Provisions of Indenture for the Sole Benefit of Parties and Holders</w:t>
      </w:r>
      <w:r>
        <w:rPr>
          <w:rFonts w:ascii="Times New Roman;Times;Serif" w:hAnsi="Times New Roman;Times;Serif"/>
          <w:b w:val="false"/>
          <w:i w:val="false"/>
          <w:caps w:val="false"/>
          <w:smallCaps w:val="false"/>
          <w:sz w:val="20"/>
        </w:rPr>
        <w:t>. Except as set forth in Section 15.10, nothing in this Indenture or in the Securities of any series, expressed or implied, shall give or be construed to give to any person, firm or corporation, other than the parties hereto and their successors and the Holders of the Securities of such series, any legal or equitable right, remedy or claim under this Indenture or under any covenant or provision herein contained, all such covenants and provisions being for the sole benefit of the parties hereto and their successors and of the Holders of the Securities.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15.03.        </w:t>
      </w:r>
      <w:r>
        <w:rPr>
          <w:rFonts w:ascii="Times New Roman;Times;Serif" w:hAnsi="Times New Roman;Times;Serif"/>
          <w:b w:val="false"/>
          <w:i w:val="false"/>
          <w:caps w:val="false"/>
          <w:smallCaps w:val="false"/>
          <w:sz w:val="20"/>
          <w:u w:val="single"/>
        </w:rPr>
        <w:t>Successors and Assigns of Company or Guarantor Bound by Indenture</w:t>
      </w:r>
      <w:r>
        <w:rPr>
          <w:rFonts w:ascii="Times New Roman;Times;Serif" w:hAnsi="Times New Roman;Times;Serif"/>
          <w:b w:val="false"/>
          <w:i w:val="false"/>
          <w:caps w:val="false"/>
          <w:smallCaps w:val="false"/>
          <w:sz w:val="20"/>
        </w:rPr>
        <w:t>. All the covenants, stipulations, promises and agreements in this Indenture contained by or in behalf of the Company or any Guarantor shall bind their successors and assigns, whether so expressed or not.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15.04.        </w:t>
      </w:r>
      <w:r>
        <w:rPr>
          <w:rFonts w:ascii="Times New Roman;Times;Serif" w:hAnsi="Times New Roman;Times;Serif"/>
          <w:b w:val="false"/>
          <w:i w:val="false"/>
          <w:caps w:val="false"/>
          <w:smallCaps w:val="false"/>
          <w:sz w:val="20"/>
          <w:u w:val="single"/>
        </w:rPr>
        <w:t>Notices, Etc., to Trustee, the Company and Guarantors</w:t>
      </w:r>
      <w:r>
        <w:rPr>
          <w:rFonts w:ascii="Times New Roman;Times;Serif" w:hAnsi="Times New Roman;Times;Serif"/>
          <w:b w:val="false"/>
          <w:i w:val="false"/>
          <w:caps w:val="false"/>
          <w:smallCaps w:val="false"/>
          <w:sz w:val="20"/>
        </w:rPr>
        <w:t>. Any request, demand, authorization, direction, notice, consent, waiver or act of Holders or other document provided or permitted by this Indenture to be made upon, given or furnished to, or filed with:</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the Trustee by any Holder, or by the Company or a Guarantor, if any, shall be sufficient for every purpose hereunder if made, given, furnished or filed in writing to or with the Trustee at [●], facsimile [●], or such other facsimile number as may be provided by the Trustee from time to time, and shall be deemed to have been made at the time of actual receipt of such written notice or facsimile transmission thereof; </w:t>
      </w:r>
      <w:r>
        <w:rPr>
          <w:rFonts w:ascii="Times New Roman;Times;Serif" w:hAnsi="Times New Roman;Times;Serif"/>
          <w:b w:val="false"/>
          <w:i w:val="false"/>
          <w:caps w:val="false"/>
          <w:smallCaps w:val="false"/>
          <w:sz w:val="20"/>
          <w:u w:val="single"/>
        </w:rPr>
        <w:t xml:space="preserve">provided </w:t>
      </w:r>
      <w:r>
        <w:rPr>
          <w:rFonts w:ascii="Times New Roman;Times;Serif" w:hAnsi="Times New Roman;Times;Serif"/>
          <w:b w:val="false"/>
          <w:i w:val="false"/>
          <w:caps w:val="false"/>
          <w:smallCaps w:val="false"/>
          <w:sz w:val="20"/>
        </w:rPr>
        <w:t>that any delivery made or facsimile sent on a day other than a Business Day shall be deemed to be received on the next following Business Day; or</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the Company or a Guarantor, if any, by the Trustee or by any Holder shall be sufficient for every purpose hereunder (unless otherwise herein expressly provided) if in writing to the Company or such Guarantor, as the case may be, addressed to it at the address specified in Schedule I hereto or at any other address or facsimile number previously furnished in writing to the Trustee by the Company or such Guarantor, as the case may be, and shall be deemed to have been made at the time of delivery or facsimile transmission; </w:t>
      </w:r>
      <w:r>
        <w:rPr>
          <w:rFonts w:ascii="Times New Roman;Times;Serif" w:hAnsi="Times New Roman;Times;Serif"/>
          <w:b w:val="false"/>
          <w:i w:val="false"/>
          <w:caps w:val="false"/>
          <w:smallCaps w:val="false"/>
          <w:sz w:val="20"/>
          <w:u w:val="single"/>
        </w:rPr>
        <w:t xml:space="preserve">provided </w:t>
      </w:r>
      <w:r>
        <w:rPr>
          <w:rFonts w:ascii="Times New Roman;Times;Serif" w:hAnsi="Times New Roman;Times;Serif"/>
          <w:b w:val="false"/>
          <w:i w:val="false"/>
          <w:caps w:val="false"/>
          <w:smallCaps w:val="false"/>
          <w:sz w:val="20"/>
        </w:rPr>
        <w:t>that any delivery made or facsimile sent on a day other than a Business Day shall be deemed to be received on the next following Business Day.</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15.05.        </w:t>
      </w:r>
      <w:r>
        <w:rPr>
          <w:rFonts w:ascii="Times New Roman;Times;Serif" w:hAnsi="Times New Roman;Times;Serif"/>
          <w:b w:val="false"/>
          <w:i w:val="false"/>
          <w:caps w:val="false"/>
          <w:smallCaps w:val="false"/>
          <w:sz w:val="20"/>
          <w:u w:val="single"/>
        </w:rPr>
        <w:t>Notices to Holders</w:t>
      </w:r>
      <w:r>
        <w:rPr>
          <w:rFonts w:ascii="Times New Roman;Times;Serif" w:hAnsi="Times New Roman;Times;Serif"/>
          <w:b w:val="false"/>
          <w:i w:val="false"/>
          <w:caps w:val="false"/>
          <w:smallCaps w:val="false"/>
          <w:sz w:val="20"/>
        </w:rPr>
        <w:t>. Where this Indenture provides for notice to Holders, such notice shall be sufficiently given (unless otherwise herein expressly provided) if in writing and mailed, first-class postage prepaid, to each Holder entitled thereto, at its last address as it appears in the Security Register. In any case where notice to Holders is given by mail, neither the failure to mail such notice, nor any defect in any notice so mailed, to any particular Holder shall affect the sufficiency of such notice with respect to other Holders. Where this Indenture provides for notice in any manner, such notice may be waived in writing by the person entitled to receive such notice, either before or after the event, and such waiver shall be the equivalent of such notice. The Trustee may waive notice to it of any provision herein, and such waiver shall be deemed to be for its convenience and discretion. Waivers of notice by Holders shall be filed with the Trustee, but such filing shall not be a condition precedent to the validity of any action taken in reliance upon such waiver.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by reason of the suspension of or irregularities in regular mail service, it shall be impracticable to mail notice to the Company, any Guarantor or any Holders when such notice is required to be given pursuant to any provision of this Indenture, then any manner of giving such notice as shall be satisfactory to the Trustee shall be deemed to be a sufficient giving of such notice.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15.06.        </w:t>
      </w:r>
      <w:r>
        <w:rPr>
          <w:rFonts w:ascii="Times New Roman;Times;Serif" w:hAnsi="Times New Roman;Times;Serif"/>
          <w:b w:val="false"/>
          <w:i w:val="false"/>
          <w:caps w:val="false"/>
          <w:smallCaps w:val="false"/>
          <w:sz w:val="20"/>
          <w:u w:val="single"/>
        </w:rPr>
        <w:t>Officers’ Certificates and Opinions of Counsel; Statements to Be Contained Therein</w:t>
      </w:r>
      <w:r>
        <w:rPr>
          <w:rFonts w:ascii="Times New Roman;Times;Serif" w:hAnsi="Times New Roman;Times;Serif"/>
          <w:b w:val="false"/>
          <w:i w:val="false"/>
          <w:caps w:val="false"/>
          <w:smallCaps w:val="false"/>
          <w:sz w:val="20"/>
        </w:rPr>
        <w:t>. Upon any application or demand by the Company or any Guarantor to the Trustee to take any action under any of the provisions of this Indenture, the Company or such Guarantor, as the case may be, shall furnish to the Trustee an Officers’ Certificate stating that all conditions precedent provided for in this Indenture relating to the proposed action have been complied with and an Opinion of Counsel stating that in the opinion of such counsel all such conditions precedent have been complied with, except that in the case of any such application or demand as to which the furnishing of such documents is specifically required by any provision of this Indenture relating to such particular application or demand, no additional certificate or opinion need be furnished.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sz w:val="20"/>
          <w:bdr w:val="single" w:sz="8" w:space="1" w:color="000000"/>
        </w:rPr>
      </w:pPr>
      <w:r>
        <w:rPr>
          <w:sz w:val="20"/>
          <w:bdr w:val="single" w:sz="8" w:space="1" w:color="000000"/>
        </w:rPr>
        <w:t>-41-</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certificate or opinion provided for in this Indenture and delivered to the Trustee with respect to compliance with a condition or covenant provided for in this Indenture shall include (a) a statement that the person making such certificate or opinion has read such covenant or condition, (b) a brief statement as to the nature and scope of the examination or investigation upon which the statements or opinions contained in such certificate or opinion are based, (c) a statement that, in the opinion of such person, he has made such examination or investigation as is necessary to enable him to express an informed opinion as to whether or not such covenant or condition has been complied with and (d) a statement as to whether or not, in the opinion of such person, such condition or covenant has been complied with.</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certificate, statement or opinion of an officer of the Company or any Guarantor may be based, insofar as it relates to legal matters, upon a certificate or opinion of or representations by counsel, unless such officer knows that the certificate or opinion or representations with respect to the matters upon which his or her certificate, statement or opinion may be based as aforesaid are erroneous, or in the exercise of reasonable care should know that the same are erroneous. Any certificate, statement or Opinion of Counsel may be based, insofar as it relates to factual matters or information which is in the possession of the Company, upon the certificate, statement or opinion of or representations by an officer or officers of the Company or such Guarantor, as the case may be, unless such counsel knows that the certificate, statement or opinion or representations with respect to the matters upon which his or her certificate, statement or opinion may be based as aforesaid are erroneous, or in the exercise of reasonable care should know that the same are erroneous.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certificate, statement or opinion of an officer or counsel of the Company or any Guarantor may be based, insofar as it relates to accounting matters, upon a certificate or opinion of or representations by an accountant or firm of accountants in the employ of the Company or such Guarantor, as the case may be, unless such officer or counsel knows that the certificate or opinion or representations with respect to the accounting matters upon which his or her certificate, statement or opinion may be based as aforesaid are erroneous, or in the exercise of reasonable care should know that the same are erroneous.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certificate or opinion of any independent firm of public accountants filed with the Trustee shall contain a statement that such firm is independent within the meaning of the Securities Act and the rules and regulations promulgated thereunder.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15.07.        </w:t>
      </w:r>
      <w:r>
        <w:rPr>
          <w:rFonts w:ascii="Times New Roman;Times;Serif" w:hAnsi="Times New Roman;Times;Serif"/>
          <w:b w:val="false"/>
          <w:i w:val="false"/>
          <w:caps w:val="false"/>
          <w:smallCaps w:val="false"/>
          <w:sz w:val="20"/>
          <w:u w:val="single"/>
        </w:rPr>
        <w:t>Payments Due on Saturdays, Sundays and Holidays</w:t>
      </w:r>
      <w:r>
        <w:rPr>
          <w:rFonts w:ascii="Times New Roman;Times;Serif" w:hAnsi="Times New Roman;Times;Serif"/>
          <w:b w:val="false"/>
          <w:i w:val="false"/>
          <w:caps w:val="false"/>
          <w:smallCaps w:val="false"/>
          <w:sz w:val="20"/>
        </w:rPr>
        <w:t>. If the Stated Maturity of interest on or principal of the Securities of a particular series or the date fixed for redemption of any Security shall not be a Business Day, then payment of interest or principal with respect to such Securities need not be made on such date, but may be made on the next succeeding Business Day with the same force and effect as if made on the date of maturity or the date fixed for redemption, and no interest shall accrue for the period after such date.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15.08.        </w:t>
      </w:r>
      <w:r>
        <w:rPr>
          <w:rFonts w:ascii="Times New Roman;Times;Serif" w:hAnsi="Times New Roman;Times;Serif"/>
          <w:b w:val="false"/>
          <w:i w:val="false"/>
          <w:caps w:val="false"/>
          <w:smallCaps w:val="false"/>
          <w:sz w:val="20"/>
          <w:u w:val="single"/>
        </w:rPr>
        <w:t>Conflict of Any Provision of Indenture with Trust Indenture Act</w:t>
      </w:r>
      <w:r>
        <w:rPr>
          <w:rFonts w:ascii="Times New Roman;Times;Serif" w:hAnsi="Times New Roman;Times;Serif"/>
          <w:b w:val="false"/>
          <w:i w:val="false"/>
          <w:caps w:val="false"/>
          <w:smallCaps w:val="false"/>
          <w:sz w:val="20"/>
        </w:rPr>
        <w:t>. If and to the extent that any provision of this Indenture limits, qualifies or conflicts with another provision included in this Indenture by operation of Sections 310 to 317, inclusive, of the Trust Indenture Act (an “incorporated provision”), such incorporated provision shall control.</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15.09.        </w:t>
      </w:r>
      <w:r>
        <w:rPr>
          <w:rFonts w:ascii="Times New Roman;Times;Serif" w:hAnsi="Times New Roman;Times;Serif"/>
          <w:b w:val="false"/>
          <w:i w:val="false"/>
          <w:caps w:val="false"/>
          <w:smallCaps w:val="false"/>
          <w:sz w:val="20"/>
          <w:u w:val="single"/>
        </w:rPr>
        <w:t>Conflict of Any Provision of Securities with Indenture</w:t>
      </w:r>
      <w:r>
        <w:rPr>
          <w:rFonts w:ascii="Times New Roman;Times;Serif" w:hAnsi="Times New Roman;Times;Serif"/>
          <w:b w:val="false"/>
          <w:i w:val="false"/>
          <w:caps w:val="false"/>
          <w:smallCaps w:val="false"/>
          <w:sz w:val="20"/>
        </w:rPr>
        <w:t>. If and to the extent that any provision of the Securities limits, qualifies or conflicts with a provision of this Indenture, such provision of this Indenture shall control.</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15.10.        </w:t>
      </w:r>
      <w:r>
        <w:rPr>
          <w:rFonts w:ascii="Times New Roman;Times;Serif" w:hAnsi="Times New Roman;Times;Serif"/>
          <w:b w:val="false"/>
          <w:i w:val="false"/>
          <w:caps w:val="false"/>
          <w:smallCaps w:val="false"/>
          <w:sz w:val="20"/>
          <w:u w:val="single"/>
        </w:rPr>
        <w:t>New York Law to Govern</w:t>
      </w:r>
      <w:r>
        <w:rPr>
          <w:rFonts w:ascii="Times New Roman;Times;Serif" w:hAnsi="Times New Roman;Times;Serif"/>
          <w:b w:val="false"/>
          <w:i w:val="false"/>
          <w:caps w:val="false"/>
          <w:smallCaps w:val="false"/>
          <w:sz w:val="20"/>
        </w:rPr>
        <w:t>. This Indenture, the Securities of any series and the Guarantees, if any, shall each be deemed to be a contract under the laws of the State of New York, and for all purposes shall be construed in accordance with the laws of the State of New York, but without giving effect to applicable principles of conflicts of law to the extent that the application of the law of another jurisdiction would be required thereby.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sz w:val="20"/>
          <w:bdr w:val="single" w:sz="8" w:space="1" w:color="000000"/>
        </w:rPr>
      </w:pPr>
      <w:r>
        <w:rPr>
          <w:sz w:val="20"/>
          <w:bdr w:val="single" w:sz="8" w:space="1" w:color="000000"/>
        </w:rPr>
        <w:t>-42-</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15.11.        </w:t>
      </w:r>
      <w:r>
        <w:rPr>
          <w:rFonts w:ascii="Times New Roman;Times;Serif" w:hAnsi="Times New Roman;Times;Serif"/>
          <w:b w:val="false"/>
          <w:i w:val="false"/>
          <w:caps w:val="false"/>
          <w:smallCaps w:val="false"/>
          <w:sz w:val="20"/>
          <w:u w:val="single"/>
        </w:rPr>
        <w:t>Waiver of Jury Trial</w:t>
      </w:r>
      <w:r>
        <w:rPr>
          <w:rFonts w:ascii="Times New Roman;Times;Serif" w:hAnsi="Times New Roman;Times;Serif"/>
          <w:b w:val="false"/>
          <w:i w:val="false"/>
          <w:caps w:val="false"/>
          <w:smallCaps w:val="false"/>
          <w:sz w:val="20"/>
        </w:rPr>
        <w:t>. Each party hereto hereby waives, and each Holder by acceptance of its Securities shall be deemed to have waived, to the fullest extent permitted by applicable law, any right it may have to a trial by jury (but no other judicial remedies) in respect of any litigation directly or indirectly arising out of, under or in connection with this Indenture or the transactions contemplated hereby.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15.12.        </w:t>
      </w:r>
      <w:r>
        <w:rPr>
          <w:rFonts w:ascii="Times New Roman;Times;Serif" w:hAnsi="Times New Roman;Times;Serif"/>
          <w:b w:val="false"/>
          <w:i w:val="false"/>
          <w:caps w:val="false"/>
          <w:smallCaps w:val="false"/>
          <w:sz w:val="20"/>
          <w:u w:val="single"/>
        </w:rPr>
        <w:t>Consent to Jurisdiction and Service</w:t>
      </w:r>
      <w:r>
        <w:rPr>
          <w:rFonts w:ascii="Times New Roman;Times;Serif" w:hAnsi="Times New Roman;Times;Serif"/>
          <w:b w:val="false"/>
          <w:i w:val="false"/>
          <w:caps w:val="false"/>
          <w:smallCaps w:val="false"/>
          <w:sz w:val="20"/>
        </w:rPr>
        <w:t>. The Company and each Guarantor, if any, irrevocably (a) agree that any legal suit, action or proceeding against the Company or any Guarantor arising out of or based upon this Indenture, the Notes or any Guarantee or the transactions contemplated hereby may be instituted in any U.S. Federal or state court in the City and County of New York (collectively, the “Specified Courts”) and (b) waive, to the fullest extent they may effectively do so, any objection which they may now or hereafter have to the laying of venue of any such proceeding. The Company and each Guarantor hereby appoint [●], [●], as their authorized agent (the “Authorized Agent”) upon whom process may be served in any such action arising out of or based on this Indenture, the Securities or the transactions contemplated hereby which may be instituted in any Specified Court, expressly consent to the jurisdiction of any such Specified Court in respect of any such action, and waive any other requirements of or objections to personal jurisdiction with respect thereto. Such appointment shall be irrevocable by the Company and any Guarantors. The Company and each Guarantor represent and warrant that the Authorized Agent has agreed to act as such agent for service of process and agree to take any and all action, including the filing of any and all documents and instruments, that may be necessary to continue such appointment in full force and effect as aforesaid. Service of process upon the Authorized Agent in any manner permitted by applicable law and written notice of such service to the Company or to a Guarantor shall be deemed, in every respect, effective service of process upon the Company or such Guarantor.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15.13.       </w:t>
      </w:r>
      <w:r>
        <w:rPr>
          <w:rFonts w:ascii="Times New Roman;Times;Serif" w:hAnsi="Times New Roman;Times;Serif"/>
          <w:b w:val="false"/>
          <w:i w:val="false"/>
          <w:caps w:val="false"/>
          <w:smallCaps w:val="false"/>
          <w:sz w:val="20"/>
          <w:u w:val="single"/>
        </w:rPr>
        <w:t>Third Party Beneficiaries</w:t>
      </w:r>
      <w:r>
        <w:rPr>
          <w:rFonts w:ascii="Times New Roman;Times;Serif" w:hAnsi="Times New Roman;Times;Serif"/>
          <w:b w:val="false"/>
          <w:i w:val="false"/>
          <w:caps w:val="false"/>
          <w:smallCaps w:val="false"/>
          <w:sz w:val="20"/>
        </w:rPr>
        <w:t>. Holders of Securities of the Company are third party beneficiaries of this Indenture, and any of them (or their representative) shall have the right to enforce the provisions of this Indenture that benefit such Holders.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15.14.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This Indenture may be executed in any number of counterparts, each of which shall be an original; but such counterparts shall together constitute but one and the same instrument.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15.15.        </w:t>
      </w:r>
      <w:r>
        <w:rPr>
          <w:rFonts w:ascii="Times New Roman;Times;Serif" w:hAnsi="Times New Roman;Times;Serif"/>
          <w:b w:val="false"/>
          <w:i w:val="false"/>
          <w:caps w:val="false"/>
          <w:smallCaps w:val="false"/>
          <w:sz w:val="20"/>
          <w:u w:val="single"/>
        </w:rPr>
        <w:t>Effect of Headings, Table of Contents</w:t>
      </w:r>
      <w:r>
        <w:rPr>
          <w:rFonts w:ascii="Times New Roman;Times;Serif" w:hAnsi="Times New Roman;Times;Serif"/>
          <w:b w:val="false"/>
          <w:i w:val="false"/>
          <w:caps w:val="false"/>
          <w:smallCaps w:val="false"/>
          <w:sz w:val="20"/>
        </w:rPr>
        <w:t>. The Article and Section headings herein and the Table of Contents are for convenience only and shall not affect the construction hereof.</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15.16.        </w:t>
      </w:r>
      <w:r>
        <w:rPr>
          <w:rFonts w:ascii="Times New Roman;Times;Serif" w:hAnsi="Times New Roman;Times;Serif"/>
          <w:b w:val="false"/>
          <w:i w:val="false"/>
          <w:caps w:val="false"/>
          <w:smallCaps w:val="false"/>
          <w:sz w:val="20"/>
          <w:u w:val="single"/>
        </w:rPr>
        <w:t>No Adverse Interpretation of Other Agreements</w:t>
      </w:r>
      <w:r>
        <w:rPr>
          <w:rFonts w:ascii="Times New Roman;Times;Serif" w:hAnsi="Times New Roman;Times;Serif"/>
          <w:b w:val="false"/>
          <w:i w:val="false"/>
          <w:caps w:val="false"/>
          <w:smallCaps w:val="false"/>
          <w:sz w:val="20"/>
        </w:rPr>
        <w:t>. This Indenture may not be used to interpret another indenture, loan or debt agreement of the Company, any Guarantor or any Subsidiary. Any such indenture, loan or debt agreement may not be used to interpret this Indenture.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15.17.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If any provision hereof shall be held to be invalid, illegal or unenforceable under applicable law, then the remaining provisions hereof shall be construed as though such invalid, illegal or unenforceable provision were not contained herein.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15.18.        </w:t>
      </w:r>
      <w:r>
        <w:rPr>
          <w:rFonts w:ascii="Times New Roman;Times;Serif" w:hAnsi="Times New Roman;Times;Serif"/>
          <w:b w:val="false"/>
          <w:i w:val="false"/>
          <w:caps w:val="false"/>
          <w:smallCaps w:val="false"/>
          <w:sz w:val="20"/>
          <w:u w:val="single"/>
        </w:rPr>
        <w:t>Patriot Act Compliance</w:t>
      </w:r>
      <w:r>
        <w:rPr>
          <w:rFonts w:ascii="Times New Roman;Times;Serif" w:hAnsi="Times New Roman;Times;Serif"/>
          <w:b w:val="false"/>
          <w:i w:val="false"/>
          <w:caps w:val="false"/>
          <w:smallCaps w:val="false"/>
          <w:sz w:val="20"/>
        </w:rPr>
        <w:t>. The parties hereto acknowledge that in accordance with Section 326 of the USA Patriot Act the Trustee, like all financial institutions, is required to obtain, verify, and record information that identifies each person or legal entity that establishes a relationship or opens account with the Trustee. The parties to this Indenture agree that they will provide the Trustee with such information as it may request in order for the Trustee to satisfy the requirements of the USA Patriot Act.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15.19.        </w:t>
      </w:r>
      <w:r>
        <w:rPr>
          <w:rFonts w:ascii="Times New Roman;Times;Serif" w:hAnsi="Times New Roman;Times;Serif"/>
          <w:b w:val="false"/>
          <w:i w:val="false"/>
          <w:caps w:val="false"/>
          <w:smallCaps w:val="false"/>
          <w:sz w:val="20"/>
          <w:u w:val="single"/>
        </w:rPr>
        <w:t>Force Majeure</w:t>
      </w:r>
      <w:r>
        <w:rPr>
          <w:rFonts w:ascii="Times New Roman;Times;Serif" w:hAnsi="Times New Roman;Times;Serif"/>
          <w:b w:val="false"/>
          <w:i w:val="false"/>
          <w:caps w:val="false"/>
          <w:smallCaps w:val="false"/>
          <w:sz w:val="20"/>
        </w:rPr>
        <w:t>. In no event shall the Trustee, Registrar or Paying Agent be liable for any failure or delay in the performance of its obligations hereunder because of circumstances beyond the Trustee’s, Registrar’s or Paying Agents’ control, including, but not limited to, acts of God, flood, war (whether declared or undeclared), terrorism, fire, riot or embargo, which delay, restrict or prohibit the providing of the services contemplated by this Indenture.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sz w:val="20"/>
          <w:bdr w:val="single" w:sz="8" w:space="1" w:color="000000"/>
        </w:rPr>
      </w:pPr>
      <w:r>
        <w:rPr>
          <w:sz w:val="20"/>
          <w:bdr w:val="single" w:sz="8" w:space="1" w:color="000000"/>
        </w:rPr>
        <w:t>-43-</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IN WITNESS WHEREOF, the parties hereto have caused this Indenture to be duly executed, all as of [●].</w:t>
      </w:r>
    </w:p>
    <w:p>
      <w:pPr>
        <w:pStyle w:val="TextBody"/>
        <w:bidi w:val="0"/>
        <w:spacing w:before="0" w:after="0"/>
        <w:ind w:left="0" w:right="0" w:firstLine="1440"/>
        <w:jc w:val="left"/>
        <w:rPr>
          <w:caps w:val="false"/>
          <w:smallCaps w:val="false"/>
        </w:rPr>
      </w:pPr>
      <w:r>
        <w:rPr>
          <w:caps w:val="false"/>
          <w:smallCaps w:val="false"/>
        </w:rPr>
        <w:t> </w:t>
      </w:r>
    </w:p>
    <w:tbl>
      <w:tblPr>
        <w:tblW w:w="2434" w:type="dxa"/>
        <w:jc w:val="left"/>
        <w:tblInd w:w="0" w:type="dxa"/>
        <w:tblLayout w:type="fixed"/>
        <w:tblCellMar>
          <w:top w:w="0" w:type="dxa"/>
          <w:left w:w="0" w:type="dxa"/>
          <w:bottom w:w="0" w:type="dxa"/>
          <w:right w:w="0" w:type="dxa"/>
        </w:tblCellMar>
      </w:tblPr>
      <w:tblGrid>
        <w:gridCol w:w="135"/>
        <w:gridCol w:w="785"/>
        <w:gridCol w:w="1514"/>
      </w:tblGrid>
      <w:tr>
        <w:trPr/>
        <w:tc>
          <w:tcPr>
            <w:tcW w:w="135" w:type="dxa"/>
            <w:tcBorders/>
            <w:vAlign w:val="center"/>
          </w:tcPr>
          <w:p>
            <w:pPr>
              <w:pStyle w:val="TableContents"/>
              <w:bidi w:val="0"/>
              <w:spacing w:before="0" w:after="283"/>
              <w:jc w:val="left"/>
              <w:rPr/>
            </w:pPr>
            <w:r>
              <w:rPr/>
              <w:t> </w:t>
            </w:r>
          </w:p>
        </w:tc>
        <w:tc>
          <w:tcPr>
            <w:tcW w:w="2299" w:type="dxa"/>
            <w:gridSpan w:val="2"/>
            <w:tcBorders/>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REPLIMUNE GROUP, INC.</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the Company</w:t>
            </w:r>
          </w:p>
        </w:tc>
      </w:tr>
      <w:tr>
        <w:trPr/>
        <w:tc>
          <w:tcPr>
            <w:tcW w:w="135" w:type="dxa"/>
            <w:tcBorders/>
            <w:vAlign w:val="center"/>
          </w:tcPr>
          <w:p>
            <w:pPr>
              <w:pStyle w:val="TableContents"/>
              <w:bidi w:val="0"/>
              <w:spacing w:before="0" w:after="283"/>
              <w:jc w:val="left"/>
              <w:rPr/>
            </w:pPr>
            <w:r>
              <w:rPr/>
              <w:t> </w:t>
            </w:r>
          </w:p>
        </w:tc>
        <w:tc>
          <w:tcPr>
            <w:tcW w:w="229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135"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514"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135"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left"/>
              <w:rPr>
                <w:caps w:val="false"/>
                <w:smallCaps w:val="false"/>
              </w:rPr>
            </w:pPr>
            <w:r>
              <w:rPr>
                <w:caps w:val="false"/>
                <w:smallCaps w:val="false"/>
              </w:rPr>
              <w:t> </w:t>
            </w:r>
          </w:p>
        </w:tc>
        <w:tc>
          <w:tcPr>
            <w:tcW w:w="15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r>
      <w:tr>
        <w:trPr/>
        <w:tc>
          <w:tcPr>
            <w:tcW w:w="135"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left"/>
              <w:rPr>
                <w:caps w:val="false"/>
                <w:smallCaps w:val="false"/>
              </w:rPr>
            </w:pPr>
            <w:r>
              <w:rPr>
                <w:caps w:val="false"/>
                <w:smallCaps w:val="false"/>
              </w:rPr>
              <w:t> </w:t>
            </w:r>
          </w:p>
        </w:tc>
        <w:tc>
          <w:tcPr>
            <w:tcW w:w="15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r>
      <w:tr>
        <w:trPr/>
        <w:tc>
          <w:tcPr>
            <w:tcW w:w="135"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left"/>
              <w:rPr>
                <w:caps w:val="false"/>
                <w:smallCaps w:val="false"/>
              </w:rPr>
            </w:pPr>
            <w:r>
              <w:rPr>
                <w:caps w:val="false"/>
                <w:smallCaps w:val="false"/>
              </w:rPr>
              <w:t> </w:t>
            </w:r>
          </w:p>
        </w:tc>
        <w:tc>
          <w:tcPr>
            <w:tcW w:w="1514"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35" w:type="dxa"/>
            <w:tcBorders/>
            <w:vAlign w:val="center"/>
          </w:tcPr>
          <w:p>
            <w:pPr>
              <w:pStyle w:val="TableContents"/>
              <w:bidi w:val="0"/>
              <w:spacing w:before="0" w:after="283"/>
              <w:jc w:val="left"/>
              <w:rPr/>
            </w:pPr>
            <w:r>
              <w:rPr/>
              <w:t> </w:t>
            </w:r>
          </w:p>
        </w:tc>
        <w:tc>
          <w:tcPr>
            <w:tcW w:w="229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35" w:type="dxa"/>
            <w:tcBorders/>
            <w:vAlign w:val="center"/>
          </w:tcPr>
          <w:p>
            <w:pPr>
              <w:pStyle w:val="TableContents"/>
              <w:bidi w:val="0"/>
              <w:spacing w:before="0" w:after="283"/>
              <w:jc w:val="left"/>
              <w:rPr/>
            </w:pPr>
            <w:r>
              <w:rPr/>
              <w:t> </w:t>
            </w:r>
          </w:p>
        </w:tc>
        <w:tc>
          <w:tcPr>
            <w:tcW w:w="229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Guarantor</w:t>
            </w:r>
          </w:p>
        </w:tc>
      </w:tr>
      <w:tr>
        <w:trPr/>
        <w:tc>
          <w:tcPr>
            <w:tcW w:w="135" w:type="dxa"/>
            <w:tcBorders/>
            <w:vAlign w:val="center"/>
          </w:tcPr>
          <w:p>
            <w:pPr>
              <w:pStyle w:val="TableContents"/>
              <w:bidi w:val="0"/>
              <w:spacing w:before="0" w:after="283"/>
              <w:jc w:val="left"/>
              <w:rPr/>
            </w:pPr>
            <w:r>
              <w:rPr/>
              <w:t> </w:t>
            </w:r>
          </w:p>
        </w:tc>
        <w:tc>
          <w:tcPr>
            <w:tcW w:w="229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135"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514"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135"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left"/>
              <w:rPr>
                <w:caps w:val="false"/>
                <w:smallCaps w:val="false"/>
              </w:rPr>
            </w:pPr>
            <w:r>
              <w:rPr>
                <w:caps w:val="false"/>
                <w:smallCaps w:val="false"/>
              </w:rPr>
              <w:t> </w:t>
            </w:r>
          </w:p>
        </w:tc>
        <w:tc>
          <w:tcPr>
            <w:tcW w:w="15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r>
      <w:tr>
        <w:trPr/>
        <w:tc>
          <w:tcPr>
            <w:tcW w:w="135"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left"/>
              <w:rPr>
                <w:caps w:val="false"/>
                <w:smallCaps w:val="false"/>
              </w:rPr>
            </w:pPr>
            <w:r>
              <w:rPr>
                <w:caps w:val="false"/>
                <w:smallCaps w:val="false"/>
              </w:rPr>
              <w:t> </w:t>
            </w:r>
          </w:p>
        </w:tc>
        <w:tc>
          <w:tcPr>
            <w:tcW w:w="15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r>
    </w:tbl>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 Page to Base Indenture]</w:t>
      </w:r>
    </w:p>
    <w:p>
      <w:pPr>
        <w:pStyle w:val="TextBody"/>
        <w:bidi w:val="0"/>
        <w:spacing w:before="0" w:after="0"/>
        <w:ind w:left="5040" w:right="0" w:hanging="72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5040" w:right="0" w:hanging="720"/>
        <w:jc w:val="left"/>
        <w:rPr>
          <w:caps w:val="false"/>
          <w:smallCaps w:val="false"/>
        </w:rPr>
      </w:pPr>
      <w:r>
        <w:rPr>
          <w:caps w:val="false"/>
          <w:smallCaps w:val="false"/>
        </w:rPr>
        <w:t> </w:t>
      </w:r>
    </w:p>
    <w:tbl>
      <w:tblPr>
        <w:tblW w:w="1279" w:type="dxa"/>
        <w:jc w:val="left"/>
        <w:tblInd w:w="0" w:type="dxa"/>
        <w:tblLayout w:type="fixed"/>
        <w:tblCellMar>
          <w:top w:w="0" w:type="dxa"/>
          <w:left w:w="0" w:type="dxa"/>
          <w:bottom w:w="0" w:type="dxa"/>
          <w:right w:w="0" w:type="dxa"/>
        </w:tblCellMar>
      </w:tblPr>
      <w:tblGrid>
        <w:gridCol w:w="135"/>
        <w:gridCol w:w="416"/>
        <w:gridCol w:w="728"/>
      </w:tblGrid>
      <w:tr>
        <w:trPr/>
        <w:tc>
          <w:tcPr>
            <w:tcW w:w="135" w:type="dxa"/>
            <w:tcBorders/>
            <w:vAlign w:val="center"/>
          </w:tcPr>
          <w:p>
            <w:pPr>
              <w:pStyle w:val="TableContents"/>
              <w:bidi w:val="0"/>
              <w:spacing w:before="0" w:after="283"/>
              <w:jc w:val="left"/>
              <w:rPr/>
            </w:pPr>
            <w:r>
              <w:rPr/>
              <w:t> </w:t>
            </w:r>
          </w:p>
        </w:tc>
        <w:tc>
          <w:tcPr>
            <w:tcW w:w="114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35" w:type="dxa"/>
            <w:tcBorders/>
            <w:vAlign w:val="center"/>
          </w:tcPr>
          <w:p>
            <w:pPr>
              <w:pStyle w:val="TableContents"/>
              <w:bidi w:val="0"/>
              <w:spacing w:before="0" w:after="283"/>
              <w:jc w:val="left"/>
              <w:rPr/>
            </w:pPr>
            <w:r>
              <w:rPr/>
              <w:t> </w:t>
            </w:r>
          </w:p>
        </w:tc>
        <w:tc>
          <w:tcPr>
            <w:tcW w:w="114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the Trustee</w:t>
            </w:r>
          </w:p>
        </w:tc>
      </w:tr>
      <w:tr>
        <w:trPr/>
        <w:tc>
          <w:tcPr>
            <w:tcW w:w="135" w:type="dxa"/>
            <w:tcBorders/>
            <w:vAlign w:val="center"/>
          </w:tcPr>
          <w:p>
            <w:pPr>
              <w:pStyle w:val="TableContents"/>
              <w:bidi w:val="0"/>
              <w:spacing w:before="0" w:after="283"/>
              <w:jc w:val="left"/>
              <w:rPr/>
            </w:pPr>
            <w:r>
              <w:rPr/>
              <w:t> </w:t>
            </w:r>
          </w:p>
        </w:tc>
        <w:tc>
          <w:tcPr>
            <w:tcW w:w="114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135" w:type="dxa"/>
            <w:tcBorders/>
            <w:vAlign w:val="center"/>
          </w:tcPr>
          <w:p>
            <w:pPr>
              <w:pStyle w:val="TableContents"/>
              <w:bidi w:val="0"/>
              <w:spacing w:before="0" w:after="283"/>
              <w:jc w:val="left"/>
              <w:rPr/>
            </w:pPr>
            <w:r>
              <w:rPr/>
              <w:t> </w:t>
            </w:r>
          </w:p>
        </w:tc>
        <w:tc>
          <w:tcPr>
            <w:tcW w:w="4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728"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135" w:type="dxa"/>
            <w:tcBorders/>
            <w:vAlign w:val="center"/>
          </w:tcPr>
          <w:p>
            <w:pPr>
              <w:pStyle w:val="TableContents"/>
              <w:bidi w:val="0"/>
              <w:spacing w:before="0" w:after="283"/>
              <w:jc w:val="left"/>
              <w:rPr/>
            </w:pPr>
            <w:r>
              <w:rPr/>
              <w:t> </w:t>
            </w:r>
          </w:p>
        </w:tc>
        <w:tc>
          <w:tcPr>
            <w:tcW w:w="416" w:type="dxa"/>
            <w:tcBorders/>
            <w:vAlign w:val="center"/>
          </w:tcPr>
          <w:p>
            <w:pPr>
              <w:pStyle w:val="TableContents"/>
              <w:bidi w:val="0"/>
              <w:spacing w:before="0" w:after="283"/>
              <w:jc w:val="left"/>
              <w:rPr>
                <w:caps w:val="false"/>
                <w:smallCaps w:val="false"/>
              </w:rPr>
            </w:pPr>
            <w:r>
              <w:rPr>
                <w:caps w:val="false"/>
                <w:smallCaps w:val="false"/>
              </w:rPr>
              <w:t> </w:t>
            </w:r>
          </w:p>
        </w:tc>
        <w:tc>
          <w:tcPr>
            <w:tcW w:w="72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r>
      <w:tr>
        <w:trPr/>
        <w:tc>
          <w:tcPr>
            <w:tcW w:w="135" w:type="dxa"/>
            <w:tcBorders/>
            <w:vAlign w:val="center"/>
          </w:tcPr>
          <w:p>
            <w:pPr>
              <w:pStyle w:val="TableContents"/>
              <w:bidi w:val="0"/>
              <w:spacing w:before="0" w:after="283"/>
              <w:jc w:val="left"/>
              <w:rPr/>
            </w:pPr>
            <w:r>
              <w:rPr/>
              <w:t>  </w:t>
            </w:r>
          </w:p>
        </w:tc>
        <w:tc>
          <w:tcPr>
            <w:tcW w:w="416" w:type="dxa"/>
            <w:tcBorders/>
            <w:vAlign w:val="center"/>
          </w:tcPr>
          <w:p>
            <w:pPr>
              <w:pStyle w:val="TableContents"/>
              <w:bidi w:val="0"/>
              <w:spacing w:before="0" w:after="283"/>
              <w:jc w:val="left"/>
              <w:rPr>
                <w:caps w:val="false"/>
                <w:smallCaps w:val="false"/>
              </w:rPr>
            </w:pPr>
            <w:r>
              <w:rPr>
                <w:caps w:val="false"/>
                <w:smallCaps w:val="false"/>
              </w:rPr>
              <w:t> </w:t>
            </w:r>
          </w:p>
        </w:tc>
        <w:tc>
          <w:tcPr>
            <w:tcW w:w="72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r>
    </w:tbl>
    <w:p>
      <w:pPr>
        <w:pStyle w:val="TextBody"/>
        <w:bidi w:val="0"/>
        <w:spacing w:before="0" w:after="0"/>
        <w:ind w:left="5040" w:right="0" w:hanging="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 Page to Base Indenture]</w:t>
      </w:r>
    </w:p>
    <w:p>
      <w:pPr>
        <w:pStyle w:val="TextBody"/>
        <w:bidi w:val="0"/>
        <w:spacing w:before="0" w:after="0"/>
        <w:ind w:left="5040" w:right="0" w:hanging="72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5040" w:right="0" w:hanging="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I</w:t>
      </w:r>
    </w:p>
    <w:p>
      <w:pPr>
        <w:pStyle w:val="TextBody"/>
        <w:bidi w:val="0"/>
        <w:spacing w:before="0" w:after="0"/>
        <w:ind w:left="0" w:right="0" w:hanging="0"/>
        <w:jc w:val="center"/>
        <w:rPr>
          <w:caps w:val="false"/>
          <w:smallCaps w:val="false"/>
        </w:rPr>
      </w:pPr>
      <w:r>
        <w:rPr>
          <w:caps w:val="false"/>
          <w:smallCaps w:val="false"/>
        </w:rPr>
        <w:t> </w:t>
      </w:r>
    </w:p>
    <w:tbl>
      <w:tblPr>
        <w:tblW w:w="4960" w:type="dxa"/>
        <w:jc w:val="center"/>
        <w:tblInd w:w="0" w:type="dxa"/>
        <w:tblLayout w:type="fixed"/>
        <w:tblCellMar>
          <w:top w:w="60" w:type="dxa"/>
          <w:left w:w="0" w:type="dxa"/>
          <w:bottom w:w="60" w:type="dxa"/>
          <w:right w:w="0" w:type="dxa"/>
        </w:tblCellMar>
      </w:tblPr>
      <w:tblGrid>
        <w:gridCol w:w="2225"/>
        <w:gridCol w:w="60"/>
        <w:gridCol w:w="2675"/>
      </w:tblGrid>
      <w:tr>
        <w:trPr/>
        <w:tc>
          <w:tcPr>
            <w:tcW w:w="2225" w:type="dxa"/>
            <w:tcBorders>
              <w:top w:val="single" w:sz="8" w:space="0" w:color="000000"/>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Company</w:t>
            </w:r>
          </w:p>
        </w:tc>
        <w:tc>
          <w:tcPr>
            <w:tcW w:w="60" w:type="dxa"/>
            <w:tcBorders/>
            <w:tcMar>
              <w:top w:w="0" w:type="dxa"/>
              <w:bottom w:w="0" w:type="dxa"/>
            </w:tcMar>
            <w:vAlign w:val="center"/>
          </w:tcPr>
          <w:p>
            <w:pPr>
              <w:pStyle w:val="TableContents"/>
              <w:bidi w:val="0"/>
              <w:spacing w:before="0" w:after="283"/>
              <w:jc w:val="left"/>
              <w:rPr/>
            </w:pPr>
            <w:r>
              <w:rPr/>
              <w:t> </w:t>
            </w:r>
          </w:p>
        </w:tc>
        <w:tc>
          <w:tcPr>
            <w:tcW w:w="2675" w:type="dxa"/>
            <w:tcBorders>
              <w:top w:val="single" w:sz="8" w:space="0" w:color="000000"/>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Address and Facsimile Number</w:t>
            </w:r>
          </w:p>
        </w:tc>
      </w:tr>
      <w:tr>
        <w:trPr/>
        <w:tc>
          <w:tcPr>
            <w:tcW w:w="2225" w:type="dxa"/>
            <w:tcBorders>
              <w:bottom w:val="single" w:sz="8" w:space="0" w:color="000000"/>
            </w:tcBorders>
            <w:tcMar>
              <w:top w:w="0" w:type="dxa"/>
            </w:tcMar>
            <w:vAlign w:val="center"/>
          </w:tcPr>
          <w:p>
            <w:pPr>
              <w:pStyle w:val="TableContents"/>
              <w:bidi w:val="0"/>
              <w:spacing w:before="0" w:after="283"/>
              <w:jc w:val="left"/>
              <w:rPr/>
            </w:pPr>
            <w:r>
              <w:rPr/>
              <w:t>Replimune Group, Inc.</w:t>
            </w:r>
          </w:p>
        </w:tc>
        <w:tc>
          <w:tcPr>
            <w:tcW w:w="60" w:type="dxa"/>
            <w:tcBorders/>
            <w:tcMar>
              <w:top w:w="0" w:type="dxa"/>
              <w:bottom w:w="0" w:type="dxa"/>
            </w:tcMar>
            <w:vAlign w:val="center"/>
          </w:tcPr>
          <w:p>
            <w:pPr>
              <w:pStyle w:val="TableContents"/>
              <w:bidi w:val="0"/>
              <w:spacing w:before="0" w:after="283"/>
              <w:jc w:val="left"/>
              <w:rPr/>
            </w:pPr>
            <w:r>
              <w:rPr/>
              <w:t> </w:t>
            </w:r>
          </w:p>
        </w:tc>
        <w:tc>
          <w:tcPr>
            <w:tcW w:w="2675" w:type="dxa"/>
            <w:tcBorders>
              <w:bottom w:val="single" w:sz="8" w:space="0" w:color="000000"/>
            </w:tcBorders>
            <w:tcMar>
              <w:top w:w="0" w:type="dxa"/>
            </w:tcMar>
            <w:vAlign w:val="center"/>
          </w:tcPr>
          <w:p>
            <w:pPr>
              <w:pStyle w:val="TableContents"/>
              <w:bidi w:val="0"/>
              <w:jc w:val="center"/>
              <w:rPr/>
            </w:pPr>
            <w:r>
              <w:rPr/>
              <w:t>500 Unicorn Park Drive</w:t>
            </w:r>
          </w:p>
          <w:p>
            <w:pPr>
              <w:pStyle w:val="TableContents"/>
              <w:bidi w:val="0"/>
              <w:jc w:val="center"/>
              <w:rPr/>
            </w:pPr>
            <w:r>
              <w:rPr/>
              <w:t>Suite 303</w:t>
            </w:r>
          </w:p>
          <w:p>
            <w:pPr>
              <w:pStyle w:val="TableContents"/>
              <w:bidi w:val="0"/>
              <w:jc w:val="center"/>
              <w:rPr/>
            </w:pPr>
            <w:r>
              <w:rPr/>
              <w:t>Woburn MA 01801</w:t>
            </w:r>
          </w:p>
          <w:p>
            <w:pPr>
              <w:pStyle w:val="TableContents"/>
              <w:bidi w:val="0"/>
              <w:jc w:val="center"/>
              <w:rPr/>
            </w:pPr>
            <w:r>
              <w:rPr/>
              <w:t>(781) 222-9600</w:t>
            </w:r>
          </w:p>
          <w:p>
            <w:pPr>
              <w:pStyle w:val="TableContents"/>
              <w:bidi w:val="0"/>
              <w:jc w:val="center"/>
              <w:rPr/>
            </w:pPr>
            <w:r>
              <w:rPr/>
              <w:t> </w:t>
            </w:r>
          </w:p>
          <w:p>
            <w:pPr>
              <w:pStyle w:val="TableContents"/>
              <w:bidi w:val="0"/>
              <w:spacing w:before="0" w:after="283"/>
              <w:jc w:val="center"/>
              <w:rPr/>
            </w:pPr>
            <w:r>
              <w:rPr/>
              <w:t>Attn: Secretary</w:t>
            </w:r>
          </w:p>
        </w:tc>
      </w:tr>
    </w:tbl>
    <w:p>
      <w:pPr>
        <w:pStyle w:val="TextBody"/>
        <w:bidi w:val="0"/>
        <w:spacing w:before="0" w:after="0"/>
        <w:ind w:left="0" w:right="0" w:hanging="0"/>
        <w:jc w:val="center"/>
        <w:rPr>
          <w:caps w:val="false"/>
          <w:smallCaps w:val="false"/>
        </w:rPr>
      </w:pPr>
      <w:r>
        <w:rPr>
          <w:caps w:val="false"/>
          <w:smallCaps w:val="false"/>
        </w:rPr>
        <w:t> </w:t>
      </w:r>
    </w:p>
    <w:tbl>
      <w:tblPr>
        <w:tblW w:w="3865" w:type="dxa"/>
        <w:jc w:val="center"/>
        <w:tblInd w:w="0" w:type="dxa"/>
        <w:tblLayout w:type="fixed"/>
        <w:tblCellMar>
          <w:top w:w="60" w:type="dxa"/>
          <w:left w:w="0" w:type="dxa"/>
          <w:bottom w:w="60" w:type="dxa"/>
          <w:right w:w="0" w:type="dxa"/>
        </w:tblCellMar>
      </w:tblPr>
      <w:tblGrid>
        <w:gridCol w:w="1130"/>
        <w:gridCol w:w="60"/>
        <w:gridCol w:w="2675"/>
      </w:tblGrid>
      <w:tr>
        <w:trPr/>
        <w:tc>
          <w:tcPr>
            <w:tcW w:w="1130" w:type="dxa"/>
            <w:tcBorders>
              <w:top w:val="single" w:sz="8" w:space="0" w:color="000000"/>
              <w:bottom w:val="single" w:sz="8" w:space="0" w:color="000000"/>
            </w:tcBorders>
            <w:vAlign w:val="center"/>
          </w:tcPr>
          <w:p>
            <w:pPr>
              <w:pStyle w:val="TableContents"/>
              <w:bidi w:val="0"/>
              <w:spacing w:before="0" w:after="283"/>
              <w:jc w:val="center"/>
              <w:rPr>
                <w:b/>
              </w:rPr>
            </w:pPr>
            <w:r>
              <w:rPr>
                <w:b/>
              </w:rPr>
              <w:t>Guarantor</w:t>
            </w:r>
          </w:p>
        </w:tc>
        <w:tc>
          <w:tcPr>
            <w:tcW w:w="60" w:type="dxa"/>
            <w:tcBorders/>
            <w:tcMar>
              <w:top w:w="0" w:type="dxa"/>
              <w:bottom w:w="0" w:type="dxa"/>
            </w:tcMar>
            <w:vAlign w:val="center"/>
          </w:tcPr>
          <w:p>
            <w:pPr>
              <w:pStyle w:val="TableContents"/>
              <w:bidi w:val="0"/>
              <w:spacing w:before="0" w:after="283"/>
              <w:jc w:val="left"/>
              <w:rPr/>
            </w:pPr>
            <w:r>
              <w:rPr/>
              <w:t> </w:t>
            </w:r>
          </w:p>
        </w:tc>
        <w:tc>
          <w:tcPr>
            <w:tcW w:w="2675" w:type="dxa"/>
            <w:tcBorders>
              <w:top w:val="single" w:sz="8" w:space="0" w:color="000000"/>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Address and Facsimile Number</w:t>
            </w:r>
          </w:p>
        </w:tc>
      </w:tr>
      <w:tr>
        <w:trPr/>
        <w:tc>
          <w:tcPr>
            <w:tcW w:w="1130" w:type="dxa"/>
            <w:tcBorders>
              <w:bottom w:val="single" w:sz="8" w:space="0" w:color="000000"/>
            </w:tcBorders>
            <w:tcMar>
              <w:top w:w="0" w:type="dxa"/>
            </w:tcMar>
            <w:vAlign w:val="center"/>
          </w:tcPr>
          <w:p>
            <w:pPr>
              <w:pStyle w:val="TableContents"/>
              <w:bidi w:val="0"/>
              <w:spacing w:before="0" w:after="283"/>
              <w:jc w:val="left"/>
              <w:rPr/>
            </w:pPr>
            <w:r>
              <w:rPr/>
              <w:t>[●]</w:t>
            </w:r>
          </w:p>
        </w:tc>
        <w:tc>
          <w:tcPr>
            <w:tcW w:w="60" w:type="dxa"/>
            <w:tcBorders/>
            <w:tcMar>
              <w:top w:w="0" w:type="dxa"/>
              <w:bottom w:w="0" w:type="dxa"/>
            </w:tcMar>
            <w:vAlign w:val="center"/>
          </w:tcPr>
          <w:p>
            <w:pPr>
              <w:pStyle w:val="TableContents"/>
              <w:bidi w:val="0"/>
              <w:spacing w:before="0" w:after="283"/>
              <w:jc w:val="left"/>
              <w:rPr/>
            </w:pPr>
            <w:r>
              <w:rPr/>
              <w:t> </w:t>
            </w:r>
          </w:p>
        </w:tc>
        <w:tc>
          <w:tcPr>
            <w:tcW w:w="2675" w:type="dxa"/>
            <w:tcBorders>
              <w:bottom w:val="single" w:sz="8" w:space="0" w:color="000000"/>
            </w:tcBorders>
            <w:tcMar>
              <w:top w:w="0" w:type="dxa"/>
            </w:tcMar>
            <w:vAlign w:val="center"/>
          </w:tcPr>
          <w:p>
            <w:pPr>
              <w:pStyle w:val="TableContents"/>
              <w:bidi w:val="0"/>
              <w:spacing w:before="0" w:after="283"/>
              <w:jc w:val="center"/>
              <w:rPr/>
            </w:pPr>
            <w:r>
              <w:rPr/>
              <w:t>[●]</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ind w:left="0" w:right="0" w:firstLine="720"/>
        <w:jc w:val="left"/>
        <w:rPr/>
      </w:pPr>
      <w:bookmarkStart w:id="21" w:name="tm2621843d2_ex4-13.htm"/>
      <w:bookmarkStart w:id="22" w:name="kstm2621843d2_ex413"/>
      <w:bookmarkEnd w:id="21"/>
      <w:bookmarkEnd w:id="22"/>
      <w:r>
        <w:rPr/>
        <w:t> </w:t>
      </w:r>
      <w:r>
        <w:br w:type="page"/>
      </w:r>
    </w:p>
    <w:p>
      <w:pPr>
        <w:pStyle w:val="TextBody"/>
        <w:bidi w:val="0"/>
        <w:jc w:val="right"/>
        <w:rPr>
          <w:b/>
        </w:rPr>
      </w:pPr>
      <w:r>
        <w:rPr>
          <w:b/>
        </w:rPr>
        <w:t>Exhibit 4.13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REPLIMUNE GROUP,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PRE-FUNDED WARRANT TO PURCHASE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of Shares: [</w:t>
      </w: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adjustment)</w:t>
      </w:r>
    </w:p>
    <w:p>
      <w:pPr>
        <w:pStyle w:val="TextBody"/>
        <w:bidi w:val="0"/>
        <w:spacing w:before="0" w:after="0"/>
        <w:ind w:left="0" w:right="0" w:hanging="0"/>
        <w:jc w:val="left"/>
        <w:rPr>
          <w:caps w:val="false"/>
          <w:smallCaps w:val="false"/>
        </w:rPr>
      </w:pPr>
      <w:r>
        <w:rPr>
          <w:caps w:val="false"/>
          <w:smallCaps w:val="false"/>
        </w:rPr>
        <w:t> </w:t>
      </w:r>
    </w:p>
    <w:tbl>
      <w:tblPr>
        <w:tblW w:w="3670" w:type="dxa"/>
        <w:jc w:val="left"/>
        <w:tblInd w:w="0" w:type="dxa"/>
        <w:tblLayout w:type="fixed"/>
        <w:tblCellMar>
          <w:top w:w="0" w:type="dxa"/>
          <w:left w:w="0" w:type="dxa"/>
          <w:bottom w:w="0" w:type="dxa"/>
          <w:right w:w="0" w:type="dxa"/>
        </w:tblCellMar>
      </w:tblPr>
      <w:tblGrid>
        <w:gridCol w:w="1265"/>
        <w:gridCol w:w="2405"/>
      </w:tblGrid>
      <w:tr>
        <w:trPr/>
        <w:tc>
          <w:tcPr>
            <w:tcW w:w="12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Warrant No. [</w:t>
            </w:r>
            <w:r>
              <w:rPr>
                <w:rFonts w:ascii="Symbol" w:hAnsi="Symbol"/>
                <w:sz w:val="20"/>
              </w:rPr>
              <w:t>·</w:t>
            </w:r>
            <w:r>
              <w:rPr>
                <w:rFonts w:ascii="Times New Roman;Times;Serif" w:hAnsi="Times New Roman;Times;Serif"/>
                <w:sz w:val="20"/>
              </w:rPr>
              <w:t>]</w:t>
            </w:r>
          </w:p>
        </w:tc>
        <w:tc>
          <w:tcPr>
            <w:tcW w:w="240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Original Issue Date: [</w:t>
            </w:r>
            <w:r>
              <w:rPr>
                <w:rFonts w:ascii="Symbol" w:hAnsi="Symbol"/>
                <w:sz w:val="20"/>
              </w:rPr>
              <w:t>·</w:t>
            </w:r>
            <w:r>
              <w:rPr>
                <w:rFonts w:ascii="Times New Roman;Times;Serif" w:hAnsi="Times New Roman;Times;Serif"/>
                <w:sz w:val="20"/>
              </w:rPr>
              <w:t>],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Replimune Group, Inc., a Delaware corporation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hereby certifies that, for good and valuable consideration, the receipt and sufficiency of which are hereby acknowledged, [</w:t>
      </w: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or its registered assigns (the “</w:t>
      </w:r>
      <w:r>
        <w:rPr>
          <w:rFonts w:ascii="Times New Roman;Times;Serif" w:hAnsi="Times New Roman;Times;Serif"/>
          <w:b/>
          <w:i w:val="false"/>
          <w:caps w:val="false"/>
          <w:smallCaps w:val="false"/>
          <w:sz w:val="20"/>
        </w:rPr>
        <w:t>Holder</w:t>
      </w:r>
      <w:r>
        <w:rPr>
          <w:rFonts w:ascii="Times New Roman;Times;Serif" w:hAnsi="Times New Roman;Times;Serif"/>
          <w:b w:val="false"/>
          <w:i w:val="false"/>
          <w:caps w:val="false"/>
          <w:smallCaps w:val="false"/>
          <w:sz w:val="20"/>
        </w:rPr>
        <w:t>”), is entitled, subject to the terms set forth below, to purchase from the Company up to a total of [</w:t>
      </w: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shares of common stock, $0.001 par value per share (the “</w:t>
      </w:r>
      <w:r>
        <w:rPr>
          <w:rFonts w:ascii="Times New Roman;Times;Serif" w:hAnsi="Times New Roman;Times;Serif"/>
          <w:b/>
          <w:i w:val="false"/>
          <w:caps w:val="false"/>
          <w:smallCaps w:val="false"/>
          <w:sz w:val="20"/>
        </w:rPr>
        <w:t>Common Stock</w:t>
      </w:r>
      <w:r>
        <w:rPr>
          <w:rFonts w:ascii="Times New Roman;Times;Serif" w:hAnsi="Times New Roman;Times;Serif"/>
          <w:b w:val="false"/>
          <w:i w:val="false"/>
          <w:caps w:val="false"/>
          <w:smallCaps w:val="false"/>
          <w:sz w:val="20"/>
        </w:rPr>
        <w:t>”), of the Company (each such share, a “</w:t>
      </w:r>
      <w:r>
        <w:rPr>
          <w:rFonts w:ascii="Times New Roman;Times;Serif" w:hAnsi="Times New Roman;Times;Serif"/>
          <w:b/>
          <w:i w:val="false"/>
          <w:caps w:val="false"/>
          <w:smallCaps w:val="false"/>
          <w:sz w:val="20"/>
        </w:rPr>
        <w:t>Warrant Share</w:t>
      </w:r>
      <w:r>
        <w:rPr>
          <w:rFonts w:ascii="Times New Roman;Times;Serif" w:hAnsi="Times New Roman;Times;Serif"/>
          <w:b w:val="false"/>
          <w:i w:val="false"/>
          <w:caps w:val="false"/>
          <w:smallCaps w:val="false"/>
          <w:sz w:val="20"/>
        </w:rPr>
        <w:t>” and all such shares, the “</w:t>
      </w:r>
      <w:r>
        <w:rPr>
          <w:rFonts w:ascii="Times New Roman;Times;Serif" w:hAnsi="Times New Roman;Times;Serif"/>
          <w:b/>
          <w:i w:val="false"/>
          <w:caps w:val="false"/>
          <w:smallCaps w:val="false"/>
          <w:sz w:val="20"/>
        </w:rPr>
        <w:t>Warrant Shares</w:t>
      </w:r>
      <w:r>
        <w:rPr>
          <w:rFonts w:ascii="Times New Roman;Times;Serif" w:hAnsi="Times New Roman;Times;Serif"/>
          <w:b w:val="false"/>
          <w:i w:val="false"/>
          <w:caps w:val="false"/>
          <w:smallCaps w:val="false"/>
          <w:sz w:val="20"/>
        </w:rPr>
        <w:t xml:space="preserve">”) at an exercise price per share equal to $0.0001 per share (as adjusted from time to time as provided in </w:t>
      </w:r>
      <w:r>
        <w:rPr>
          <w:rFonts w:ascii="Times New Roman;Times;Serif" w:hAnsi="Times New Roman;Times;Serif"/>
          <w:b w:val="false"/>
          <w:i w:val="false"/>
          <w:caps w:val="false"/>
          <w:smallCaps w:val="false"/>
          <w:sz w:val="20"/>
          <w:u w:val="single"/>
        </w:rPr>
        <w:t>Section 9</w:t>
      </w:r>
      <w:r>
        <w:rPr>
          <w:rFonts w:ascii="Times New Roman;Times;Serif" w:hAnsi="Times New Roman;Times;Serif"/>
          <w:b w:val="false"/>
          <w:i w:val="false"/>
          <w:caps w:val="false"/>
          <w:smallCaps w:val="false"/>
          <w:sz w:val="20"/>
        </w:rPr>
        <w:t xml:space="preserve"> herein, the “</w:t>
      </w:r>
      <w:r>
        <w:rPr>
          <w:rFonts w:ascii="Times New Roman;Times;Serif" w:hAnsi="Times New Roman;Times;Serif"/>
          <w:b/>
          <w:i w:val="false"/>
          <w:caps w:val="false"/>
          <w:smallCaps w:val="false"/>
          <w:sz w:val="20"/>
        </w:rPr>
        <w:t>Exercise Price</w:t>
      </w:r>
      <w:r>
        <w:rPr>
          <w:rFonts w:ascii="Times New Roman;Times;Serif" w:hAnsi="Times New Roman;Times;Serif"/>
          <w:b w:val="false"/>
          <w:i w:val="false"/>
          <w:caps w:val="false"/>
          <w:smallCaps w:val="false"/>
          <w:sz w:val="20"/>
        </w:rPr>
        <w:t>”) upon surrender of this Warrant to Purchase Common Stock (including any Warrants to Purchase Common Stock issued in exchange, transfer or replacement hereof, the “</w:t>
      </w:r>
      <w:r>
        <w:rPr>
          <w:rFonts w:ascii="Times New Roman;Times;Serif" w:hAnsi="Times New Roman;Times;Serif"/>
          <w:b/>
          <w:i w:val="false"/>
          <w:caps w:val="false"/>
          <w:smallCaps w:val="false"/>
          <w:sz w:val="20"/>
        </w:rPr>
        <w:t>Warrant</w:t>
      </w:r>
      <w:r>
        <w:rPr>
          <w:rFonts w:ascii="Times New Roman;Times;Serif" w:hAnsi="Times New Roman;Times;Serif"/>
          <w:b w:val="false"/>
          <w:i w:val="false"/>
          <w:caps w:val="false"/>
          <w:smallCaps w:val="false"/>
          <w:sz w:val="20"/>
        </w:rPr>
        <w:t>”) at any time and from time to time on or after the date hereof (the “</w:t>
      </w:r>
      <w:r>
        <w:rPr>
          <w:rFonts w:ascii="Times New Roman;Times;Serif" w:hAnsi="Times New Roman;Times;Serif"/>
          <w:b/>
          <w:i w:val="false"/>
          <w:caps w:val="false"/>
          <w:smallCaps w:val="false"/>
          <w:sz w:val="20"/>
        </w:rPr>
        <w:t>Original Issue Date</w:t>
      </w:r>
      <w:r>
        <w:rPr>
          <w:rFonts w:ascii="Times New Roman;Times;Serif" w:hAnsi="Times New Roman;Times;Serif"/>
          <w:b w:val="false"/>
          <w:i w:val="false"/>
          <w:caps w:val="false"/>
          <w:smallCaps w:val="false"/>
          <w:sz w:val="20"/>
        </w:rPr>
        <w:t>”), subject to the following terms and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caps w:val="false"/>
          <w:smallCaps w:val="false"/>
          <w:sz w:val="20"/>
        </w:rPr>
        <w:t>Definitions</w:t>
      </w:r>
      <w:r>
        <w:rPr>
          <w:rFonts w:ascii="Times New Roman;Times;Serif" w:hAnsi="Times New Roman;Times;Serif"/>
          <w:b w:val="false"/>
          <w:i w:val="false"/>
          <w:caps w:val="false"/>
          <w:smallCaps w:val="false"/>
          <w:sz w:val="20"/>
        </w:rPr>
        <w:t>. For purposes of this Warrant, the following terms shall have the following meanings: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rPr>
        <w:t>Affiliate</w:t>
      </w:r>
      <w:r>
        <w:rPr>
          <w:rFonts w:ascii="Times New Roman;Times;Serif" w:hAnsi="Times New Roman;Times;Serif"/>
          <w:b w:val="false"/>
          <w:i w:val="false"/>
          <w:caps w:val="false"/>
          <w:smallCaps w:val="false"/>
          <w:sz w:val="20"/>
        </w:rPr>
        <w:t>” means any Person directly or indirectly controlled by, controlling or under common control with, a Holder, as such terms are used in and construed under Rule 405 under the Securities Act, but only for so long as such control shall continue.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val="false"/>
          <w:caps w:val="false"/>
          <w:smallCaps w:val="false"/>
          <w:sz w:val="20"/>
        </w:rPr>
        <w:t>Commission</w:t>
      </w:r>
      <w:r>
        <w:rPr>
          <w:rFonts w:ascii="Times New Roman;Times;Serif" w:hAnsi="Times New Roman;Times;Serif"/>
          <w:b w:val="false"/>
          <w:i w:val="false"/>
          <w:caps w:val="false"/>
          <w:smallCaps w:val="false"/>
          <w:sz w:val="20"/>
        </w:rPr>
        <w:t>” means the United States Securities and Exchange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i w:val="false"/>
          <w:caps w:val="false"/>
          <w:smallCaps w:val="false"/>
          <w:sz w:val="20"/>
        </w:rPr>
        <w:t>Closing Sale Price</w:t>
      </w:r>
      <w:r>
        <w:rPr>
          <w:rFonts w:ascii="Times New Roman;Times;Serif" w:hAnsi="Times New Roman;Times;Serif"/>
          <w:b w:val="false"/>
          <w:i w:val="false"/>
          <w:caps w:val="false"/>
          <w:smallCaps w:val="false"/>
          <w:sz w:val="20"/>
        </w:rPr>
        <w:t>” means, for any security as of any date, the last trade price for such security on the Principal Trading Market for such security, as reported by Bloomberg L.P., or, if such Principal Trading Market begins to operate on an extended hours basis and does not designate the last trade price, then the last trade price of such security prior to 4:00 P.M., New York City time, as reported by Bloomberg L.P., or if the security is not listed for trading on a national securities exchange or other trading market on the relevant date, the last quoted bid price for the security in the over-the-counter market on the relevant date as reported by OTC Markets Group Inc. (or a similar organization or agency succeeding to its functions of reporting prices). If the Closing Sale Price cannot be calculated for a security on a particular date on any of the foregoing bases, the Closing Sale Price of such security on such date shall be the fair market value as mutually determined by the Company and the Holder. If the Company and the Holder are unable to agree upon the fair market value of such security, then the Board of Directors of the Company shall use its good faith judgment to determine the fair market value. The Board of Directors’ determination shall be binding upon all parties absent demonstrable error. All such determinations shall be appropriately adjusted for any stock dividend, stock split, stock combination or other similar transaction during the applicable calculation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i w:val="false"/>
          <w:caps w:val="false"/>
          <w:smallCaps w:val="false"/>
          <w:sz w:val="20"/>
        </w:rPr>
        <w:t>Principal Trading Market</w:t>
      </w:r>
      <w:r>
        <w:rPr>
          <w:rFonts w:ascii="Times New Roman;Times;Serif" w:hAnsi="Times New Roman;Times;Serif"/>
          <w:b w:val="false"/>
          <w:i w:val="false"/>
          <w:caps w:val="false"/>
          <w:smallCaps w:val="false"/>
          <w:sz w:val="20"/>
        </w:rPr>
        <w:t>” means the national securities exchange or other trading market on which the Common Stock is primarily listed on and quoted for trading, which, as of the Original Issue Date, shall be the Nasdaq Global Select Market.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i w:val="false"/>
          <w:caps w:val="false"/>
          <w:smallCaps w:val="false"/>
          <w:sz w:val="20"/>
        </w:rPr>
        <w:t>Registration Statement</w:t>
      </w:r>
      <w:r>
        <w:rPr>
          <w:rFonts w:ascii="Times New Roman;Times;Serif" w:hAnsi="Times New Roman;Times;Serif"/>
          <w:b w:val="false"/>
          <w:i w:val="false"/>
          <w:caps w:val="false"/>
          <w:smallCaps w:val="false"/>
          <w:sz w:val="20"/>
        </w:rPr>
        <w:t>” means the registration statement (File No. 333-287536), including a prospectus, filed with the Commission on May 23, 2025, as amended by Amendment No.1 to the registration statement on Form S-3 filed on November 6, 2025 pursuant to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means the Securities Act of 1933,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i w:val="false"/>
          <w:caps w:val="false"/>
          <w:smallCaps w:val="false"/>
          <w:sz w:val="20"/>
        </w:rPr>
        <w:t>Trading Day</w:t>
      </w:r>
      <w:r>
        <w:rPr>
          <w:rFonts w:ascii="Times New Roman;Times;Serif" w:hAnsi="Times New Roman;Times;Serif"/>
          <w:b w:val="false"/>
          <w:i w:val="false"/>
          <w:caps w:val="false"/>
          <w:smallCaps w:val="false"/>
          <w:sz w:val="20"/>
        </w:rPr>
        <w:t>” means any weekday on which the Principal Trading Market is open for trading. If the Common Stock is not listed or admitted for trading, “Trading Day” means any day except any Saturday, any Sunday, any day which is a federal legal holiday in the United States or any day on which banking institutions in New York City are authorized or required by law or other governmental action to close.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i w:val="false"/>
          <w:caps w:val="false"/>
          <w:smallCaps w:val="false"/>
          <w:sz w:val="20"/>
        </w:rPr>
        <w:t>Transfer Agent</w:t>
      </w:r>
      <w:r>
        <w:rPr>
          <w:rFonts w:ascii="Times New Roman;Times;Serif" w:hAnsi="Times New Roman;Times;Serif"/>
          <w:b w:val="false"/>
          <w:i w:val="false"/>
          <w:caps w:val="false"/>
          <w:smallCaps w:val="false"/>
          <w:sz w:val="20"/>
        </w:rPr>
        <w:t>” means Computershare Trust Company, N.A., the Company’s transfer agent and registrar for the Common Stock, and any successor appointed in such capacity.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caps w:val="false"/>
          <w:smallCaps w:val="false"/>
          <w:sz w:val="20"/>
        </w:rPr>
        <w:t>Issuance of Securities; Registration of Warrants</w:t>
      </w:r>
      <w:r>
        <w:rPr>
          <w:rFonts w:ascii="Times New Roman;Times;Serif" w:hAnsi="Times New Roman;Times;Serif"/>
          <w:b w:val="false"/>
          <w:i w:val="false"/>
          <w:caps w:val="false"/>
          <w:smallCaps w:val="false"/>
          <w:sz w:val="20"/>
        </w:rPr>
        <w:t>. The Warrant, as initially issued by the Company, is offered and sold pursuant to the Registration Statement. As of the Original Issue Date, the Warrant Shares are issuable under the Registration Statement. Accordingly, the Warrant and, assuming issuance pursuant to the Registration Statement or an exchange meeting the requirements of Section 3(a)(9) of the Securities Act as in effect on the Original Issue Date, the Warrant Shares, are not “restricted securities” under Rule 144 promulgated under the Securities Act as of the Original Issue Date. The Company shall register ownership of this Warrant, upon records to be maintained by the Company for that purpose (the “</w:t>
      </w:r>
      <w:r>
        <w:rPr>
          <w:rFonts w:ascii="Times New Roman;Times;Serif" w:hAnsi="Times New Roman;Times;Serif"/>
          <w:b/>
          <w:i w:val="false"/>
          <w:caps w:val="false"/>
          <w:smallCaps w:val="false"/>
          <w:sz w:val="20"/>
        </w:rPr>
        <w:t>Warrant Register</w:t>
      </w:r>
      <w:r>
        <w:rPr>
          <w:rFonts w:ascii="Times New Roman;Times;Serif" w:hAnsi="Times New Roman;Times;Serif"/>
          <w:b w:val="false"/>
          <w:i w:val="false"/>
          <w:caps w:val="false"/>
          <w:smallCaps w:val="false"/>
          <w:sz w:val="20"/>
        </w:rPr>
        <w:t>”), in the name of the record Holder (which shall include the initial Holder or, as the case may be, any assignee to which this Warrant is assigned hereunder) from time to time. The Company may deem and treat the registered Holder of this Warrant as the absolute owner hereof for the purpose of any exercise hereof or any distribution to the Holder, and for all other purposes, absent actual notice to the contrary.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val="false"/>
          <w:i/>
          <w:caps w:val="false"/>
          <w:smallCaps w:val="false"/>
          <w:sz w:val="20"/>
        </w:rPr>
        <w:t>Registration of Transfers</w:t>
      </w:r>
      <w:r>
        <w:rPr>
          <w:rFonts w:ascii="Times New Roman;Times;Serif" w:hAnsi="Times New Roman;Times;Serif"/>
          <w:b w:val="false"/>
          <w:i w:val="false"/>
          <w:caps w:val="false"/>
          <w:smallCaps w:val="false"/>
          <w:sz w:val="20"/>
        </w:rPr>
        <w:t>. Subject to compliance with all applicable securities laws and the rules of the Principal Trading Market, the Company shall, or will cause its Transfer Agent to, register the transfer of all or any portion of this Warrant in the Warrant Register, upon surrender of this Warrant, and payment for all applicable transfer taxes (if any). Upon any such registration or transfer, a new warrant to purchase Common Stock in substantially the form of this Warrant (any such new warrant, a “</w:t>
      </w:r>
      <w:r>
        <w:rPr>
          <w:rFonts w:ascii="Times New Roman;Times;Serif" w:hAnsi="Times New Roman;Times;Serif"/>
          <w:b/>
          <w:i w:val="false"/>
          <w:caps w:val="false"/>
          <w:smallCaps w:val="false"/>
          <w:sz w:val="20"/>
        </w:rPr>
        <w:t>New Warrant</w:t>
      </w:r>
      <w:r>
        <w:rPr>
          <w:rFonts w:ascii="Times New Roman;Times;Serif" w:hAnsi="Times New Roman;Times;Serif"/>
          <w:b w:val="false"/>
          <w:i w:val="false"/>
          <w:caps w:val="false"/>
          <w:smallCaps w:val="false"/>
          <w:sz w:val="20"/>
        </w:rPr>
        <w:t xml:space="preserve">”) evidencing the portion of this Warrant so transferred shall be issued to the transferee, and a New Warrant evidencing the remaining portion of this Warrant not so transferred, if any, shall be issued to the transferring Holder. The acceptance of the New Warrant by the transferee thereof shall be deemed the acceptance by such transferee of all of the rights and obligations in respect of the New Warrant that the Holder has in respect of this Warrant. The Company shall, or will cause its Transfer Agent to, prepare, issue and deliver at the Company’s own expense any New Warrant under this </w:t>
      </w: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Until due presentment for registration of transfer, the Company may treat the registered Holder hereof as the owner and holder for all purposes, and the Company shall not be affected by any notice to the contrary.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val="false"/>
          <w:i/>
          <w:caps w:val="false"/>
          <w:smallCaps w:val="false"/>
          <w:sz w:val="20"/>
        </w:rPr>
        <w:t>Exercise and Duration of Warrants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All or any part of this Warrant shall be exercisable by the registered Holder in any manner permitted by this Warrant at any time and from time to time on or after the Original Issue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Holder may exercise this Warrant by delivering to the Company (i) an exercise notice, in the form attached as </w:t>
      </w:r>
      <w:r>
        <w:rPr>
          <w:rFonts w:ascii="Times New Roman;Times;Serif" w:hAnsi="Times New Roman;Times;Serif"/>
          <w:b w:val="false"/>
          <w:i w:val="false"/>
          <w:caps w:val="false"/>
          <w:smallCaps w:val="false"/>
          <w:sz w:val="20"/>
          <w:u w:val="single"/>
        </w:rPr>
        <w:t>Schedule 1</w:t>
      </w:r>
      <w:r>
        <w:rPr>
          <w:rFonts w:ascii="Times New Roman;Times;Serif" w:hAnsi="Times New Roman;Times;Serif"/>
          <w:b w:val="false"/>
          <w:i w:val="false"/>
          <w:caps w:val="false"/>
          <w:smallCaps w:val="false"/>
          <w:sz w:val="20"/>
        </w:rPr>
        <w:t xml:space="preserve"> hereto (the “</w:t>
      </w:r>
      <w:r>
        <w:rPr>
          <w:rFonts w:ascii="Times New Roman;Times;Serif" w:hAnsi="Times New Roman;Times;Serif"/>
          <w:b/>
          <w:i w:val="false"/>
          <w:caps w:val="false"/>
          <w:smallCaps w:val="false"/>
          <w:sz w:val="20"/>
        </w:rPr>
        <w:t>Exercise Notice</w:t>
      </w:r>
      <w:r>
        <w:rPr>
          <w:rFonts w:ascii="Times New Roman;Times;Serif" w:hAnsi="Times New Roman;Times;Serif"/>
          <w:b w:val="false"/>
          <w:i w:val="false"/>
          <w:caps w:val="false"/>
          <w:smallCaps w:val="false"/>
          <w:sz w:val="20"/>
        </w:rPr>
        <w:t xml:space="preserve">”), completed and duly signed, and (ii) payment of the Exercise Price for the number of Warrant Shares as to which this Warrant is being exercised (which may take the form of a “cashless exercise” if so indicated in the Exercise Notice pursuant to </w:t>
      </w:r>
      <w:r>
        <w:rPr>
          <w:rFonts w:ascii="Times New Roman;Times;Serif" w:hAnsi="Times New Roman;Times;Serif"/>
          <w:b w:val="false"/>
          <w:i w:val="false"/>
          <w:caps w:val="false"/>
          <w:smallCaps w:val="false"/>
          <w:sz w:val="20"/>
          <w:u w:val="single"/>
        </w:rPr>
        <w:t>Section 10</w:t>
      </w:r>
      <w:r>
        <w:rPr>
          <w:rFonts w:ascii="Times New Roman;Times;Serif" w:hAnsi="Times New Roman;Times;Serif"/>
          <w:b w:val="false"/>
          <w:i w:val="false"/>
          <w:caps w:val="false"/>
          <w:smallCaps w:val="false"/>
          <w:sz w:val="20"/>
        </w:rPr>
        <w:t xml:space="preserve"> below). The date on which such exercise notice is delivered to the Company (as determined in accordance with the notice provisions hereof) is an “</w:t>
      </w:r>
      <w:r>
        <w:rPr>
          <w:rFonts w:ascii="Times New Roman;Times;Serif" w:hAnsi="Times New Roman;Times;Serif"/>
          <w:b/>
          <w:i w:val="false"/>
          <w:caps w:val="false"/>
          <w:smallCaps w:val="false"/>
          <w:sz w:val="20"/>
        </w:rPr>
        <w:t>Exercise Date</w:t>
      </w:r>
      <w:r>
        <w:rPr>
          <w:rFonts w:ascii="Times New Roman;Times;Serif" w:hAnsi="Times New Roman;Times;Serif"/>
          <w:b w:val="false"/>
          <w:i w:val="false"/>
          <w:caps w:val="false"/>
          <w:smallCaps w:val="false"/>
          <w:sz w:val="20"/>
        </w:rPr>
        <w:t xml:space="preserve">.” The Holder shall not be required to deliver the original Warrant in order to effect an exercise hereunder. Execution and delivery of the Exercise Notice shall have the same effect as cancellation of the original Warrant and issuance of a New Warrant evidencing the right to purchase the remaining number of Warrant Shares, if any. </w:t>
      </w:r>
      <w:r>
        <w:rPr>
          <w:rFonts w:ascii="Times New Roman;Times;Serif" w:hAnsi="Times New Roman;Times;Serif"/>
          <w:b/>
          <w:i w:val="false"/>
          <w:caps w:val="false"/>
          <w:smallCaps w:val="false"/>
          <w:sz w:val="20"/>
        </w:rPr>
        <w:t>The Holder and any assignee, by acceptance of this Warrant, acknowledge and agree that, by reason of the provisions of this paragraph, following the purchase of a portion of the Warrant Shares hereunder, the number of Warrant Shares available for purchase hereunder at any given time may be less than the amount stated on the face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w:t>
      </w:r>
      <w:r>
        <w:rPr>
          <w:rFonts w:ascii="Times New Roman;Times;Serif" w:hAnsi="Times New Roman;Times;Serif"/>
          <w:b w:val="false"/>
          <w:i/>
          <w:caps w:val="false"/>
          <w:smallCaps w:val="false"/>
          <w:sz w:val="20"/>
        </w:rPr>
        <w:t>Delivery of Warrant Shares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Upon exercise of this Warrant, the Company shall promptly (but in no event later than one (1) Trading Day after the Exercise Date), upon the request of the Holder, cause the Transfer Agent to credit such aggregate number of shares of Common Stock to which the Holder is entitled pursuant to such exercise to the Holder’s or its designee’s balance account with The Depository Trust Company (“</w:t>
      </w:r>
      <w:r>
        <w:rPr>
          <w:rFonts w:ascii="Times New Roman;Times;Serif" w:hAnsi="Times New Roman;Times;Serif"/>
          <w:b/>
          <w:i w:val="false"/>
          <w:caps w:val="false"/>
          <w:smallCaps w:val="false"/>
          <w:sz w:val="20"/>
        </w:rPr>
        <w:t>DTC</w:t>
      </w:r>
      <w:r>
        <w:rPr>
          <w:rFonts w:ascii="Times New Roman;Times;Serif" w:hAnsi="Times New Roman;Times;Serif"/>
          <w:b w:val="false"/>
          <w:i w:val="false"/>
          <w:caps w:val="false"/>
          <w:smallCaps w:val="false"/>
          <w:sz w:val="20"/>
        </w:rPr>
        <w:t>”) through its Deposit Withdrawal Agent Commission system or if the Transfer Agent is not participating in the Fast Automated Securities Transfer Program (the “</w:t>
      </w:r>
      <w:r>
        <w:rPr>
          <w:rFonts w:ascii="Times New Roman;Times;Serif" w:hAnsi="Times New Roman;Times;Serif"/>
          <w:b/>
          <w:i w:val="false"/>
          <w:caps w:val="false"/>
          <w:smallCaps w:val="false"/>
          <w:sz w:val="20"/>
        </w:rPr>
        <w:t>FAST Program</w:t>
      </w:r>
      <w:r>
        <w:rPr>
          <w:rFonts w:ascii="Times New Roman;Times;Serif" w:hAnsi="Times New Roman;Times;Serif"/>
          <w:b w:val="false"/>
          <w:i w:val="false"/>
          <w:caps w:val="false"/>
          <w:smallCaps w:val="false"/>
          <w:sz w:val="20"/>
        </w:rPr>
        <w:t>”) or if the certificates are required to bear a legend regarding restriction on transferability, issue and dispatch by overnight courier to the address as specified in the Exercise Notice, a certificate, registered in the Company’s share register in the name of the Holder or its designee, for the number of shares of Common Stock to which the Holder is entitled pursuant to such exercise. The Holder, or any natural person or legal entity (each, a “</w:t>
      </w:r>
      <w:r>
        <w:rPr>
          <w:rFonts w:ascii="Times New Roman;Times;Serif" w:hAnsi="Times New Roman;Times;Serif"/>
          <w:b/>
          <w:i w:val="false"/>
          <w:caps w:val="false"/>
          <w:smallCaps w:val="false"/>
          <w:sz w:val="20"/>
        </w:rPr>
        <w:t>Person</w:t>
      </w:r>
      <w:r>
        <w:rPr>
          <w:rFonts w:ascii="Times New Roman;Times;Serif" w:hAnsi="Times New Roman;Times;Serif"/>
          <w:b w:val="false"/>
          <w:i w:val="false"/>
          <w:caps w:val="false"/>
          <w:smallCaps w:val="false"/>
          <w:sz w:val="20"/>
        </w:rPr>
        <w:t>”) so designated by the Holder to receive Warrant Shares, shall be deemed to have become the holder of record of such Warrant Shares as of the Exercise Date, irrespective of the date such Warrant Shares are credited to the Holder’s DTC account or the date of delivery of the certificates evidencing such Warrant Shares, as the case may 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If by the close of the first (1st) Trading Day after the Exercise Date, the Company fails to deliver to the Holder a certificate representing the required number of Warrant Shares in the manner required pursuant to </w:t>
      </w:r>
      <w:r>
        <w:rPr>
          <w:rFonts w:ascii="Times New Roman;Times;Serif" w:hAnsi="Times New Roman;Times;Serif"/>
          <w:b w:val="false"/>
          <w:i w:val="false"/>
          <w:caps w:val="false"/>
          <w:smallCaps w:val="false"/>
          <w:sz w:val="20"/>
          <w:u w:val="single"/>
        </w:rPr>
        <w:t>Section 5(a)</w:t>
      </w:r>
      <w:r>
        <w:rPr>
          <w:rFonts w:ascii="Times New Roman;Times;Serif" w:hAnsi="Times New Roman;Times;Serif"/>
          <w:b w:val="false"/>
          <w:i w:val="false"/>
          <w:caps w:val="false"/>
          <w:smallCaps w:val="false"/>
          <w:sz w:val="20"/>
        </w:rPr>
        <w:t> or fails to cause the Transfer Agent to credit the Holder’s DTC account for such number of Warrant Shares to which the Holder is entitled, and if after such first (1st) Trading Day and prior to the receipt of such Warrant Shares, the Holder purchases (in an open market transaction or otherwise) shares of Common Stock to deliver in satisfaction of a sale by the Holder of the Warrant Shares which the Holder anticipated receiving upon such exercise (a “</w:t>
      </w:r>
      <w:r>
        <w:rPr>
          <w:rFonts w:ascii="Times New Roman;Times;Serif" w:hAnsi="Times New Roman;Times;Serif"/>
          <w:b/>
          <w:i w:val="false"/>
          <w:caps w:val="false"/>
          <w:smallCaps w:val="false"/>
          <w:sz w:val="20"/>
        </w:rPr>
        <w:t>Buy-In</w:t>
      </w:r>
      <w:r>
        <w:rPr>
          <w:rFonts w:ascii="Times New Roman;Times;Serif" w:hAnsi="Times New Roman;Times;Serif"/>
          <w:b w:val="false"/>
          <w:i w:val="false"/>
          <w:caps w:val="false"/>
          <w:smallCaps w:val="false"/>
          <w:sz w:val="20"/>
        </w:rPr>
        <w:t>”), then the Company shall, within three (3) Trading Days after the Holder’s written request and in the Holder’s sole discretion, either (i) pay in cash to the Holder an amount equal to the Holder’s total purchase price (including brokerage commissions, if any) for the shares of Common Stock so purchased, at which point the Company’s obligation to deliver such certificate (and to issue such Warrant Shares) or to cause the Holder’s DTC account to be credited for such Warrant Shares shall terminate or (ii) promptly deliver to the Holder a certificate or certificates representing such Warrant Shares and pay cash to the Holder in an amount equal to the excess (if any) of Holder’s total purchase price (including brokerage commissions, if any) for the shares of Common Stock so purchased in the Buy-In over the product of (A) the number of shares of Common Stock purchased in the Buy-In, times (B) the Closing Sale Price of a share of Common Stock on the Exercise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To the extent permitted by law and subject to </w:t>
      </w:r>
      <w:r>
        <w:rPr>
          <w:rFonts w:ascii="Times New Roman;Times;Serif" w:hAnsi="Times New Roman;Times;Serif"/>
          <w:b w:val="false"/>
          <w:i w:val="false"/>
          <w:caps w:val="false"/>
          <w:smallCaps w:val="false"/>
          <w:sz w:val="20"/>
          <w:u w:val="single"/>
        </w:rPr>
        <w:t>Section 5(b)</w:t>
      </w:r>
      <w:r>
        <w:rPr>
          <w:rFonts w:ascii="Times New Roman;Times;Serif" w:hAnsi="Times New Roman;Times;Serif"/>
          <w:b w:val="false"/>
          <w:i w:val="false"/>
          <w:caps w:val="false"/>
          <w:smallCaps w:val="false"/>
          <w:sz w:val="20"/>
        </w:rPr>
        <w:t xml:space="preserve">, the Company’s obligations to cause the Transfer Agent to issue and deliver Warrant Shares in accordance with and subject to the terms hereof (including the limitations set forth in </w:t>
      </w:r>
      <w:r>
        <w:rPr>
          <w:rFonts w:ascii="Times New Roman;Times;Serif" w:hAnsi="Times New Roman;Times;Serif"/>
          <w:b w:val="false"/>
          <w:i w:val="false"/>
          <w:caps w:val="false"/>
          <w:smallCaps w:val="false"/>
          <w:sz w:val="20"/>
          <w:u w:val="single"/>
        </w:rPr>
        <w:t>Section 11</w:t>
      </w:r>
      <w:r>
        <w:rPr>
          <w:rFonts w:ascii="Times New Roman;Times;Serif" w:hAnsi="Times New Roman;Times;Serif"/>
          <w:b w:val="false"/>
          <w:i w:val="false"/>
          <w:caps w:val="false"/>
          <w:smallCaps w:val="false"/>
          <w:sz w:val="20"/>
        </w:rPr>
        <w:t xml:space="preserve"> below) are absolute and unconditional, irrespective of any action or inaction by the Holder to enforce the same, any waiver or consent with respect to any provision hereof, the recovery of any judgment against any Person or any action to enforce the same, or any setoff, counterclaim, recoupment, limitation or termination, or any breach or alleged breach by the Holder or any other Person of any obligation to the Company or any violation or alleged violation of law by the Holder or any other Person, and irrespective of any other circumstance that might otherwise limit such obligation of the Company to the Holder in connection with the issuance of Warrant Shares. Subject to </w:t>
      </w:r>
      <w:r>
        <w:rPr>
          <w:rFonts w:ascii="Times New Roman;Times;Serif" w:hAnsi="Times New Roman;Times;Serif"/>
          <w:b w:val="false"/>
          <w:i w:val="false"/>
          <w:caps w:val="false"/>
          <w:smallCaps w:val="false"/>
          <w:sz w:val="20"/>
          <w:u w:val="single"/>
        </w:rPr>
        <w:t>Section 5(b)</w:t>
      </w:r>
      <w:r>
        <w:rPr>
          <w:rFonts w:ascii="Times New Roman;Times;Serif" w:hAnsi="Times New Roman;Times;Serif"/>
          <w:b w:val="false"/>
          <w:i w:val="false"/>
          <w:caps w:val="false"/>
          <w:smallCaps w:val="false"/>
          <w:sz w:val="20"/>
        </w:rPr>
        <w:t>, nothing herein shall limit the Holder’s right to pursue any other remedies available to it hereunder, at law or in equity including, without limitation, a decree of specific performance and/or injunctive relief with respect to the Company’s failure to timely deliver certificates representing shares of Common Stock upon exercise of the Warrant as required pursuant to the terms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w:t>
      </w:r>
      <w:r>
        <w:rPr>
          <w:rFonts w:ascii="Times New Roman;Times;Serif" w:hAnsi="Times New Roman;Times;Serif"/>
          <w:b w:val="false"/>
          <w:i/>
          <w:caps w:val="false"/>
          <w:smallCaps w:val="false"/>
          <w:sz w:val="20"/>
        </w:rPr>
        <w:t>Charges, Taxes and Expenses</w:t>
      </w:r>
      <w:r>
        <w:rPr>
          <w:rFonts w:ascii="Times New Roman;Times;Serif" w:hAnsi="Times New Roman;Times;Serif"/>
          <w:b w:val="false"/>
          <w:i w:val="false"/>
          <w:caps w:val="false"/>
          <w:smallCaps w:val="false"/>
          <w:sz w:val="20"/>
        </w:rPr>
        <w:t xml:space="preserve">. Issuance and delivery of certificates for shares of Common Stock, if any, upon exercise of this Warrant shall be made without charge to the Holder for any issue or transfer tax, transfer agent fee or other incidental tax or expense (excluding any applicable stamp duties) in respect of the issuance of such certificates, all of which taxes and expenses shall be paid by the Company;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the Company shall not be required to pay any tax that may be payable in respect of any transfer involved in the registration of any certificates for Warrant Shares or the Warrants in a name other than that of the Holder or an Affiliate thereof. The Holder shall be responsible for all other tax liability that may arise as a result of holding or transferring this Warrant or receiving Warrant Shares upon exercise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 </w:t>
      </w:r>
      <w:r>
        <w:rPr>
          <w:rFonts w:ascii="Times New Roman;Times;Serif" w:hAnsi="Times New Roman;Times;Serif"/>
          <w:b w:val="false"/>
          <w:i/>
          <w:caps w:val="false"/>
          <w:smallCaps w:val="false"/>
          <w:sz w:val="20"/>
        </w:rPr>
        <w:t>Replacement of Warrant</w:t>
      </w:r>
      <w:r>
        <w:rPr>
          <w:rFonts w:ascii="Times New Roman;Times;Serif" w:hAnsi="Times New Roman;Times;Serif"/>
          <w:b w:val="false"/>
          <w:i w:val="false"/>
          <w:caps w:val="false"/>
          <w:smallCaps w:val="false"/>
          <w:sz w:val="20"/>
        </w:rPr>
        <w:t>. If this Warrant is mutilated, lost, stolen or destroyed, the Company shall issue or cause to be issued in exchange and substitution for and upon cancellation hereof, or in lieu of and substitution for this Warrant, a New Warrant, but only upon receipt of evidence reasonably satisfactory to the Company of such loss, theft or destruction (in such case) and, in each case, a customary and reasonable indemnity and surety bond, if requested by the Company. Applicants for a New Warrant under such circumstances shall also comply with such other reasonable regulations and procedures and pay such other reasonable third-party costs as the Company may prescribe. If a New Warrant is requested as a result of a mutilation of this Warrant, then the Holder shall deliver such mutilated Warrant to the Company as a condition precedent to the Company’s obligation to issue the New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 </w:t>
      </w:r>
      <w:r>
        <w:rPr>
          <w:rFonts w:ascii="Times New Roman;Times;Serif" w:hAnsi="Times New Roman;Times;Serif"/>
          <w:b w:val="false"/>
          <w:i/>
          <w:caps w:val="false"/>
          <w:smallCaps w:val="false"/>
          <w:sz w:val="20"/>
        </w:rPr>
        <w:t>Reservation of Warrant Shares</w:t>
      </w:r>
      <w:r>
        <w:rPr>
          <w:rFonts w:ascii="Times New Roman;Times;Serif" w:hAnsi="Times New Roman;Times;Serif"/>
          <w:b w:val="false"/>
          <w:i w:val="false"/>
          <w:caps w:val="false"/>
          <w:smallCaps w:val="false"/>
          <w:sz w:val="20"/>
        </w:rPr>
        <w:t xml:space="preserve">. The Company covenants that it will, at all times while this Warrant is outstanding, reserve and keep available out of the aggregate of its authorized but unissued and otherwise unreserved Common Stock, solely for the purpose of enabling it to issue Warrant Shares upon exercise of this Warrant as herein provided, the number of Warrant Shares that are initially issuable and deliverable upon the exercise of this entire Warrant, free from preemptive rights or any other contingent purchase rights of persons other than the Holder (taking into account the adjustments and restrictions of </w:t>
      </w:r>
      <w:r>
        <w:rPr>
          <w:rFonts w:ascii="Times New Roman;Times;Serif" w:hAnsi="Times New Roman;Times;Serif"/>
          <w:b w:val="false"/>
          <w:i w:val="false"/>
          <w:caps w:val="false"/>
          <w:smallCaps w:val="false"/>
          <w:sz w:val="20"/>
          <w:u w:val="single"/>
        </w:rPr>
        <w:t>Section 9</w:t>
      </w:r>
      <w:r>
        <w:rPr>
          <w:rFonts w:ascii="Times New Roman;Times;Serif" w:hAnsi="Times New Roman;Times;Serif"/>
          <w:b w:val="false"/>
          <w:i w:val="false"/>
          <w:caps w:val="false"/>
          <w:smallCaps w:val="false"/>
          <w:sz w:val="20"/>
        </w:rPr>
        <w:t>). The Company covenants that all Warrant Shares so issuable and deliverable shall, upon issuance and the payment of the applicable Exercise Price in accordance with the terms hereof, be duly and validly authorized, issued and fully paid and non-assessable. The Company will take all such action as may be reasonably necessary to assure that such shares of Common Stock may be issued as provided herein without violation of any applicable law or regulation, or of any requirements of any securities exchange or automated quotation system upon which the Common Stock may be listed. The Company further covenants that it will not, without the prior written consent of the Holder, take any actions to increase the par value of the Common Stock at any time while this Warrant is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 </w:t>
      </w:r>
      <w:r>
        <w:rPr>
          <w:rFonts w:ascii="Times New Roman;Times;Serif" w:hAnsi="Times New Roman;Times;Serif"/>
          <w:b w:val="false"/>
          <w:i/>
          <w:caps w:val="false"/>
          <w:smallCaps w:val="false"/>
          <w:sz w:val="20"/>
        </w:rPr>
        <w:t>Certain Adjustments</w:t>
      </w:r>
      <w:r>
        <w:rPr>
          <w:rFonts w:ascii="Times New Roman;Times;Serif" w:hAnsi="Times New Roman;Times;Serif"/>
          <w:b w:val="false"/>
          <w:i w:val="false"/>
          <w:caps w:val="false"/>
          <w:smallCaps w:val="false"/>
          <w:sz w:val="20"/>
        </w:rPr>
        <w:t xml:space="preserve">. The Exercise Price and number of Warrant Shares issuable upon exercise of this Warrant are subject to adjustment from time to time as set forth in this </w:t>
      </w:r>
      <w:r>
        <w:rPr>
          <w:rFonts w:ascii="Times New Roman;Times;Serif" w:hAnsi="Times New Roman;Times;Serif"/>
          <w:b w:val="false"/>
          <w:i w:val="false"/>
          <w:caps w:val="false"/>
          <w:smallCaps w:val="false"/>
          <w:sz w:val="20"/>
          <w:u w:val="single"/>
        </w:rPr>
        <w:t>Section 9</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Stock Dividends and Splits</w:t>
      </w:r>
      <w:r>
        <w:rPr>
          <w:rFonts w:ascii="Times New Roman;Times;Serif" w:hAnsi="Times New Roman;Times;Serif"/>
          <w:b w:val="false"/>
          <w:i w:val="false"/>
          <w:caps w:val="false"/>
          <w:smallCaps w:val="false"/>
          <w:sz w:val="20"/>
        </w:rPr>
        <w:t xml:space="preserve">. If the Company, at any time while this Warrant is outstanding, (i) pays a stock dividend on its Common Stock or otherwise makes a distribution on any class of capital stock issued and outstanding on the Original Issue Date and in accordance with the terms of such stock on the Original Issue Date that is payable in shares of Common Stock, (ii) subdivides its outstanding shares of Common Stock into a larger number of shares of Common Stock, (iii) combines its outstanding shares of Common Stock into a smaller number of shares of Common Stock or (iv) issues by reclassification of shares of capital stock any additional shares of Common Stock of the Company, then in each such case the Exercise Price shall be multiplied by a fraction, the numerator of which shall be the number of shares of Common Stock outstanding immediately before such event and the denominator of which shall be the number of shares of Common Stock outstanding immediately after such event. Any adjustment made pursuant to clause (i) of this paragraph shall become effective immediately after the record date for the determination of stockholders entitled to receive such dividend or distribution,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if such record date shall have been fixed and such dividend is not fully paid on the date fixed therefor, the Exercise Price shall be recomputed accordingly as of the close of business on such record date and thereafter the Exercise Price shall be adjusted pursuant to this paragraph as of the time of actual payment of such dividends. Any adjustment pursuant to clause (ii) or (iii) of this paragraph shall become effective immediately after the effective date of such subdivision or combination.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Pro Rata Distributions</w:t>
      </w:r>
      <w:r>
        <w:rPr>
          <w:rFonts w:ascii="Times New Roman;Times;Serif" w:hAnsi="Times New Roman;Times;Serif"/>
          <w:b w:val="false"/>
          <w:i w:val="false"/>
          <w:caps w:val="false"/>
          <w:smallCaps w:val="false"/>
          <w:sz w:val="20"/>
        </w:rPr>
        <w:t>. If the Company, at any time while this Warrant is outstanding, distributes to all holders of Common Stock for no consideration (i) evidences of its indebtedness, (ii) any security (other than a distribution of Common Stock covered by the preceding paragraph), (iii) rights or warrants to subscribe for or purchase any security, or (iv) cash or any other asset (in each case, a “</w:t>
      </w:r>
      <w:r>
        <w:rPr>
          <w:rFonts w:ascii="Times New Roman;Times;Serif" w:hAnsi="Times New Roman;Times;Serif"/>
          <w:b/>
          <w:i w:val="false"/>
          <w:caps w:val="false"/>
          <w:smallCaps w:val="false"/>
          <w:sz w:val="20"/>
        </w:rPr>
        <w:t>Distribution</w:t>
      </w:r>
      <w:r>
        <w:rPr>
          <w:rFonts w:ascii="Times New Roman;Times;Serif" w:hAnsi="Times New Roman;Times;Serif"/>
          <w:b w:val="false"/>
          <w:i w:val="false"/>
          <w:caps w:val="false"/>
          <w:smallCaps w:val="false"/>
          <w:sz w:val="20"/>
        </w:rPr>
        <w:t xml:space="preserve">”), other than a reclassification as to which </w:t>
      </w:r>
      <w:r>
        <w:rPr>
          <w:rFonts w:ascii="Times New Roman;Times;Serif" w:hAnsi="Times New Roman;Times;Serif"/>
          <w:b w:val="false"/>
          <w:i w:val="false"/>
          <w:caps w:val="false"/>
          <w:smallCaps w:val="false"/>
          <w:sz w:val="20"/>
          <w:u w:val="single"/>
        </w:rPr>
        <w:t>Section 9(c)</w:t>
      </w:r>
      <w:r>
        <w:rPr>
          <w:rFonts w:ascii="Times New Roman;Times;Serif" w:hAnsi="Times New Roman;Times;Serif"/>
          <w:b w:val="false"/>
          <w:i w:val="false"/>
          <w:caps w:val="false"/>
          <w:smallCaps w:val="false"/>
          <w:sz w:val="20"/>
        </w:rPr>
        <w:t xml:space="preserve"> applies,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on exercise hereof, including without limitation, the ownership limitation set forth in </w:t>
      </w:r>
      <w:r>
        <w:rPr>
          <w:rFonts w:ascii="Times New Roman;Times;Serif" w:hAnsi="Times New Roman;Times;Serif"/>
          <w:b w:val="false"/>
          <w:i w:val="false"/>
          <w:caps w:val="false"/>
          <w:smallCaps w:val="false"/>
          <w:sz w:val="20"/>
          <w:u w:val="single"/>
        </w:rPr>
        <w:t>Section 11(a)</w:t>
      </w:r>
      <w:r>
        <w:rPr>
          <w:rFonts w:ascii="Times New Roman;Times;Serif" w:hAnsi="Times New Roman;Times;Serif"/>
          <w:b w:val="false"/>
          <w:i w:val="false"/>
          <w:caps w:val="false"/>
          <w:smallCaps w:val="false"/>
          <w:sz w:val="20"/>
        </w:rPr>
        <w:t xml:space="preserve"> hereof) immediately before the date of which a record is taken for such Distribution, or, if no such record is taken, the date as of which the record holders of Common Stock are to be determined for the participation in such Distribution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to the extent that the Holder’s right to participate in any such Distribution would result in the Holder exceeding the ownership limitation set forth in </w:t>
      </w:r>
      <w:r>
        <w:rPr>
          <w:rFonts w:ascii="Times New Roman;Times;Serif" w:hAnsi="Times New Roman;Times;Serif"/>
          <w:b w:val="false"/>
          <w:i w:val="false"/>
          <w:caps w:val="false"/>
          <w:smallCaps w:val="false"/>
          <w:sz w:val="20"/>
          <w:u w:val="single"/>
        </w:rPr>
        <w:t>Section 11(a)</w:t>
      </w:r>
      <w:r>
        <w:rPr>
          <w:rFonts w:ascii="Times New Roman;Times;Serif" w:hAnsi="Times New Roman;Times;Serif"/>
          <w:b w:val="false"/>
          <w:i w:val="false"/>
          <w:caps w:val="false"/>
          <w:smallCaps w:val="false"/>
          <w:sz w:val="20"/>
        </w:rPr>
        <w:t xml:space="preserve"> hereof, then the Holder shall not be entitled to participate in such Distribution to such extent (or in the beneficial ownership of any Common Stock as a result of such Distribution to such extent) and the portion of such Distribution shall be held in abeyance for the benefit of the Holder until the earlier of (i) such time, if ever, as the delivery to such Holder of such portion would not result in the Holder exceeding the ownership limitation set forth in </w:t>
      </w:r>
      <w:r>
        <w:rPr>
          <w:rFonts w:ascii="Times New Roman;Times;Serif" w:hAnsi="Times New Roman;Times;Serif"/>
          <w:b w:val="false"/>
          <w:i w:val="false"/>
          <w:caps w:val="false"/>
          <w:smallCaps w:val="false"/>
          <w:sz w:val="20"/>
          <w:u w:val="single"/>
        </w:rPr>
        <w:t>Section 11(a)</w:t>
      </w:r>
      <w:r>
        <w:rPr>
          <w:rFonts w:ascii="Times New Roman;Times;Serif" w:hAnsi="Times New Roman;Times;Serif"/>
          <w:b w:val="false"/>
          <w:i w:val="false"/>
          <w:caps w:val="false"/>
          <w:smallCaps w:val="false"/>
          <w:sz w:val="20"/>
        </w:rPr>
        <w:t> hereof and (ii) such time as the Holder has exercised this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Fundamental Transactions</w:t>
      </w:r>
      <w:r>
        <w:rPr>
          <w:rFonts w:ascii="Times New Roman;Times;Serif" w:hAnsi="Times New Roman;Times;Serif"/>
          <w:b w:val="false"/>
          <w:i w:val="false"/>
          <w:caps w:val="false"/>
          <w:smallCaps w:val="false"/>
          <w:sz w:val="20"/>
        </w:rPr>
        <w:t xml:space="preserve">. If, at any time while this Warrant is outstanding, (i) the Company effects any merger or consolidation of the Company with or into another Person, in which the Company is not the surviving entity and in which the stockholders of the Company immediately prior to such merger or consolidation do not own, directly or indirectly, at least 50% of the voting power of the surviving entity immediately after such merger or consolidation, (ii) the Company effects any sale to another Person of all or substantially all of its assets in one transaction or a series of related transactions, (iii) pursuant to any tender offer or exchange offer (whether by the Company or another Person), holders of capital stock tender shares representing more than 50% of the voting power of the capital stock of the Company and the Company or such other Person, as applicable, accepts such tender for payment, (iv) the Company consummates a stock purchase agreement or other business combination (including, without limitation, a reorganization, recapitalization, spin-off or scheme of arrangement) with another Person whereby such other Person acquires more than 50% of the voting power of the capital stock of the Company (except for any such transaction in which the stockholders of the Company immediately prior to such transaction maintain, in substantially the same proportions, the voting power of such Person immediately after the transaction) or (v) the Company effects any reclassification of the Common Stock or any compulsory share exchange pursuant to which the Common Stock is effectively converted into or exchanged for other securities, cash or property (other than as a result of a subdivision or combination of shares of Common Stock covered by </w:t>
      </w:r>
      <w:r>
        <w:rPr>
          <w:rFonts w:ascii="Times New Roman;Times;Serif" w:hAnsi="Times New Roman;Times;Serif"/>
          <w:b w:val="false"/>
          <w:i w:val="false"/>
          <w:caps w:val="false"/>
          <w:smallCaps w:val="false"/>
          <w:sz w:val="20"/>
          <w:u w:val="single"/>
        </w:rPr>
        <w:t>Section 9(a)</w:t>
      </w:r>
      <w:r>
        <w:rPr>
          <w:rFonts w:ascii="Times New Roman;Times;Serif" w:hAnsi="Times New Roman;Times;Serif"/>
          <w:b w:val="false"/>
          <w:i w:val="false"/>
          <w:caps w:val="false"/>
          <w:smallCaps w:val="false"/>
          <w:sz w:val="20"/>
        </w:rPr>
        <w:t> above) (in any such case, a “</w:t>
      </w:r>
      <w:r>
        <w:rPr>
          <w:rFonts w:ascii="Times New Roman;Times;Serif" w:hAnsi="Times New Roman;Times;Serif"/>
          <w:b/>
          <w:i w:val="false"/>
          <w:caps w:val="false"/>
          <w:smallCaps w:val="false"/>
          <w:sz w:val="20"/>
        </w:rPr>
        <w:t>Fundamental Transaction</w:t>
      </w:r>
      <w:r>
        <w:rPr>
          <w:rFonts w:ascii="Times New Roman;Times;Serif" w:hAnsi="Times New Roman;Times;Serif"/>
          <w:b w:val="false"/>
          <w:i w:val="false"/>
          <w:caps w:val="false"/>
          <w:smallCaps w:val="false"/>
          <w:sz w:val="20"/>
        </w:rPr>
        <w:t>”), then following such Fundamental Transaction the Holder shall have the right to receive, upon exercise of this Warrant, the same amount and kind of securities, cash or property as it would have been entitled to receive upon the occurrence of such Fundamental Transaction if it had been, immediately prior to such Fundamental Transaction, the holder of the number of Warrant Shares then issuable upon exercise in full of this Warrant without regard to any limitations on exercise contained herein (the “</w:t>
      </w:r>
      <w:r>
        <w:rPr>
          <w:rFonts w:ascii="Times New Roman;Times;Serif" w:hAnsi="Times New Roman;Times;Serif"/>
          <w:b/>
          <w:i w:val="false"/>
          <w:caps w:val="false"/>
          <w:smallCaps w:val="false"/>
          <w:sz w:val="20"/>
        </w:rPr>
        <w:t>Alternate Consideration</w:t>
      </w:r>
      <w:r>
        <w:rPr>
          <w:rFonts w:ascii="Times New Roman;Times;Serif" w:hAnsi="Times New Roman;Times;Serif"/>
          <w:b w:val="false"/>
          <w:i w:val="false"/>
          <w:caps w:val="false"/>
          <w:smallCaps w:val="false"/>
          <w:sz w:val="20"/>
        </w:rPr>
        <w:t xml:space="preserve">”). The Company shall not effect any Fundamental Transaction in which the Company is not the surviving entity or the Alternate Consideration includes securities of another Person unless (i) the Alternate Consideration is solely cash and the Company provides for the simultaneous “cashless exercise” of this Warrant pursuant to </w:t>
      </w:r>
      <w:r>
        <w:rPr>
          <w:rFonts w:ascii="Times New Roman;Times;Serif" w:hAnsi="Times New Roman;Times;Serif"/>
          <w:b w:val="false"/>
          <w:i w:val="false"/>
          <w:caps w:val="false"/>
          <w:smallCaps w:val="false"/>
          <w:sz w:val="20"/>
          <w:u w:val="single"/>
        </w:rPr>
        <w:t>Section 10</w:t>
      </w:r>
      <w:r>
        <w:rPr>
          <w:rFonts w:ascii="Times New Roman;Times;Serif" w:hAnsi="Times New Roman;Times;Serif"/>
          <w:b w:val="false"/>
          <w:i w:val="false"/>
          <w:caps w:val="false"/>
          <w:smallCaps w:val="false"/>
          <w:sz w:val="20"/>
        </w:rPr>
        <w:t xml:space="preserve"> below or (ii) prior to or simultaneously with the consummation thereof, any successor to the Company, surviving entity or other Person (including any purchaser of assets of the Company) shall assume the obligation to deliver to the Holder such Alternate Consideration as, in accordance with the foregoing provisions, the Holder may be entitled to receive, and the other obligations under this Warrant. The provisions of this paragraph (c) shall similarly apply to subsequent transactions analogous to a Fundamental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Number of Warrant Shares</w:t>
      </w:r>
      <w:r>
        <w:rPr>
          <w:rFonts w:ascii="Times New Roman;Times;Serif" w:hAnsi="Times New Roman;Times;Serif"/>
          <w:b w:val="false"/>
          <w:i w:val="false"/>
          <w:caps w:val="false"/>
          <w:smallCaps w:val="false"/>
          <w:sz w:val="20"/>
        </w:rPr>
        <w:t xml:space="preserve">. Simultaneously with any adjustment to the Exercise Price pursuant to </w:t>
      </w:r>
      <w:r>
        <w:rPr>
          <w:rFonts w:ascii="Times New Roman;Times;Serif" w:hAnsi="Times New Roman;Times;Serif"/>
          <w:b w:val="false"/>
          <w:i w:val="false"/>
          <w:caps w:val="false"/>
          <w:smallCaps w:val="false"/>
          <w:sz w:val="20"/>
          <w:u w:val="single"/>
        </w:rPr>
        <w:t>Section 9</w:t>
      </w:r>
      <w:r>
        <w:rPr>
          <w:rFonts w:ascii="Times New Roman;Times;Serif" w:hAnsi="Times New Roman;Times;Serif"/>
          <w:b w:val="false"/>
          <w:i w:val="false"/>
          <w:caps w:val="false"/>
          <w:smallCaps w:val="false"/>
          <w:sz w:val="20"/>
        </w:rPr>
        <w:t xml:space="preserve"> (including any adjustment to the Exercise Price that would have been effected but for the final sentence in this paragraph (d)), the number of Warrant Shares that may be purchased upon exercise of this Warrant shall be increased or decreased proportionately, so that after such adjustment the aggregate Exercise Price payable hereunder for the increased or decreased number of Warrant Shares shall be the same as the aggregate Exercise Price in effect immediately prior to such adjustment. Notwithstanding the foregoing, in no event may the Exercise Price be adjusted below the par value of the Common Stock then in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Calculations</w:t>
      </w:r>
      <w:r>
        <w:rPr>
          <w:rFonts w:ascii="Times New Roman;Times;Serif" w:hAnsi="Times New Roman;Times;Serif"/>
          <w:b w:val="false"/>
          <w:i w:val="false"/>
          <w:caps w:val="false"/>
          <w:smallCaps w:val="false"/>
          <w:sz w:val="20"/>
        </w:rPr>
        <w:t xml:space="preserve">. All calculations under this </w:t>
      </w:r>
      <w:r>
        <w:rPr>
          <w:rFonts w:ascii="Times New Roman;Times;Serif" w:hAnsi="Times New Roman;Times;Serif"/>
          <w:b w:val="false"/>
          <w:i w:val="false"/>
          <w:caps w:val="false"/>
          <w:smallCaps w:val="false"/>
          <w:sz w:val="20"/>
          <w:u w:val="single"/>
        </w:rPr>
        <w:t>Section 9</w:t>
      </w:r>
      <w:r>
        <w:rPr>
          <w:rFonts w:ascii="Times New Roman;Times;Serif" w:hAnsi="Times New Roman;Times;Serif"/>
          <w:b w:val="false"/>
          <w:i w:val="false"/>
          <w:caps w:val="false"/>
          <w:smallCaps w:val="false"/>
          <w:sz w:val="20"/>
        </w:rPr>
        <w:t xml:space="preserve"> shall be made to the nearest one-hundredth of one cent or the nearest share,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Notice of Adjustments</w:t>
      </w:r>
      <w:r>
        <w:rPr>
          <w:rFonts w:ascii="Times New Roman;Times;Serif" w:hAnsi="Times New Roman;Times;Serif"/>
          <w:b w:val="false"/>
          <w:i w:val="false"/>
          <w:caps w:val="false"/>
          <w:smallCaps w:val="false"/>
          <w:sz w:val="20"/>
        </w:rPr>
        <w:t xml:space="preserve">. Upon the occurrence of each adjustment pursuant to this </w:t>
      </w:r>
      <w:r>
        <w:rPr>
          <w:rFonts w:ascii="Times New Roman;Times;Serif" w:hAnsi="Times New Roman;Times;Serif"/>
          <w:b w:val="false"/>
          <w:i w:val="false"/>
          <w:caps w:val="false"/>
          <w:smallCaps w:val="false"/>
          <w:sz w:val="20"/>
          <w:u w:val="single"/>
        </w:rPr>
        <w:t>Section 9</w:t>
      </w:r>
      <w:r>
        <w:rPr>
          <w:rFonts w:ascii="Times New Roman;Times;Serif" w:hAnsi="Times New Roman;Times;Serif"/>
          <w:b w:val="false"/>
          <w:i w:val="false"/>
          <w:caps w:val="false"/>
          <w:smallCaps w:val="false"/>
          <w:sz w:val="20"/>
        </w:rPr>
        <w:t>, the Company at its expense will, at the written request of the Holder, promptly compute such adjustment, in good faith, in accordance with the terms of this Warrant and prepare a certificate setting forth such adjustment, including a statement of the adjusted Exercise Price and adjusted number or type of Warrant Shares or other securities issuable upon exercise of this Warrant (as applicable), describing the transactions giving rise to such adjustments and showing in detail the facts upon which such adjustment is based. Upon written request, the Company will promptly deliver a copy of each such certificate to the Holder and to the Transfer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Notice of Corporate Events</w:t>
      </w:r>
      <w:r>
        <w:rPr>
          <w:rFonts w:ascii="Times New Roman;Times;Serif" w:hAnsi="Times New Roman;Times;Serif"/>
          <w:b w:val="false"/>
          <w:i w:val="false"/>
          <w:caps w:val="false"/>
          <w:smallCaps w:val="false"/>
          <w:sz w:val="20"/>
        </w:rPr>
        <w:t xml:space="preserve">. If, while this Warrant is outstanding, the Company (i) declares a dividend or any other distribution of cash, securities or other property in respect of its Common Stock, including, without limitation, any granting of rights or warrants to subscribe for or purchase any capital stock of the Company or any subsidiary, (ii) authorizes or approves, enters into any agreement contemplating or solicits stockholder approval for any Fundamental Transaction or (iii) authorizes the voluntary dissolution, liquidation or winding up of the affairs of the Company, then, except if such notice and the contents thereof shall be deemed to constitute material non-public information, the Company shall deliver to the Holder a notice of such transaction at least ten (10) days prior to the applicable record or effective date on which a Person would need to hold Common Stock in order to participate in or vote with respect to such transaction;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the failure to deliver such notice or any defect therein shall not affect the validity of the corporate action required to be described in such notice. In addition, if while this Warrant is outstanding, the Company authorizes or approves, enters into any agreement contemplating or solicits stockholder approval for any Fundamental Transaction contemplated by </w:t>
      </w:r>
      <w:r>
        <w:rPr>
          <w:rFonts w:ascii="Times New Roman;Times;Serif" w:hAnsi="Times New Roman;Times;Serif"/>
          <w:b w:val="false"/>
          <w:i w:val="false"/>
          <w:caps w:val="false"/>
          <w:smallCaps w:val="false"/>
          <w:sz w:val="20"/>
          <w:u w:val="single"/>
        </w:rPr>
        <w:t>Section 9(c)</w:t>
      </w:r>
      <w:r>
        <w:rPr>
          <w:rFonts w:ascii="Times New Roman;Times;Serif" w:hAnsi="Times New Roman;Times;Serif"/>
          <w:b w:val="false"/>
          <w:i w:val="false"/>
          <w:caps w:val="false"/>
          <w:smallCaps w:val="false"/>
          <w:sz w:val="20"/>
        </w:rPr>
        <w:t xml:space="preserve">, other than a Fundamental Transaction under clause (iii) of </w:t>
      </w:r>
      <w:r>
        <w:rPr>
          <w:rFonts w:ascii="Times New Roman;Times;Serif" w:hAnsi="Times New Roman;Times;Serif"/>
          <w:b w:val="false"/>
          <w:i w:val="false"/>
          <w:caps w:val="false"/>
          <w:smallCaps w:val="false"/>
          <w:sz w:val="20"/>
          <w:u w:val="single"/>
        </w:rPr>
        <w:t>Section 9(c)</w:t>
      </w:r>
      <w:r>
        <w:rPr>
          <w:rFonts w:ascii="Times New Roman;Times;Serif" w:hAnsi="Times New Roman;Times;Serif"/>
          <w:b w:val="false"/>
          <w:i w:val="false"/>
          <w:caps w:val="false"/>
          <w:smallCaps w:val="false"/>
          <w:sz w:val="20"/>
        </w:rPr>
        <w:t>, then, except if such notice and the contents thereof shall be deemed to constitute material non-public information, the Company shall deliver to the Holder a notice of such Fundamental Transaction at least ten (10) days prior to the date such Fundamental Transaction is consummated.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 </w:t>
      </w:r>
      <w:r>
        <w:rPr>
          <w:rFonts w:ascii="Times New Roman;Times;Serif" w:hAnsi="Times New Roman;Times;Serif"/>
          <w:b w:val="false"/>
          <w:i/>
          <w:caps w:val="false"/>
          <w:smallCaps w:val="false"/>
          <w:sz w:val="20"/>
        </w:rPr>
        <w:t>Payment of Cashless Exercise Price</w:t>
      </w:r>
      <w:r>
        <w:rPr>
          <w:rFonts w:ascii="Times New Roman;Times;Serif" w:hAnsi="Times New Roman;Times;Serif"/>
          <w:b w:val="false"/>
          <w:i w:val="false"/>
          <w:caps w:val="false"/>
          <w:smallCaps w:val="false"/>
          <w:sz w:val="20"/>
        </w:rPr>
        <w:t>. Notwithstanding anything contained herein to the contrary, the Holder may, in its sole discretion, satisfy its obligation to pay the Exercise Price through a “cashless exercise,” in which event the Company shall issue to the Holder the number of Warrant Shares in an exchange of securities effected pursuant to Section 3(a)(9) of the Securities Act as determined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 Y [(A-B)/A]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X” equals the number of Warrant Shares to be issued to the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Y” equals the total number of Warrant Shares with respect to which this Warrant is then being exercised;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A” equals the Closing Sale Price per share of Common Stock as of the Trading Day on the date immediately preceding the Exercise Date;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B” equals the Exercise Price per Warrant Share then in effect on the Exercise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purposes of Rule 144 promulgated under the Securities Act, it is intended, understood and acknowledged that the Warrant Shares issued in such a “cashless exercise” transaction shall be deemed to have been acquired by the Holder, and the holding period for the Warrant Shares shall be deemed to have commenced, on the Original Issue Date (provided that the Commission continues to take the position that such treatment is proper at the time of such exercise). In the event that the Registration Statement or another registration statement registering the issuance of Warrant Shares is, for any reason, not effective at the time of exercise of this Warrant, then this Warrant may only be exercised through a cashless exercise, as set forth in this </w:t>
      </w:r>
      <w:r>
        <w:rPr>
          <w:rFonts w:ascii="Times New Roman;Times;Serif" w:hAnsi="Times New Roman;Times;Serif"/>
          <w:b w:val="false"/>
          <w:i w:val="false"/>
          <w:caps w:val="false"/>
          <w:smallCaps w:val="false"/>
          <w:sz w:val="20"/>
          <w:u w:val="single"/>
        </w:rPr>
        <w:t>Section 10</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 event will the exercise of this Warrant be settled in cash.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 </w:t>
      </w:r>
      <w:r>
        <w:rPr>
          <w:rFonts w:ascii="Times New Roman;Times;Serif" w:hAnsi="Times New Roman;Times;Serif"/>
          <w:b w:val="false"/>
          <w:i/>
          <w:caps w:val="false"/>
          <w:smallCaps w:val="false"/>
          <w:sz w:val="20"/>
        </w:rPr>
        <w:t>Limitations on Exercise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Notwithstanding anything to the contrary contained herein, the Company shall not effect any exercise of this Warrant, and the Holder shall not be entitled to exercise this Warrant for a number of Warrant Shares in excess of that number of Warrant Shares which, upon giving effect or immediately prior to such exercise, would cause (i) the aggregate number of shares of Common Stock beneficially owned by the Holder, its Affiliates and any other Persons whose beneficial ownership of Common Stock would be aggregated with the Holder’s for purposes of Section 13(d) of the Securities Exchange Act of 1934, as amended (the “</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to exceed 4.99% (the “</w:t>
      </w:r>
      <w:r>
        <w:rPr>
          <w:rFonts w:ascii="Times New Roman;Times;Serif" w:hAnsi="Times New Roman;Times;Serif"/>
          <w:b/>
          <w:i w:val="false"/>
          <w:caps w:val="false"/>
          <w:smallCaps w:val="false"/>
          <w:sz w:val="20"/>
        </w:rPr>
        <w:t>Maximum Percentage</w:t>
      </w:r>
      <w:r>
        <w:rPr>
          <w:rFonts w:ascii="Times New Roman;Times;Serif" w:hAnsi="Times New Roman;Times;Serif"/>
          <w:b w:val="false"/>
          <w:i w:val="false"/>
          <w:caps w:val="false"/>
          <w:smallCaps w:val="false"/>
          <w:sz w:val="20"/>
        </w:rPr>
        <w:t xml:space="preserve">”) of the total number of issued and outstanding shares of Common Stock of the Company following such exercise, or (ii) the combined voting power of the securities of the Company beneficially owned by the Holder and its Affiliates and any other Persons whose beneficial ownership of Common Stock would be aggregated with the Holder’s for purposes of Section 13(d) of the Exchange Act to exceed 4.99% of the combined voting power of all of the securities of the Company then outstanding following such exercise. For purposes of this Warrant, in determining the number of outstanding shares of Common Stock, the Holder may rely on the number of outstanding shares of Common Stock as reflected in (x) the Company’s most recent Form 10-Q or Form 10-K, as the case may be, filed with the Commission prior to the Exercise Date, (y) a more recent public announcement by the Company or (z) any other notice by the Company or the Transfer Agent setting forth the number of shares of Common Stock outstanding. Upon the written request of the Holder, the Company shall within three (3) Trading Days confirm in writing or by electronic mail to the Holder the number of shares of Common Stock then outstanding. In any case, the number of outstanding shares of Common Stock shall be determined after giving effect to the conversion or exercise of securities of the Company, including this Warrant, by the Holder since the date as of which such number of outstanding shares of Common Stock was reported. By written notice to the Company, the Holder may from time to time increase or decrease the Maximum Percentage to any other percentage not in excess of 19.99% specified in such notice; provided that any such increase or decrease will not be effective until the sixty-first (61st) day after such notice is delivered to the Company. For purposes of this </w:t>
      </w:r>
      <w:r>
        <w:rPr>
          <w:rFonts w:ascii="Times New Roman;Times;Serif" w:hAnsi="Times New Roman;Times;Serif"/>
          <w:b w:val="false"/>
          <w:i w:val="false"/>
          <w:caps w:val="false"/>
          <w:smallCaps w:val="false"/>
          <w:sz w:val="20"/>
          <w:u w:val="single"/>
        </w:rPr>
        <w:t>Section 11(a)</w:t>
      </w:r>
      <w:r>
        <w:rPr>
          <w:rFonts w:ascii="Times New Roman;Times;Serif" w:hAnsi="Times New Roman;Times;Serif"/>
          <w:b w:val="false"/>
          <w:i w:val="false"/>
          <w:caps w:val="false"/>
          <w:smallCaps w:val="false"/>
          <w:sz w:val="20"/>
        </w:rPr>
        <w:t>, the aggregate number of shares of Common Stock or voting securities beneficially owned by the Holder and its Affiliates and any other Persons whose beneficial ownership of Common Stock would be aggregated with the Holder’s for purposes of Section 13(d) of the Exchange Act shall include the shares of Common Stock issuable upon the exercise of this Warrant with respect to which such determination is being made, but shall exclude the number of shares of Common Stock which would be issuable upon (x) exercise of the remaining unexercised and non-cancelled portion of this Warrant by the Holder and (y) exercise or conversion of the unexercised, non-converted or non-cancelled portion of any other securities of the Company that do not have voting power (including without limitation any securities of the Company which would entitle the holder thereof to acquire at any time Common Stock, including without limitation any debt, preferred stock, right, option, warrant or other instrument that is at any time convertible into or exercisable or exchangeable for, or otherwise entitles the holder thereof to receive, Common Stock), is subject to a limitation on conversion or exercise analogous to the limitation contained herein and is beneficially owned by the Holder or any of its Affiliates and other Persons whose beneficial ownership of Common Stock would be aggregated with the Holder’s for purposes of Section 13(d) of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This </w:t>
      </w:r>
      <w:r>
        <w:rPr>
          <w:rFonts w:ascii="Times New Roman;Times;Serif" w:hAnsi="Times New Roman;Times;Serif"/>
          <w:b w:val="false"/>
          <w:i w:val="false"/>
          <w:caps w:val="false"/>
          <w:smallCaps w:val="false"/>
          <w:sz w:val="20"/>
          <w:u w:val="single"/>
        </w:rPr>
        <w:t>Section 11</w:t>
      </w:r>
      <w:r>
        <w:rPr>
          <w:rFonts w:ascii="Times New Roman;Times;Serif" w:hAnsi="Times New Roman;Times;Serif"/>
          <w:b w:val="false"/>
          <w:i w:val="false"/>
          <w:caps w:val="false"/>
          <w:smallCaps w:val="false"/>
          <w:sz w:val="20"/>
        </w:rPr>
        <w:t xml:space="preserve"> shall not restrict the number of shares of Common Stock which a Holder may receive or beneficially own in order to determine the amount of securities or other consideration that such Holder may receive in the event of a Fundamental Transaction as contemplated in </w:t>
      </w:r>
      <w:r>
        <w:rPr>
          <w:rFonts w:ascii="Times New Roman;Times;Serif" w:hAnsi="Times New Roman;Times;Serif"/>
          <w:b w:val="false"/>
          <w:i w:val="false"/>
          <w:caps w:val="false"/>
          <w:smallCaps w:val="false"/>
          <w:sz w:val="20"/>
          <w:u w:val="single"/>
        </w:rPr>
        <w:t>Section 9(c)</w:t>
      </w:r>
      <w:r>
        <w:rPr>
          <w:rFonts w:ascii="Times New Roman;Times;Serif" w:hAnsi="Times New Roman;Times;Serif"/>
          <w:b w:val="false"/>
          <w:i w:val="false"/>
          <w:caps w:val="false"/>
          <w:smallCaps w:val="false"/>
          <w:sz w:val="20"/>
        </w:rPr>
        <w:t> of this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 </w:t>
      </w:r>
      <w:r>
        <w:rPr>
          <w:rFonts w:ascii="Times New Roman;Times;Serif" w:hAnsi="Times New Roman;Times;Serif"/>
          <w:b w:val="false"/>
          <w:i/>
          <w:caps w:val="false"/>
          <w:smallCaps w:val="false"/>
          <w:sz w:val="20"/>
        </w:rPr>
        <w:t>No Fractional Shares</w:t>
      </w:r>
      <w:r>
        <w:rPr>
          <w:rFonts w:ascii="Times New Roman;Times;Serif" w:hAnsi="Times New Roman;Times;Serif"/>
          <w:b w:val="false"/>
          <w:i w:val="false"/>
          <w:caps w:val="false"/>
          <w:smallCaps w:val="false"/>
          <w:sz w:val="20"/>
        </w:rPr>
        <w:t>. No fractional Warrant Shares will be issued in connection with any exercise of this Warrant. In lieu of any fractional shares that would otherwise be issuable, the number of Warrant Shares to be issued shall be rounded down to the next whole number and the Company shall pay the Holder in cash the fair market value (based on the Closing Sale Price) for any such fractional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13. </w:t>
      </w:r>
      <w:r>
        <w:rPr>
          <w:rFonts w:ascii="Times New Roman;Times;Serif" w:hAnsi="Times New Roman;Times;Serif"/>
          <w:b w:val="false"/>
          <w:i/>
          <w:caps w:val="false"/>
          <w:smallCaps w:val="false"/>
          <w:sz w:val="20"/>
        </w:rPr>
        <w:t>Notices</w:t>
      </w:r>
      <w:r>
        <w:rPr>
          <w:rFonts w:ascii="Times New Roman;Times;Serif" w:hAnsi="Times New Roman;Times;Serif"/>
          <w:b w:val="false"/>
          <w:i w:val="false"/>
          <w:caps w:val="false"/>
          <w:smallCaps w:val="false"/>
          <w:sz w:val="20"/>
        </w:rPr>
        <w:t>. Any and all notices or other communications or deliveries hereunder (including, without limitation, any Exercise Notice) shall be in writing and shall be deemed given and effective on the earliest of (i) the date of transmission, if such notice or communication is delivered via facsimile or confirmed e-mail prior to 5:30 P.M., New York City time, on a Trading Day, (ii) the next Trading Day after the date of transmission, if such notice or communication is delivered via facsimile or confirmed e-mail on a day that is not a Trading Day or later than 5:30 P.M., New York City time, on any Trading Day, (iii) the Trading Day following the date of mailing, if sent by nationally recognized overnight courier service specifying next business day delivery, or (iv) upon actual receipt by the Person to whom such notice is required to be given, if by hand delivery. The addresses, facsimile numbers and e-mail addresses for such communications shall 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Replimune Group, Inc.</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Shawn Glidden</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 Unicorn Park Drive, Suite 103</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Woburn, MA 01801</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Telephone: (781) 222-9600</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Fax: (781) 926-0870</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shawn.glidden@replimune.com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Holder, to its address, facsimile number or e-mail address set forth herein or on the books and records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 in each of the above instances, to such other address, facsimile number or e-mail address as the recipient party has specified by written notice given to each other party at least five (5) days prior to the effectiveness of such 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14. </w:t>
      </w:r>
      <w:r>
        <w:rPr>
          <w:rFonts w:ascii="Times New Roman;Times;Serif" w:hAnsi="Times New Roman;Times;Serif"/>
          <w:b w:val="false"/>
          <w:i/>
          <w:caps w:val="false"/>
          <w:smallCaps w:val="false"/>
          <w:sz w:val="20"/>
        </w:rPr>
        <w:t>Warrant Agent</w:t>
      </w:r>
      <w:r>
        <w:rPr>
          <w:rFonts w:ascii="Times New Roman;Times;Serif" w:hAnsi="Times New Roman;Times;Serif"/>
          <w:b w:val="false"/>
          <w:i w:val="false"/>
          <w:caps w:val="false"/>
          <w:smallCaps w:val="false"/>
          <w:sz w:val="20"/>
        </w:rPr>
        <w:t>. The Company shall initially serve as warrant agent under this Warrant. Upon ten (10) days’ notice to the Holder, the Company may appoint a new warrant agent. Any corporation into which the Company or any new warrant agent may be merged or any corporation resulting from any consolidation to which the Company or any new warrant agent shall be a party or any corporation to which the Company or any new warrant agent transfers substantially all of its corporate trust or shareholders services business shall be a successor warrant agent under this Warrant without any further act. Any such successor warrant agent shall promptly cause notice of its succession as warrant agent to be mailed (by first class mail, postage prepaid) to the Holder at the Holder’s last address as shown on the Warrant Register.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15. </w:t>
      </w:r>
      <w:r>
        <w:rPr>
          <w:rFonts w:ascii="Times New Roman;Times;Serif" w:hAnsi="Times New Roman;Times;Serif"/>
          <w:b w:val="false"/>
          <w:i/>
          <w:caps w:val="false"/>
          <w:smallCaps w:val="false"/>
          <w:sz w:val="20"/>
        </w:rPr>
        <w:t>Miscellaneous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No Rights as a Stockholder</w:t>
      </w:r>
      <w:r>
        <w:rPr>
          <w:rFonts w:ascii="Times New Roman;Times;Serif" w:hAnsi="Times New Roman;Times;Serif"/>
          <w:b w:val="false"/>
          <w:i w:val="false"/>
          <w:caps w:val="false"/>
          <w:smallCaps w:val="false"/>
          <w:sz w:val="20"/>
        </w:rPr>
        <w:t>. The Holder, solely in such Person’s capacity as a holder of this Warrant, shall not be entitled to vote or receive dividends or be deemed the holder of share capital of the Company for any purpose, nor shall anything contained in this Warrant be construed to confer upon the Holder, solely in such Person’s capacity as the Holder of this Warrant, any of the rights of a stockholder of the Company or any right to vote, give or withhold consent to any corporate action (whether any reorganization, issue of stock, reclassification of stock, consolidation, merger, amalgamation, conveyance or otherwise), receive notice of meetings, receive dividends or subscription rights, or otherwise, prior to the issuance to the Holder of the Warrant Shares which such Person is then entitled to receive upon the due exercise of this Warrant. In addition, nothing contained in this Warrant shall be construed as imposing any liabilities on the Holder to purchase any securities (upon exercise of this Warrant or otherwise) or as a stockholder of the Company, whether such liabilities are asserted by the Company or by creditors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Authorized Shares</w:t>
      </w:r>
      <w:r>
        <w:rPr>
          <w:rFonts w:ascii="Times New Roman;Times;Serif" w:hAnsi="Times New Roman;Times;Serif"/>
          <w:b w:val="false"/>
          <w:i w:val="false"/>
          <w:caps w:val="false"/>
          <w:smallCaps w:val="false"/>
          <w:sz w:val="20"/>
        </w:rPr>
        <w:t>. Except and to the extent as waived or consented to by the Holder, the Company shall not by any action, including, without limitation, amending its certificate or articles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(i) not increase the par value of any Warrant Shares above the amount payable therefor upon such exercise immediately prior to such increase in par value, (ii) take all such action as may be necessary or appropriate in order that the Company may validly and legally issue fully paid and non-assessable Warrant Shares upon the exercise of this Warrant, and (iii) use commercially reasonable efforts to obtain all such authorizations, exemptions or consents from any public regulatory body having jurisdiction thereof as may be necessary to enable the Company to perform its obligations under this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Successors and Assigns</w:t>
      </w:r>
      <w:r>
        <w:rPr>
          <w:rFonts w:ascii="Times New Roman;Times;Serif" w:hAnsi="Times New Roman;Times;Serif"/>
          <w:b w:val="false"/>
          <w:i w:val="false"/>
          <w:caps w:val="false"/>
          <w:smallCaps w:val="false"/>
          <w:sz w:val="20"/>
        </w:rPr>
        <w:t>. Subject to compliance with applicable securities laws, this Warrant may be assigned by the Holder. This Warrant may not be assigned by the Company without the written consent of the Holder, except to a successor in the event of a Fundamental Transaction. This Warrant shall be binding on and inure to the benefit of the Company and the Holder and their respective successors and assigns. Subject to the preceding sentence, nothing in this Warrant shall be construed to give to any Person other than the Company and the Holder any legal or equitable right, remedy or cause of action under this Warrant. This Warrant may be amended only in writing signed by the Company and the Holder, or their successors and assigns.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Amendment and Waiver</w:t>
      </w:r>
      <w:r>
        <w:rPr>
          <w:rFonts w:ascii="Times New Roman;Times;Serif" w:hAnsi="Times New Roman;Times;Serif"/>
          <w:b w:val="false"/>
          <w:i w:val="false"/>
          <w:caps w:val="false"/>
          <w:smallCaps w:val="false"/>
          <w:sz w:val="20"/>
        </w:rPr>
        <w:t>. Except as otherwise provided herein, the provisions of the Warrants may be amended and the Company may take any action herein prohibited, or omit to perform any act herein required to be performed by it, only if the Company has obtained the written consent of the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Acceptance</w:t>
      </w:r>
      <w:r>
        <w:rPr>
          <w:rFonts w:ascii="Times New Roman;Times;Serif" w:hAnsi="Times New Roman;Times;Serif"/>
          <w:b w:val="false"/>
          <w:i w:val="false"/>
          <w:caps w:val="false"/>
          <w:smallCaps w:val="false"/>
          <w:sz w:val="20"/>
        </w:rPr>
        <w:t>. Receipt of this Warrant by the Holder shall constitute acceptance of and agreement to all of the terms and conditions contained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Governing Law; Jurisdiction</w:t>
      </w:r>
      <w:r>
        <w:rPr>
          <w:rFonts w:ascii="Times New Roman;Times;Serif" w:hAnsi="Times New Roman;Times;Serif"/>
          <w:b w:val="false"/>
          <w:i w:val="false"/>
          <w:caps w:val="false"/>
          <w:smallCaps w:val="false"/>
          <w:sz w:val="20"/>
        </w:rPr>
        <w:t>. ALL QUESTIONS CONCERNING THE CONSTRUCTION, VALIDITY, ENFORCEMENT AND INTERPRETATION OF THIS WARRANT SHALL BE GOVERNED BY AND CONSTRUED AND ENFORCED IN ACCORDANCE WITH THE LAWS OF THE STATE OF NEW YORK WITHOUT REGARD TO THE PRINCIPLES OF CONFLICTS OF LAW THEREOF. EACH OF THE COMPANY AND THE HOLDER HEREBY IRREVOCABLY SUBMITS TO THE EXCLUSIVE JURISDICTION OF THE STATE AND FEDERAL COURTS SITTING IN THE CITY OF NEW YORK, BOROUGH OF MANHATTAN, FOR THE ADJUDICATION OF ANY DISPUTE HEREUNDER OR IN CONNECTION HEREWITH OR WITH ANY TRANSACTION CONTEMPLATED HEREBY OR DISCUSSED HEREIN (INCLUDING WITH RESPECT TO THE ENFORCEMENT OF THE WARRANT OR ANY OF THE DOCUMENTS DELIVERED HEREUNDER), AND HEREBY IRREVOCABLY WAIVES, AND AGREES NOT TO ASSERT IN ANY SUIT, ACTION OR PROCEEDING, ANY CLAIM THAT IT IS NOT PERSONALLY SUBJECT TO THE JURISDICTION OF ANY SUCH COURT. EACH OF THE COMPANY AND THE HOLDER HEREBY IRREVOCABLY WAIVES PERSONAL SERVICE OF PROCESS AND CONSENTS TO PROCESS BEING SERVED IN ANY SUCH SUIT, ACTION OR PROCEEDING BY MAILING A COPY THEREOF VIA REGISTERED OR CERTIFIED MAIL OR OVERNIGHT DELIVERY (WITH EVIDENCE OF DELIVERY) TO SUCH PERSON AT THE ADDRESS IN EFFECT FOR NOTICES TO IT AND AGREES THAT SUCH SERVICE SHALL CONSTITUTE GOOD AND SUFFICIENT SERVICE OF PROCESS AND NOTICE THEREOF. NOTHING CONTAINED HEREIN SHALL BE DEEMED TO LIMIT IN ANY WAY ANY RIGHT TO SERVE PROCESS IN ANY MANNER PERMITTED BY LAW. EACH OF THE COMPANY AND THE HOLDER HEREBY WAIVES ALL RIGHTS TO A TRIAL BY JURY.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Headings</w:t>
      </w:r>
      <w:r>
        <w:rPr>
          <w:rFonts w:ascii="Times New Roman;Times;Serif" w:hAnsi="Times New Roman;Times;Serif"/>
          <w:b w:val="false"/>
          <w:i w:val="false"/>
          <w:caps w:val="false"/>
          <w:smallCaps w:val="false"/>
          <w:sz w:val="20"/>
        </w:rPr>
        <w:t>. The headings herein are for convenience only, do not constitute a part of this Warrant and shall not be deemed to limit or affect any of the provisions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In case any one or more of the provisions of this Warrant shall be invalid or unenforceable in any respect, the validity and enforceability of the remaining terms and provisions of this Warrant shall not in any way be affected or impaired thereby, and the Company and the Holder will attempt in good faith to agree upon a valid and enforceable provision which shall be a commercially reasonable substitute therefor, and upon so agreeing, shall incorporate such substitute provision in this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[REMAINDER OF PAGE INTENTIONALLY LEFT BLANK]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Company has caused this Warrant to be duly executed by its authorized officer as of the date first indicated above.</w:t>
      </w:r>
    </w:p>
    <w:p>
      <w:pPr>
        <w:pStyle w:val="TextBody"/>
        <w:bidi w:val="0"/>
        <w:spacing w:before="0" w:after="0"/>
        <w:ind w:left="0" w:right="0" w:hanging="0"/>
        <w:jc w:val="left"/>
        <w:rPr>
          <w:caps w:val="false"/>
          <w:smallCaps w:val="false"/>
        </w:rPr>
      </w:pPr>
      <w:r>
        <w:rPr>
          <w:caps w:val="false"/>
          <w:smallCaps w:val="false"/>
        </w:rPr>
        <w:t> </w:t>
      </w:r>
    </w:p>
    <w:tbl>
      <w:tblPr>
        <w:tblW w:w="2374" w:type="dxa"/>
        <w:jc w:val="left"/>
        <w:tblInd w:w="0" w:type="dxa"/>
        <w:tblLayout w:type="fixed"/>
        <w:tblCellMar>
          <w:top w:w="0" w:type="dxa"/>
          <w:left w:w="0" w:type="dxa"/>
          <w:bottom w:w="0" w:type="dxa"/>
          <w:right w:w="0" w:type="dxa"/>
        </w:tblCellMar>
      </w:tblPr>
      <w:tblGrid>
        <w:gridCol w:w="784"/>
        <w:gridCol w:w="1515"/>
        <w:gridCol w:w="75"/>
      </w:tblGrid>
      <w:tr>
        <w:trPr/>
        <w:tc>
          <w:tcPr>
            <w:tcW w:w="229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REPLIMUNE GROUP, INC.</w:t>
            </w:r>
          </w:p>
        </w:tc>
        <w:tc>
          <w:tcPr>
            <w:tcW w:w="75" w:type="dxa"/>
            <w:tcBorders/>
            <w:vAlign w:val="center"/>
          </w:tcPr>
          <w:p>
            <w:pPr>
              <w:pStyle w:val="TableContents"/>
              <w:bidi w:val="0"/>
              <w:spacing w:before="0" w:after="283"/>
              <w:jc w:val="left"/>
              <w:rPr/>
            </w:pPr>
            <w:r>
              <w:rPr/>
              <w:t> </w:t>
            </w:r>
          </w:p>
        </w:tc>
      </w:tr>
      <w:tr>
        <w:trPr/>
        <w:tc>
          <w:tcPr>
            <w:tcW w:w="2299"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8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515"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84" w:type="dxa"/>
            <w:tcBorders/>
            <w:vAlign w:val="center"/>
          </w:tcPr>
          <w:p>
            <w:pPr>
              <w:pStyle w:val="TableContents"/>
              <w:bidi w:val="0"/>
              <w:spacing w:before="0" w:after="283"/>
              <w:jc w:val="left"/>
              <w:rPr/>
            </w:pPr>
            <w:r>
              <w:rPr/>
              <w:t> </w:t>
            </w:r>
          </w:p>
        </w:tc>
        <w:tc>
          <w:tcPr>
            <w:tcW w:w="15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w:t>
            </w:r>
            <w:r>
              <w:rPr>
                <w:rFonts w:ascii="Symbol" w:hAnsi="Symbol"/>
                <w:sz w:val="20"/>
              </w:rPr>
              <w:t>·</w:t>
            </w:r>
            <w:r>
              <w:rPr>
                <w:rFonts w:ascii="Times New Roman;Times;Serif" w:hAnsi="Times New Roman;Times;Serif"/>
                <w:sz w:val="20"/>
              </w:rPr>
              <w:t>]</w:t>
            </w:r>
          </w:p>
        </w:tc>
        <w:tc>
          <w:tcPr>
            <w:tcW w:w="75" w:type="dxa"/>
            <w:tcBorders/>
            <w:vAlign w:val="center"/>
          </w:tcPr>
          <w:p>
            <w:pPr>
              <w:pStyle w:val="TableContents"/>
              <w:bidi w:val="0"/>
              <w:spacing w:before="0" w:after="283"/>
              <w:jc w:val="left"/>
              <w:rPr/>
            </w:pPr>
            <w:r>
              <w:rPr/>
              <w:t> </w:t>
            </w:r>
          </w:p>
        </w:tc>
      </w:tr>
      <w:tr>
        <w:trPr/>
        <w:tc>
          <w:tcPr>
            <w:tcW w:w="784" w:type="dxa"/>
            <w:tcBorders/>
            <w:vAlign w:val="center"/>
          </w:tcPr>
          <w:p>
            <w:pPr>
              <w:pStyle w:val="TableContents"/>
              <w:bidi w:val="0"/>
              <w:spacing w:before="0" w:after="283"/>
              <w:jc w:val="left"/>
              <w:rPr/>
            </w:pPr>
            <w:r>
              <w:rPr/>
              <w:t> </w:t>
            </w:r>
          </w:p>
        </w:tc>
        <w:tc>
          <w:tcPr>
            <w:tcW w:w="15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 [</w:t>
            </w:r>
            <w:r>
              <w:rPr>
                <w:rFonts w:ascii="Symbol" w:hAnsi="Symbol"/>
                <w:sz w:val="20"/>
              </w:rPr>
              <w:t>·</w:t>
            </w:r>
            <w:r>
              <w:rPr>
                <w:rFonts w:ascii="Times New Roman;Times;Serif" w:hAnsi="Times New Roman;Times;Serif"/>
                <w:sz w:val="20"/>
              </w:rPr>
              <w:t>]</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Warrant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EXERCISE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be executed by the Holder to purchase Warrant Shares under the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undersigned is the Holder of Warrant No. __ (the “Warrant”) issued by Replimune Group, Inc., a Delaware corporation (the “Company”). Capitalized terms used herein and not otherwise defined herein have the respective meanings set forth in the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undersigned hereby exercises its right to purchase Warrant Shares pursuant to the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Holder intends that payment of the Exercise Price shall be made as (check one):</w:t>
      </w:r>
    </w:p>
    <w:p>
      <w:pPr>
        <w:pStyle w:val="TextBody"/>
        <w:bidi w:val="0"/>
        <w:spacing w:before="0" w:after="0"/>
        <w:ind w:left="0" w:right="0" w:hanging="0"/>
        <w:jc w:val="left"/>
        <w:rPr>
          <w:caps w:val="false"/>
          <w:smallCaps w:val="false"/>
        </w:rPr>
      </w:pPr>
      <w:r>
        <w:rPr>
          <w:caps w:val="false"/>
          <w:smallCaps w:val="false"/>
        </w:rPr>
        <w:t> </w:t>
      </w:r>
    </w:p>
    <w:tbl>
      <w:tblPr>
        <w:tblW w:w="1525" w:type="dxa"/>
        <w:jc w:val="left"/>
        <w:tblInd w:w="0" w:type="dxa"/>
        <w:tblLayout w:type="fixed"/>
        <w:tblCellMar>
          <w:top w:w="0" w:type="dxa"/>
          <w:left w:w="0" w:type="dxa"/>
          <w:bottom w:w="0" w:type="dxa"/>
          <w:right w:w="0" w:type="dxa"/>
        </w:tblCellMar>
      </w:tblPr>
      <w:tblGrid>
        <w:gridCol w:w="75"/>
        <w:gridCol w:w="230"/>
        <w:gridCol w:w="122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12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Cash Exercise </w:t>
            </w:r>
          </w:p>
        </w:tc>
      </w:tr>
    </w:tbl>
    <w:p>
      <w:pPr>
        <w:pStyle w:val="TextBody"/>
        <w:bidi w:val="0"/>
        <w:spacing w:before="0" w:after="0"/>
        <w:ind w:left="0" w:right="0" w:hanging="0"/>
        <w:jc w:val="left"/>
        <w:rPr>
          <w:caps w:val="false"/>
          <w:smallCaps w:val="false"/>
        </w:rPr>
      </w:pPr>
      <w:r>
        <w:rPr>
          <w:caps w:val="false"/>
          <w:smallCaps w:val="false"/>
        </w:rPr>
        <w:t> </w:t>
      </w:r>
    </w:p>
    <w:tbl>
      <w:tblPr>
        <w:tblW w:w="4645" w:type="dxa"/>
        <w:jc w:val="left"/>
        <w:tblInd w:w="0" w:type="dxa"/>
        <w:tblLayout w:type="fixed"/>
        <w:tblCellMar>
          <w:top w:w="0" w:type="dxa"/>
          <w:left w:w="0" w:type="dxa"/>
          <w:bottom w:w="0" w:type="dxa"/>
          <w:right w:w="0" w:type="dxa"/>
        </w:tblCellMar>
      </w:tblPr>
      <w:tblGrid>
        <w:gridCol w:w="75"/>
        <w:gridCol w:w="230"/>
        <w:gridCol w:w="434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4340" w:type="dxa"/>
            <w:tcBorders/>
            <w:vAlign w:val="center"/>
          </w:tcPr>
          <w:p>
            <w:pPr>
              <w:pStyle w:val="TableContents"/>
              <w:bidi w:val="0"/>
              <w:spacing w:before="0" w:after="283"/>
              <w:jc w:val="left"/>
              <w:rPr/>
            </w:pPr>
            <w:r>
              <w:rPr/>
              <w:t>“</w:t>
            </w:r>
            <w:r>
              <w:rPr>
                <w:rFonts w:ascii="Times New Roman;Times;Serif" w:hAnsi="Times New Roman;Times;Serif"/>
                <w:sz w:val="20"/>
              </w:rPr>
              <w:t xml:space="preserve">Cashless Exercise” under Section 10 of the Warrant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If the Holder has elected a Cash Exercise, the Holder shall pay the sum of $ __________ in immediately available funds to the Company in accordance with the terms of the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Pursuant to this Exercise Notice, the Company shall deliver to the Holder Warrant Shares determined in accordance with the terms of the Warrant. The Warrant Shares shall be delivered to the following DWAC Account Number:</w:t>
      </w:r>
    </w:p>
    <w:p>
      <w:pPr>
        <w:pStyle w:val="TextBody"/>
        <w:bidi w:val="0"/>
        <w:spacing w:before="0" w:after="0"/>
        <w:ind w:left="0" w:right="0" w:hanging="0"/>
        <w:jc w:val="left"/>
        <w:rPr>
          <w:caps w:val="false"/>
          <w:smallCaps w:val="false"/>
        </w:rPr>
      </w:pPr>
      <w:r>
        <w:rPr>
          <w:caps w:val="false"/>
          <w:smallCaps w:val="false"/>
        </w:rPr>
        <w:t> </w:t>
      </w:r>
    </w:p>
    <w:tbl>
      <w:tblPr>
        <w:tblW w:w="150" w:type="dxa"/>
        <w:jc w:val="left"/>
        <w:tblInd w:w="0" w:type="dxa"/>
        <w:tblLayout w:type="fixed"/>
        <w:tblCellMar>
          <w:top w:w="0" w:type="dxa"/>
          <w:left w:w="0" w:type="dxa"/>
          <w:bottom w:w="28" w:type="dxa"/>
          <w:right w:w="0" w:type="dxa"/>
        </w:tblCellMar>
      </w:tblPr>
      <w:tblGrid>
        <w:gridCol w:w="75"/>
        <w:gridCol w:w="75"/>
      </w:tblGrid>
      <w:tr>
        <w:trPr/>
        <w:tc>
          <w:tcPr>
            <w:tcW w:w="75" w:type="dxa"/>
            <w:tcBorders>
              <w:bottom w:val="single" w:sz="8" w:space="0" w:color="000000"/>
            </w:tcBorders>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both"/>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By its delivery of this Exercise Notice, the undersigned represents and warrants to the Company that in giving effect to the exercise evidenced hereby the Holder, its Affiliates and any other Person whose beneficial ownership of Common Stock would be aggregated with the Holder’s for purposes of Section 13(d) of the Exchange Act will not beneficially own in excess of the number of shares of Common Stock (as determined in accordance with Section 13(d) of the Securities Exchange Act of 1934, as amended) permitted to be owned under Section 11(a) of the Warrant to which this notice relates.</w:t>
      </w:r>
    </w:p>
    <w:p>
      <w:pPr>
        <w:pStyle w:val="TextBody"/>
        <w:bidi w:val="0"/>
        <w:spacing w:before="0" w:after="0"/>
        <w:ind w:left="0" w:right="0" w:hanging="0"/>
        <w:jc w:val="left"/>
        <w:rPr>
          <w:caps w:val="false"/>
          <w:smallCaps w:val="false"/>
        </w:rPr>
      </w:pPr>
      <w:r>
        <w:rPr>
          <w:caps w:val="false"/>
          <w:smallCaps w:val="false"/>
        </w:rPr>
        <w:t> </w:t>
      </w:r>
    </w:p>
    <w:tbl>
      <w:tblPr>
        <w:tblW w:w="1550" w:type="dxa"/>
        <w:jc w:val="left"/>
        <w:tblInd w:w="0" w:type="dxa"/>
        <w:tblLayout w:type="fixed"/>
        <w:tblCellMar>
          <w:top w:w="0" w:type="dxa"/>
          <w:left w:w="0" w:type="dxa"/>
          <w:bottom w:w="0" w:type="dxa"/>
          <w:right w:w="0" w:type="dxa"/>
        </w:tblCellMar>
      </w:tblPr>
      <w:tblGrid>
        <w:gridCol w:w="1415"/>
        <w:gridCol w:w="60"/>
        <w:gridCol w:w="75"/>
      </w:tblGrid>
      <w:tr>
        <w:trPr/>
        <w:tc>
          <w:tcPr>
            <w:tcW w:w="14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Dated:</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4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4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of Holder: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4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4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4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4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4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4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must conform in all respects to name of Holder as specified on the face of the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3" w:name="tm2621843d2_ex5-1.htm"/>
      <w:bookmarkStart w:id="24" w:name="kstm2621843d2_ex51"/>
      <w:bookmarkEnd w:id="23"/>
      <w:bookmarkEnd w:id="24"/>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5.1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2152650" cy="381000"/>
            <wp:effectExtent l="0" t="0" r="0" b="0"/>
            <wp:docPr id="17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 name="Image2" descr=""/>
                    <pic:cNvPicPr>
                      <a:picLocks noChangeAspect="1" noChangeArrowheads="1"/>
                    </pic:cNvPicPr>
                  </pic:nvPicPr>
                  <pic:blipFill>
                    <a:blip r:embed="rId27"/>
                    <a:stretch>
                      <a:fillRect/>
                    </a:stretch>
                  </pic:blipFill>
                  <pic:spPr bwMode="auto">
                    <a:xfrm>
                      <a:off x="0" y="0"/>
                      <a:ext cx="2152650" cy="381000"/>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14,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Replimune Group, Inc.</w:t>
        <w:br/>
        <w:t>500 Unicorn Park, Suite 303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Woburn, MA 01801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       </w:t>
      </w:r>
      <w:r>
        <w:rPr>
          <w:rFonts w:ascii="Times New Roman;Times;Serif" w:hAnsi="Times New Roman;Times;Serif"/>
          <w:b w:val="false"/>
          <w:i w:val="false"/>
          <w:caps w:val="false"/>
          <w:smallCaps w:val="false"/>
          <w:sz w:val="20"/>
          <w:u w:val="single"/>
        </w:rPr>
        <w:t>Replimune Group, Inc. - Registration Statement on Form S-3 Filed on August 14,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acted as counsel to Replimune Group, Inc., a Delaware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in connection with its filing of a Registration Statement on Form S-3 under the Securities Act of 1933, as amended (the “</w:t>
      </w:r>
      <w:r>
        <w:rPr>
          <w:rFonts w:ascii="Times New Roman;Times;Serif" w:hAnsi="Times New Roman;Times;Serif"/>
          <w:b w:val="false"/>
          <w:i w:val="false"/>
          <w:caps w:val="false"/>
          <w:smallCaps w:val="false"/>
          <w:sz w:val="20"/>
          <w:u w:val="single"/>
        </w:rPr>
        <w:t>Act</w:t>
      </w:r>
      <w:r>
        <w:rPr>
          <w:rFonts w:ascii="Times New Roman;Times;Serif" w:hAnsi="Times New Roman;Times;Serif"/>
          <w:b w:val="false"/>
          <w:i w:val="false"/>
          <w:caps w:val="false"/>
          <w:smallCaps w:val="false"/>
          <w:sz w:val="20"/>
        </w:rPr>
        <w:t>”), with the Securities and Exchange Commission (the “</w:t>
      </w:r>
      <w:r>
        <w:rPr>
          <w:rFonts w:ascii="Times New Roman;Times;Serif" w:hAnsi="Times New Roman;Times;Serif"/>
          <w:b w:val="false"/>
          <w:i w:val="false"/>
          <w:caps w:val="false"/>
          <w:smallCaps w:val="false"/>
          <w:sz w:val="20"/>
          <w:u w:val="single"/>
        </w:rPr>
        <w:t>Commission</w:t>
      </w:r>
      <w:r>
        <w:rPr>
          <w:rFonts w:ascii="Times New Roman;Times;Serif" w:hAnsi="Times New Roman;Times;Serif"/>
          <w:b w:val="false"/>
          <w:i w:val="false"/>
          <w:caps w:val="false"/>
          <w:smallCaps w:val="false"/>
          <w:sz w:val="20"/>
        </w:rPr>
        <w:t>”) on the date hereof (the “</w:t>
      </w:r>
      <w:r>
        <w:rPr>
          <w:rFonts w:ascii="Times New Roman;Times;Serif" w:hAnsi="Times New Roman;Times;Serif"/>
          <w:b w:val="false"/>
          <w:i w:val="false"/>
          <w:caps w:val="false"/>
          <w:smallCaps w:val="false"/>
          <w:sz w:val="20"/>
          <w:u w:val="single"/>
        </w:rPr>
        <w:t>Registration Statement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Registration Statement, including the base prospectus (the “</w:t>
      </w:r>
      <w:r>
        <w:rPr>
          <w:rFonts w:ascii="Times New Roman;Times;Serif" w:hAnsi="Times New Roman;Times;Serif"/>
          <w:b w:val="false"/>
          <w:i w:val="false"/>
          <w:caps w:val="false"/>
          <w:smallCaps w:val="false"/>
          <w:sz w:val="20"/>
          <w:u w:val="single"/>
        </w:rPr>
        <w:t>Base Prospectus</w:t>
      </w:r>
      <w:r>
        <w:rPr>
          <w:rFonts w:ascii="Times New Roman;Times;Serif" w:hAnsi="Times New Roman;Times;Serif"/>
          <w:b w:val="false"/>
          <w:i w:val="false"/>
          <w:caps w:val="false"/>
          <w:smallCaps w:val="false"/>
          <w:sz w:val="20"/>
        </w:rPr>
        <w:t>”), as supplemented from time to time by one or more prospectus supplements (each, a “</w:t>
      </w:r>
      <w:r>
        <w:rPr>
          <w:rFonts w:ascii="Times New Roman;Times;Serif" w:hAnsi="Times New Roman;Times;Serif"/>
          <w:b w:val="false"/>
          <w:i w:val="false"/>
          <w:caps w:val="false"/>
          <w:smallCaps w:val="false"/>
          <w:sz w:val="20"/>
          <w:u w:val="single"/>
        </w:rPr>
        <w:t>Prospectus Supplement</w:t>
      </w:r>
      <w:r>
        <w:rPr>
          <w:rFonts w:ascii="Times New Roman;Times;Serif" w:hAnsi="Times New Roman;Times;Serif"/>
          <w:b w:val="false"/>
          <w:i w:val="false"/>
          <w:caps w:val="false"/>
          <w:smallCaps w:val="false"/>
          <w:sz w:val="20"/>
        </w:rPr>
        <w:t>”), will provide for the registration of the offer and sale by the Company of an indeterminate amount of (i) shares of common stock, par value $0.01 per share (the “</w:t>
      </w:r>
      <w:r>
        <w:rPr>
          <w:rFonts w:ascii="Times New Roman;Times;Serif" w:hAnsi="Times New Roman;Times;Serif"/>
          <w:b w:val="false"/>
          <w:i w:val="false"/>
          <w:caps w:val="false"/>
          <w:smallCaps w:val="false"/>
          <w:sz w:val="20"/>
          <w:u w:val="single"/>
        </w:rPr>
        <w:t>Common Stock</w:t>
      </w:r>
      <w:r>
        <w:rPr>
          <w:rFonts w:ascii="Times New Roman;Times;Serif" w:hAnsi="Times New Roman;Times;Serif"/>
          <w:b w:val="false"/>
          <w:i w:val="false"/>
          <w:caps w:val="false"/>
          <w:smallCaps w:val="false"/>
          <w:sz w:val="20"/>
        </w:rPr>
        <w:t>”) issuable pursuant to the Base Prospectus (as supplemented from time to time by one or more Prospectus Supplements); (ii) shares of the Company’s preferred stock, $0.01 par value per share (“</w:t>
      </w:r>
      <w:r>
        <w:rPr>
          <w:rFonts w:ascii="Times New Roman;Times;Serif" w:hAnsi="Times New Roman;Times;Serif"/>
          <w:b w:val="false"/>
          <w:i w:val="false"/>
          <w:caps w:val="false"/>
          <w:smallCaps w:val="false"/>
          <w:sz w:val="20"/>
          <w:u w:val="single"/>
        </w:rPr>
        <w:t>Preferred Stock</w:t>
      </w:r>
      <w:r>
        <w:rPr>
          <w:rFonts w:ascii="Times New Roman;Times;Serif" w:hAnsi="Times New Roman;Times;Serif"/>
          <w:b w:val="false"/>
          <w:i w:val="false"/>
          <w:caps w:val="false"/>
          <w:smallCaps w:val="false"/>
          <w:sz w:val="20"/>
        </w:rPr>
        <w:t>”) issuable pursuant to the Base Prospectus (as supplemented from time to time by one or more Prospectus Supplements); (iii) one or more series of senior or subordinated debt securities of the Company (the “</w:t>
      </w:r>
      <w:r>
        <w:rPr>
          <w:rFonts w:ascii="Times New Roman;Times;Serif" w:hAnsi="Times New Roman;Times;Serif"/>
          <w:b w:val="false"/>
          <w:i w:val="false"/>
          <w:caps w:val="false"/>
          <w:smallCaps w:val="false"/>
          <w:sz w:val="20"/>
          <w:u w:val="single"/>
        </w:rPr>
        <w:t>Debt Securities</w:t>
      </w:r>
      <w:r>
        <w:rPr>
          <w:rFonts w:ascii="Times New Roman;Times;Serif" w:hAnsi="Times New Roman;Times;Serif"/>
          <w:b w:val="false"/>
          <w:i w:val="false"/>
          <w:caps w:val="false"/>
          <w:smallCaps w:val="false"/>
          <w:sz w:val="20"/>
        </w:rPr>
        <w:t>”), which may be issued pursuant to an indenture to be dated on or about the date of the first issuance of Debt Securities thereunder, by and between a trustee to be selected by the Company (the “</w:t>
      </w:r>
      <w:r>
        <w:rPr>
          <w:rFonts w:ascii="Times New Roman;Times;Serif" w:hAnsi="Times New Roman;Times;Serif"/>
          <w:b w:val="false"/>
          <w:i w:val="false"/>
          <w:caps w:val="false"/>
          <w:smallCaps w:val="false"/>
          <w:sz w:val="20"/>
          <w:u w:val="single"/>
        </w:rPr>
        <w:t>Trustee</w:t>
      </w:r>
      <w:r>
        <w:rPr>
          <w:rFonts w:ascii="Times New Roman;Times;Serif" w:hAnsi="Times New Roman;Times;Serif"/>
          <w:b w:val="false"/>
          <w:i w:val="false"/>
          <w:caps w:val="false"/>
          <w:smallCaps w:val="false"/>
          <w:sz w:val="20"/>
        </w:rPr>
        <w:t>”) and qualified to act as such under the Trust Indenture Act of 1939, as amended (the “</w:t>
      </w:r>
      <w:r>
        <w:rPr>
          <w:rFonts w:ascii="Times New Roman;Times;Serif" w:hAnsi="Times New Roman;Times;Serif"/>
          <w:b w:val="false"/>
          <w:i w:val="false"/>
          <w:caps w:val="false"/>
          <w:smallCaps w:val="false"/>
          <w:sz w:val="20"/>
          <w:u w:val="single"/>
        </w:rPr>
        <w:t>TIA</w:t>
      </w:r>
      <w:r>
        <w:rPr>
          <w:rFonts w:ascii="Times New Roman;Times;Serif" w:hAnsi="Times New Roman;Times;Serif"/>
          <w:b w:val="false"/>
          <w:i w:val="false"/>
          <w:caps w:val="false"/>
          <w:smallCaps w:val="false"/>
          <w:sz w:val="20"/>
        </w:rPr>
        <w:t>”), and the Company, in the form filed as Exhibit 4.10 to the Registration Statement (each, an “</w:t>
      </w:r>
      <w:r>
        <w:rPr>
          <w:rFonts w:ascii="Times New Roman;Times;Serif" w:hAnsi="Times New Roman;Times;Serif"/>
          <w:b w:val="false"/>
          <w:i w:val="false"/>
          <w:caps w:val="false"/>
          <w:smallCaps w:val="false"/>
          <w:sz w:val="20"/>
          <w:u w:val="single"/>
        </w:rPr>
        <w:t>Indenture</w:t>
      </w:r>
      <w:r>
        <w:rPr>
          <w:rFonts w:ascii="Times New Roman;Times;Serif" w:hAnsi="Times New Roman;Times;Serif"/>
          <w:b w:val="false"/>
          <w:i w:val="false"/>
          <w:caps w:val="false"/>
          <w:smallCaps w:val="false"/>
          <w:sz w:val="20"/>
        </w:rPr>
        <w:t>”) issuable pursuant to the Base Prospectus (as supplemented from time to time by one or more Prospectus Supplements); (iv) warrants to purchase shares of Common Stock, shares of Preferred Stock and/or Debt Securities issuable pursuant to the Base Prospectus (as supplemented from time to time by one or more Prospectus Supplements) (the “</w:t>
      </w:r>
      <w:r>
        <w:rPr>
          <w:rFonts w:ascii="Times New Roman;Times;Serif" w:hAnsi="Times New Roman;Times;Serif"/>
          <w:b w:val="false"/>
          <w:i w:val="false"/>
          <w:caps w:val="false"/>
          <w:smallCaps w:val="false"/>
          <w:sz w:val="20"/>
          <w:u w:val="single"/>
        </w:rPr>
        <w:t>Warrants</w:t>
      </w:r>
      <w:r>
        <w:rPr>
          <w:rFonts w:ascii="Times New Roman;Times;Serif" w:hAnsi="Times New Roman;Times;Serif"/>
          <w:b w:val="false"/>
          <w:i w:val="false"/>
          <w:caps w:val="false"/>
          <w:smallCaps w:val="false"/>
          <w:sz w:val="20"/>
        </w:rPr>
        <w:t>”); and (v) units (“</w:t>
      </w:r>
      <w:r>
        <w:rPr>
          <w:rFonts w:ascii="Times New Roman;Times;Serif" w:hAnsi="Times New Roman;Times;Serif"/>
          <w:b w:val="false"/>
          <w:i w:val="false"/>
          <w:caps w:val="false"/>
          <w:smallCaps w:val="false"/>
          <w:sz w:val="20"/>
          <w:u w:val="single"/>
        </w:rPr>
        <w:t>Units</w:t>
      </w:r>
      <w:r>
        <w:rPr>
          <w:rFonts w:ascii="Times New Roman;Times;Serif" w:hAnsi="Times New Roman;Times;Serif"/>
          <w:b w:val="false"/>
          <w:i w:val="false"/>
          <w:caps w:val="false"/>
          <w:smallCaps w:val="false"/>
          <w:sz w:val="20"/>
        </w:rPr>
        <w:t>”) comprised of shares of Common Stock, shares of Preferred Stock, Warrants, Debt Securities and other securities of the Company in any combination issuable pursuant to the Base Prospectus (as supplemented from time to time by one or more Prospectus Supplements).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Common Stock, Preferred Stock, Debt Securities, Warrants and the Units are collectively referred to herein as the “</w:t>
      </w:r>
      <w:r>
        <w:rPr>
          <w:rFonts w:ascii="Times New Roman;Times;Serif" w:hAnsi="Times New Roman;Times;Serif"/>
          <w:b w:val="false"/>
          <w:i w:val="false"/>
          <w:caps w:val="false"/>
          <w:smallCaps w:val="false"/>
          <w:sz w:val="20"/>
          <w:u w:val="single"/>
        </w:rPr>
        <w:t>Registered Securities</w:t>
      </w:r>
      <w:r>
        <w:rPr>
          <w:rFonts w:ascii="Times New Roman;Times;Serif" w:hAnsi="Times New Roman;Times;Serif"/>
          <w:b w:val="false"/>
          <w:i w:val="false"/>
          <w:caps w:val="false"/>
          <w:smallCaps w:val="false"/>
          <w:sz w:val="20"/>
        </w:rPr>
        <w:t>.” The Registered Securities are being registered for offer and sale by the Company, pursuant to Rule 415 of the Act.</w:t>
      </w:r>
    </w:p>
    <w:p>
      <w:pPr>
        <w:pStyle w:val="TextBody"/>
        <w:bidi w:val="0"/>
        <w:spacing w:before="0" w:after="0"/>
        <w:ind w:left="0" w:right="0" w:hanging="0"/>
        <w:jc w:val="left"/>
        <w:rPr>
          <w:caps w:val="false"/>
          <w:smallCaps w:val="false"/>
        </w:rPr>
      </w:pPr>
      <w:r>
        <w:rPr>
          <w:caps w:val="false"/>
          <w:smallCaps w:val="false"/>
        </w:rPr>
        <w:t> </w:t>
      </w:r>
    </w:p>
    <w:tbl>
      <w:tblPr>
        <w:tblW w:w="4030" w:type="dxa"/>
        <w:jc w:val="left"/>
        <w:tblInd w:w="0" w:type="dxa"/>
        <w:tblLayout w:type="fixed"/>
        <w:tblCellMar>
          <w:top w:w="0" w:type="dxa"/>
          <w:left w:w="0" w:type="dxa"/>
          <w:bottom w:w="0" w:type="dxa"/>
          <w:right w:w="0" w:type="dxa"/>
        </w:tblCellMar>
      </w:tblPr>
      <w:tblGrid>
        <w:gridCol w:w="75"/>
        <w:gridCol w:w="2240"/>
        <w:gridCol w:w="1715"/>
      </w:tblGrid>
      <w:tr>
        <w:trPr/>
        <w:tc>
          <w:tcPr>
            <w:tcW w:w="75" w:type="dxa"/>
            <w:tcBorders/>
            <w:vAlign w:val="center"/>
          </w:tcPr>
          <w:p>
            <w:pPr>
              <w:pStyle w:val="TableContents"/>
              <w:bidi w:val="0"/>
              <w:spacing w:before="0" w:after="283"/>
              <w:jc w:val="left"/>
              <w:rPr/>
            </w:pPr>
            <w:r>
              <w:rPr/>
              <w:t> </w:t>
            </w:r>
          </w:p>
        </w:tc>
        <w:tc>
          <w:tcPr>
            <w:tcW w:w="395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Morgan, Lewis &amp; Bockius </w:t>
            </w:r>
            <w:r>
              <w:rPr>
                <w:rFonts w:ascii="Times New Roman;Times;Serif" w:hAnsi="Times New Roman;Times;Serif"/>
                <w:b/>
                <w:i w:val="false"/>
                <w:smallCaps/>
                <w:sz w:val="20"/>
              </w:rPr>
              <w:t>llp</w:t>
            </w:r>
          </w:p>
        </w:tc>
      </w:tr>
      <w:tr>
        <w:trPr/>
        <w:tc>
          <w:tcPr>
            <w:tcW w:w="75" w:type="dxa"/>
            <w:tcBorders/>
            <w:vAlign w:val="center"/>
          </w:tcPr>
          <w:p>
            <w:pPr>
              <w:pStyle w:val="TableContents"/>
              <w:bidi w:val="0"/>
              <w:spacing w:before="0" w:after="283"/>
              <w:jc w:val="left"/>
              <w:rPr/>
            </w:pPr>
            <w:r>
              <w:rPr/>
              <w:t> </w:t>
            </w:r>
          </w:p>
        </w:tc>
        <w:tc>
          <w:tcPr>
            <w:tcW w:w="2240" w:type="dxa"/>
            <w:tcBorders/>
            <w:vAlign w:val="center"/>
          </w:tcPr>
          <w:p>
            <w:pPr>
              <w:pStyle w:val="TableContents"/>
              <w:bidi w:val="0"/>
              <w:spacing w:before="0" w:after="283"/>
              <w:jc w:val="left"/>
              <w:rPr>
                <w:caps w:val="false"/>
                <w:smallCaps w:val="false"/>
              </w:rPr>
            </w:pPr>
            <w:r>
              <w:rPr>
                <w:caps w:val="false"/>
                <w:smallCaps w:val="false"/>
              </w:rPr>
              <w:t> </w:t>
            </w:r>
          </w:p>
        </w:tc>
        <w:tc>
          <w:tcPr>
            <w:tcW w:w="171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2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 Park Avenue</w:t>
            </w:r>
          </w:p>
        </w:tc>
        <w:tc>
          <w:tcPr>
            <w:tcW w:w="171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2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10178-0060</w:t>
            </w:r>
          </w:p>
        </w:tc>
        <w:tc>
          <w:tcPr>
            <w:tcW w:w="1715" w:type="dxa"/>
            <w:tcBorders/>
            <w:vAlign w:val="center"/>
          </w:tcPr>
          <w:p>
            <w:pPr>
              <w:pStyle w:val="TableContents"/>
              <w:bidi w:val="0"/>
              <w:spacing w:before="0" w:after="283"/>
              <w:jc w:val="right"/>
              <w:rPr>
                <w:caps w:val="false"/>
                <w:smallCaps w:val="false"/>
              </w:rPr>
            </w:pPr>
            <w:r>
              <w:rPr>
                <w:caps w:val="false"/>
                <w:smallCaps w:val="false"/>
              </w:rPr>
              <w:drawing>
                <wp:inline distT="0" distB="0" distL="0" distR="0">
                  <wp:extent cx="142875" cy="142875"/>
                  <wp:effectExtent l="0" t="0" r="0" b="0"/>
                  <wp:docPr id="17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 name="Image3" descr=""/>
                          <pic:cNvPicPr>
                            <a:picLocks noChangeAspect="1" noChangeArrowheads="1"/>
                          </pic:cNvPicPr>
                        </pic:nvPicPr>
                        <pic:blipFill>
                          <a:blip r:embed="rId28"/>
                          <a:stretch>
                            <a:fillRect/>
                          </a:stretch>
                        </pic:blipFill>
                        <pic:spPr bwMode="auto">
                          <a:xfrm>
                            <a:off x="0" y="0"/>
                            <a:ext cx="142875" cy="142875"/>
                          </a:xfrm>
                          <a:prstGeom prst="rect">
                            <a:avLst/>
                          </a:prstGeom>
                        </pic:spPr>
                      </pic:pic>
                    </a:graphicData>
                  </a:graphic>
                </wp:inline>
              </w:drawing>
            </w:r>
            <w:r>
              <w:rPr>
                <w:caps w:val="false"/>
                <w:smallCaps w:val="false"/>
              </w:rPr>
              <w:t> </w:t>
            </w:r>
            <w:r>
              <w:rPr>
                <w:rFonts w:ascii="Times New Roman;Times;Serif" w:hAnsi="Times New Roman;Times;Serif"/>
                <w:b w:val="false"/>
                <w:i w:val="false"/>
                <w:caps w:val="false"/>
                <w:smallCaps w:val="false"/>
                <w:sz w:val="20"/>
              </w:rPr>
              <w:t>+1.212.309.6000</w:t>
            </w:r>
          </w:p>
        </w:tc>
      </w:tr>
      <w:tr>
        <w:trPr/>
        <w:tc>
          <w:tcPr>
            <w:tcW w:w="75" w:type="dxa"/>
            <w:tcBorders/>
            <w:vAlign w:val="center"/>
          </w:tcPr>
          <w:p>
            <w:pPr>
              <w:pStyle w:val="TableContents"/>
              <w:bidi w:val="0"/>
              <w:spacing w:before="0" w:after="283"/>
              <w:jc w:val="left"/>
              <w:rPr/>
            </w:pPr>
            <w:r>
              <w:rPr/>
              <w:t> </w:t>
            </w:r>
          </w:p>
        </w:tc>
        <w:tc>
          <w:tcPr>
            <w:tcW w:w="22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United States</w:t>
            </w:r>
          </w:p>
        </w:tc>
        <w:tc>
          <w:tcPr>
            <w:tcW w:w="1715" w:type="dxa"/>
            <w:tcBorders/>
            <w:vAlign w:val="center"/>
          </w:tcPr>
          <w:p>
            <w:pPr>
              <w:pStyle w:val="TableContents"/>
              <w:bidi w:val="0"/>
              <w:spacing w:before="0" w:after="283"/>
              <w:jc w:val="right"/>
              <w:rPr>
                <w:caps w:val="false"/>
                <w:smallCaps w:val="false"/>
              </w:rPr>
            </w:pPr>
            <w:r>
              <w:rPr>
                <w:caps w:val="false"/>
                <w:smallCaps w:val="false"/>
              </w:rPr>
              <w:drawing>
                <wp:inline distT="0" distB="0" distL="0" distR="0">
                  <wp:extent cx="142875" cy="142875"/>
                  <wp:effectExtent l="0" t="0" r="0" b="0"/>
                  <wp:docPr id="177"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 name="Image4" descr=""/>
                          <pic:cNvPicPr>
                            <a:picLocks noChangeAspect="1" noChangeArrowheads="1"/>
                          </pic:cNvPicPr>
                        </pic:nvPicPr>
                        <pic:blipFill>
                          <a:blip r:embed="rId29"/>
                          <a:stretch>
                            <a:fillRect/>
                          </a:stretch>
                        </pic:blipFill>
                        <pic:spPr bwMode="auto">
                          <a:xfrm>
                            <a:off x="0" y="0"/>
                            <a:ext cx="142875" cy="142875"/>
                          </a:xfrm>
                          <a:prstGeom prst="rect">
                            <a:avLst/>
                          </a:prstGeom>
                        </pic:spPr>
                      </pic:pic>
                    </a:graphicData>
                  </a:graphic>
                </wp:inline>
              </w:drawing>
            </w:r>
            <w:r>
              <w:rPr>
                <w:caps w:val="false"/>
                <w:smallCaps w:val="false"/>
              </w:rPr>
              <w:t> </w:t>
            </w:r>
            <w:r>
              <w:rPr>
                <w:rFonts w:ascii="Times New Roman;Times;Serif" w:hAnsi="Times New Roman;Times;Serif"/>
                <w:b w:val="false"/>
                <w:i w:val="false"/>
                <w:caps w:val="false"/>
                <w:smallCaps w:val="false"/>
                <w:sz w:val="20"/>
              </w:rPr>
              <w:t>+1.212.309.6001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Replimune Group, Inc.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14, 2026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letter is furnished in accordance with the requirements of Item 601(b)(5) of Regulation S-K under the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this opinion letter, we have examined the Registration Statement and originals, or copies certified or otherwise identified to our satisfaction, of (i) the Third Amended and Restated Certificate of Incorporation of the Company, as amended to date (the “</w:t>
      </w:r>
      <w:r>
        <w:rPr>
          <w:rFonts w:ascii="Times New Roman;Times;Serif" w:hAnsi="Times New Roman;Times;Serif"/>
          <w:b w:val="false"/>
          <w:i w:val="false"/>
          <w:caps w:val="false"/>
          <w:smallCaps w:val="false"/>
          <w:sz w:val="20"/>
          <w:u w:val="single"/>
        </w:rPr>
        <w:t>Certificate of Incorporation</w:t>
      </w:r>
      <w:r>
        <w:rPr>
          <w:rFonts w:ascii="Times New Roman;Times;Serif" w:hAnsi="Times New Roman;Times;Serif"/>
          <w:b w:val="false"/>
          <w:i w:val="false"/>
          <w:caps w:val="false"/>
          <w:smallCaps w:val="false"/>
          <w:sz w:val="20"/>
        </w:rPr>
        <w:t>”), and the Amended and Restated By-laws of the Company (the “</w:t>
      </w:r>
      <w:r>
        <w:rPr>
          <w:rFonts w:ascii="Times New Roman;Times;Serif" w:hAnsi="Times New Roman;Times;Serif"/>
          <w:b w:val="false"/>
          <w:i w:val="false"/>
          <w:caps w:val="false"/>
          <w:smallCaps w:val="false"/>
          <w:sz w:val="20"/>
          <w:u w:val="single"/>
        </w:rPr>
        <w:t>Bylaws</w:t>
      </w:r>
      <w:r>
        <w:rPr>
          <w:rFonts w:ascii="Times New Roman;Times;Serif" w:hAnsi="Times New Roman;Times;Serif"/>
          <w:b w:val="false"/>
          <w:i w:val="false"/>
          <w:caps w:val="false"/>
          <w:smallCaps w:val="false"/>
          <w:sz w:val="20"/>
        </w:rPr>
        <w:t>”), as amended to date, (ii) certain resolutions of the Company’s Board of Directors (the “</w:t>
      </w:r>
      <w:r>
        <w:rPr>
          <w:rFonts w:ascii="Times New Roman;Times;Serif" w:hAnsi="Times New Roman;Times;Serif"/>
          <w:b w:val="false"/>
          <w:i w:val="false"/>
          <w:caps w:val="false"/>
          <w:smallCaps w:val="false"/>
          <w:sz w:val="20"/>
          <w:u w:val="single"/>
        </w:rPr>
        <w:t>Board</w:t>
      </w:r>
      <w:r>
        <w:rPr>
          <w:rFonts w:ascii="Times New Roman;Times;Serif" w:hAnsi="Times New Roman;Times;Serif"/>
          <w:b w:val="false"/>
          <w:i w:val="false"/>
          <w:caps w:val="false"/>
          <w:smallCaps w:val="false"/>
          <w:sz w:val="20"/>
        </w:rPr>
        <w:t>”) relating to the Registration Statement, and (iii) such other documents, records and other instruments as we have deemed appropriate for purposes of the opinions set forth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assumed the genuineness of all signatures, the legal capacity of all natural persons, the authenticity of the documents submitted to us as originals, the conformity with the originals of all documents submitted to us as certified, facsimile, or photostatic copies, and the authenticity of the originals of all documents submitted to us as copies. With respect to matters of fact relevant to our opinions as set forth below, we have relied upon certificates of officers of the Company, representations made by the Company in documents examined by us, and representations of officers of the Company. We have also obtained and relied upon such certificates and assurances from public officials as we have deemed necessary for the purposes of our opinions set forth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purposes of the opinions set forth below, we have also assumed, without independent investigation or verification, that: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3"/>
        <w:gridCol w:w="10015"/>
      </w:tblGrid>
      <w:tr>
        <w:trPr/>
        <w:tc>
          <w:tcPr>
            <w:tcW w:w="37"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20"/>
              </w:rPr>
            </w:pPr>
            <w:r>
              <w:rPr>
                <w:sz w:val="20"/>
              </w:rPr>
              <w:t>(i)</w:t>
            </w:r>
          </w:p>
        </w:tc>
        <w:tc>
          <w:tcPr>
            <w:tcW w:w="10015" w:type="dxa"/>
            <w:tcBorders/>
            <w:vAlign w:val="center"/>
          </w:tcPr>
          <w:p>
            <w:pPr>
              <w:pStyle w:val="TableContents"/>
              <w:bidi w:val="0"/>
              <w:spacing w:before="0" w:after="283"/>
              <w:jc w:val="both"/>
              <w:rPr/>
            </w:pPr>
            <w:r>
              <w:rPr/>
              <w:t>the issuance, sale, number, amount, and terms of each of the Registered Securities to be offered from time to time by the Company will be duly authorized and established by proper action of the Board, and in accordance with the Certificate of Incorporation, the Bylaws, and applicable Delaware law, and will not conflict with or constitute a breach of the terms of any agreement or instrument to which the Company is subject;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2"/>
        <w:gridCol w:w="9956"/>
      </w:tblGrid>
      <w:tr>
        <w:trPr/>
        <w:tc>
          <w:tcPr>
            <w:tcW w:w="37"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20"/>
              </w:rPr>
            </w:pPr>
            <w:r>
              <w:rPr>
                <w:sz w:val="20"/>
              </w:rPr>
              <w:t>(ii)</w:t>
            </w:r>
          </w:p>
        </w:tc>
        <w:tc>
          <w:tcPr>
            <w:tcW w:w="9956" w:type="dxa"/>
            <w:tcBorders/>
            <w:vAlign w:val="center"/>
          </w:tcPr>
          <w:p>
            <w:pPr>
              <w:pStyle w:val="TableContents"/>
              <w:bidi w:val="0"/>
              <w:spacing w:before="0" w:after="283"/>
              <w:jc w:val="both"/>
              <w:rPr/>
            </w:pPr>
            <w:r>
              <w:rPr/>
              <w:t>any shares of Common Stock issued by the Company pursuant to the Registration Statement, the Base Prospectus and any related Prospectus Supplement, from time to time, will not exceed the maximum authorized number of shares of Common Stock under the Certificate of Incorporation, minus that number of shares of Common Stock that may have been issued and are outstanding, or are reserved for issuance for other purposes, at such time;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6"/>
        <w:gridCol w:w="9902"/>
      </w:tblGrid>
      <w:tr>
        <w:trPr/>
        <w:tc>
          <w:tcPr>
            <w:tcW w:w="37"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20"/>
              </w:rPr>
            </w:pPr>
            <w:r>
              <w:rPr>
                <w:sz w:val="20"/>
              </w:rPr>
              <w:t>(iii)</w:t>
            </w:r>
          </w:p>
        </w:tc>
        <w:tc>
          <w:tcPr>
            <w:tcW w:w="9902" w:type="dxa"/>
            <w:tcBorders/>
            <w:vAlign w:val="center"/>
          </w:tcPr>
          <w:p>
            <w:pPr>
              <w:pStyle w:val="TableContents"/>
              <w:bidi w:val="0"/>
              <w:spacing w:before="0" w:after="283"/>
              <w:jc w:val="both"/>
              <w:rPr/>
            </w:pPr>
            <w:r>
              <w:rPr/>
              <w:t>any shares of Preferred Stock issued pursuant to the Registration Statement, the Base Prospectus and any related Prospectus Supplement, from time to time, will not exceed the maximum authorized number of shares of Preferred Stock under the Certificate of Incorporation, minus that number of shares of Preferred Stock that may have been issued and are outstanding, or are reserved for issuance for other purposes, at such time and that an appropriate certificate of designation relating to each such series of Preferred Stock will have been duly authorized and established by proper action of the Board as required under Delaware law, and in accordance with the Certificate of Incorporation, the Bylaws, and applicable Delaware law, and that such certificate of designation will have been filed with the Secretary of State of the State of Delaware;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Replimune Group, Inc.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14, 2026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3</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0"/>
        <w:gridCol w:w="9918"/>
      </w:tblGrid>
      <w:tr>
        <w:trPr/>
        <w:tc>
          <w:tcPr>
            <w:tcW w:w="37"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20"/>
              </w:rPr>
            </w:pPr>
            <w:r>
              <w:rPr>
                <w:sz w:val="20"/>
              </w:rPr>
              <w:t>(iv)</w:t>
            </w:r>
          </w:p>
        </w:tc>
        <w:tc>
          <w:tcPr>
            <w:tcW w:w="9918" w:type="dxa"/>
            <w:tcBorders/>
            <w:vAlign w:val="center"/>
          </w:tcPr>
          <w:p>
            <w:pPr>
              <w:pStyle w:val="TableContents"/>
              <w:bidi w:val="0"/>
              <w:spacing w:before="0" w:after="283"/>
              <w:jc w:val="both"/>
              <w:rPr/>
            </w:pPr>
            <w:r>
              <w:rPr/>
              <w:t>any Debt Securities issued by the Company pursuant to the Registration Statement, the Base Prospectus and any related Prospectus Supplement, from time to time, will be issued under and in conformity with a valid, binding and enforceable Indenture, which shall be delivered by the Trustee, and the Trustee will have all requisite power and authority to effect the transactions contemplated by such Indenture, and the Trustee or an authenticating agent for the Trustee will duly authenticate the Debt Securities pursuant to the applicable Indenture, and the applicable Indenture will be the valid and binding obligation of the Trustee and will be enforceable against the Trustee in accordance with its terms. With respect to any applicable Indenture, we are expressing no opinion herein as to (i) the application of or compliance with any foreign, federal or state law or regulation or (ii) the power, authority or competence of any party, other than the Company;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6"/>
        <w:gridCol w:w="9962"/>
      </w:tblGrid>
      <w:tr>
        <w:trPr/>
        <w:tc>
          <w:tcPr>
            <w:tcW w:w="37"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20"/>
              </w:rPr>
            </w:pPr>
            <w:r>
              <w:rPr>
                <w:sz w:val="20"/>
              </w:rPr>
              <w:t>(v)</w:t>
            </w:r>
          </w:p>
        </w:tc>
        <w:tc>
          <w:tcPr>
            <w:tcW w:w="9962" w:type="dxa"/>
            <w:tcBorders/>
            <w:vAlign w:val="center"/>
          </w:tcPr>
          <w:p>
            <w:pPr>
              <w:pStyle w:val="TableContents"/>
              <w:bidi w:val="0"/>
              <w:spacing w:before="0" w:after="283"/>
              <w:jc w:val="both"/>
              <w:rPr/>
            </w:pPr>
            <w:r>
              <w:rPr/>
              <w:t>any Warrants issued by the Company pursuant to the Registration Statement, the Base Prospectus and any related Prospectus Supplement, from time to time, will be issued under one or more valid, binding, and enforceable warrant agreements (each, a “</w:t>
            </w:r>
            <w:r>
              <w:rPr>
                <w:u w:val="single"/>
              </w:rPr>
              <w:t>Warrant Agreement</w:t>
            </w:r>
            <w:r>
              <w:rPr/>
              <w: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7"/>
        <w:gridCol w:w="9901"/>
      </w:tblGrid>
      <w:tr>
        <w:trPr/>
        <w:tc>
          <w:tcPr>
            <w:tcW w:w="3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20"/>
              </w:rPr>
            </w:pPr>
            <w:r>
              <w:rPr>
                <w:sz w:val="20"/>
              </w:rPr>
              <w:t>(vi)</w:t>
            </w:r>
          </w:p>
        </w:tc>
        <w:tc>
          <w:tcPr>
            <w:tcW w:w="9901" w:type="dxa"/>
            <w:tcBorders/>
            <w:vAlign w:val="center"/>
          </w:tcPr>
          <w:p>
            <w:pPr>
              <w:pStyle w:val="TableContents"/>
              <w:bidi w:val="0"/>
              <w:spacing w:before="0" w:after="283"/>
              <w:jc w:val="both"/>
              <w:rPr/>
            </w:pPr>
            <w:r>
              <w:rPr/>
              <w:t>the Units issued by the Company pursuant to the Registration Statement, the Base Prospectus and any related Prospectus Supplement, from time to time, will be issued under one or more valid, binding, and enforceable unit agreements (each, a “</w:t>
            </w:r>
            <w:r>
              <w:rPr>
                <w:u w:val="single"/>
              </w:rPr>
              <w:t>Unit Agreement</w:t>
            </w:r>
            <w:r>
              <w:rPr/>
              <w: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3"/>
        <w:gridCol w:w="9845"/>
      </w:tblGrid>
      <w:tr>
        <w:trPr/>
        <w:tc>
          <w:tcPr>
            <w:tcW w:w="37"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20"/>
              </w:rPr>
            </w:pPr>
            <w:r>
              <w:rPr>
                <w:sz w:val="20"/>
              </w:rPr>
              <w:t>(vii)</w:t>
            </w:r>
          </w:p>
        </w:tc>
        <w:tc>
          <w:tcPr>
            <w:tcW w:w="9845" w:type="dxa"/>
            <w:tcBorders/>
            <w:vAlign w:val="center"/>
          </w:tcPr>
          <w:p>
            <w:pPr>
              <w:pStyle w:val="TableContents"/>
              <w:bidi w:val="0"/>
              <w:spacing w:before="0" w:after="283"/>
              <w:jc w:val="both"/>
              <w:rPr/>
            </w:pPr>
            <w:r>
              <w:rPr/>
              <w:t>the enforcement of any obligations of the Company may be limited by bankruptcy, insolvency, reorganization, moratorium, marshaling or other laws and rules of law affecting the enforcement generally of creditors’ rights and remedies, including, without limitation, fraudulent conveyance and fraudulent transfer laws;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85"/>
        <w:gridCol w:w="9783"/>
      </w:tblGrid>
      <w:tr>
        <w:trPr/>
        <w:tc>
          <w:tcPr>
            <w:tcW w:w="37"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20"/>
              </w:rPr>
            </w:pPr>
            <w:r>
              <w:rPr>
                <w:sz w:val="20"/>
              </w:rPr>
              <w:t>(viii)</w:t>
            </w:r>
          </w:p>
        </w:tc>
        <w:tc>
          <w:tcPr>
            <w:tcW w:w="9783" w:type="dxa"/>
            <w:tcBorders/>
            <w:vAlign w:val="center"/>
          </w:tcPr>
          <w:p>
            <w:pPr>
              <w:pStyle w:val="TableContents"/>
              <w:bidi w:val="0"/>
              <w:spacing w:before="0" w:after="283"/>
              <w:jc w:val="both"/>
              <w:rPr/>
            </w:pPr>
            <w:r>
              <w:rPr/>
              <w:t>at the time of each issuance and sale of the Registered Securities, the Company will continue to be validly existing and in good standing under the laws of its jurisdiction of organization with the requisite corporate power and authority to issue and sell such Registered Securities;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1"/>
        <w:gridCol w:w="9907"/>
      </w:tblGrid>
      <w:tr>
        <w:trPr/>
        <w:tc>
          <w:tcPr>
            <w:tcW w:w="3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20"/>
              </w:rPr>
            </w:pPr>
            <w:r>
              <w:rPr>
                <w:sz w:val="20"/>
              </w:rPr>
              <w:t>(ix)</w:t>
            </w:r>
          </w:p>
        </w:tc>
        <w:tc>
          <w:tcPr>
            <w:tcW w:w="9907" w:type="dxa"/>
            <w:tcBorders/>
            <w:vAlign w:val="center"/>
          </w:tcPr>
          <w:p>
            <w:pPr>
              <w:pStyle w:val="TableContents"/>
              <w:bidi w:val="0"/>
              <w:spacing w:before="0" w:after="283"/>
              <w:jc w:val="both"/>
              <w:rPr/>
            </w:pPr>
            <w:r>
              <w:rPr/>
              <w:t>the Registration Statement and any amendments thereto will have become automatically effective upon filing and such effectiveness shall not have been terminated or rescinded and will comply with all applicable federal and state laws at the time the Registered Securities are offered and issued as contemplated by the Registration Statement.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Replimune Group, Inc.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14, 2026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foregoing and the other matters set forth herein, it is our opinion that, as of the date hereof:</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9"/>
        <w:gridCol w:w="10009"/>
      </w:tblGrid>
      <w:tr>
        <w:trPr/>
        <w:tc>
          <w:tcPr>
            <w:tcW w:w="3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pPr>
            <w:r>
              <w:rPr/>
              <w:t>1.</w:t>
            </w:r>
          </w:p>
        </w:tc>
        <w:tc>
          <w:tcPr>
            <w:tcW w:w="10009" w:type="dxa"/>
            <w:tcBorders/>
            <w:vAlign w:val="center"/>
          </w:tcPr>
          <w:p>
            <w:pPr>
              <w:pStyle w:val="TableContents"/>
              <w:bidi w:val="0"/>
              <w:spacing w:before="0" w:after="283"/>
              <w:jc w:val="both"/>
              <w:rPr/>
            </w:pPr>
            <w:r>
              <w:rPr/>
              <w:t>the shares of Common Stock registered under the Registration Statement for offer and sale by the Company, when duly authorized and issued against the full payment specified therefor, which must have a value not less than the par value thereof, will be validly issued, fully paid and nonassessable;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2"/>
        <w:gridCol w:w="10006"/>
      </w:tblGrid>
      <w:tr>
        <w:trPr/>
        <w:tc>
          <w:tcPr>
            <w:tcW w:w="3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pPr>
            <w:r>
              <w:rPr/>
              <w:t>2.</w:t>
            </w:r>
          </w:p>
        </w:tc>
        <w:tc>
          <w:tcPr>
            <w:tcW w:w="10006" w:type="dxa"/>
            <w:tcBorders/>
            <w:vAlign w:val="center"/>
          </w:tcPr>
          <w:p>
            <w:pPr>
              <w:pStyle w:val="TableContents"/>
              <w:bidi w:val="0"/>
              <w:spacing w:before="0" w:after="283"/>
              <w:jc w:val="both"/>
              <w:rPr/>
            </w:pPr>
            <w:r>
              <w:rPr/>
              <w:t>the shares of Preferred Stock registered under the Registration Statement, when duly authorized and issued against the full payment specified therefor, which must have a value not less than the par value thereof, will be validly issued, fully paid and nonassessable;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7"/>
        <w:gridCol w:w="10011"/>
      </w:tblGrid>
      <w:tr>
        <w:trPr/>
        <w:tc>
          <w:tcPr>
            <w:tcW w:w="3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pPr>
            <w:r>
              <w:rPr/>
              <w:t>3.</w:t>
            </w:r>
          </w:p>
        </w:tc>
        <w:tc>
          <w:tcPr>
            <w:tcW w:w="10011" w:type="dxa"/>
            <w:tcBorders/>
            <w:vAlign w:val="center"/>
          </w:tcPr>
          <w:p>
            <w:pPr>
              <w:pStyle w:val="TableContents"/>
              <w:bidi w:val="0"/>
              <w:spacing w:before="0" w:after="283"/>
              <w:jc w:val="both"/>
              <w:rPr/>
            </w:pPr>
            <w:r>
              <w:rPr/>
              <w:t>the Warrants registered under the Registration Statement, when duly authorized, executed and delivered against the payment specified therefor, and pursuant to a Warrant Agreement duly authorized, executed and delivered by the Company and the holder of the Warrants, will be valid and binding obligations of the Company;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3"/>
        <w:gridCol w:w="10015"/>
      </w:tblGrid>
      <w:tr>
        <w:trPr/>
        <w:tc>
          <w:tcPr>
            <w:tcW w:w="37"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pPr>
            <w:r>
              <w:rPr/>
              <w:t>4.</w:t>
            </w:r>
          </w:p>
        </w:tc>
        <w:tc>
          <w:tcPr>
            <w:tcW w:w="10015" w:type="dxa"/>
            <w:tcBorders/>
            <w:vAlign w:val="center"/>
          </w:tcPr>
          <w:p>
            <w:pPr>
              <w:pStyle w:val="TableContents"/>
              <w:bidi w:val="0"/>
              <w:spacing w:before="0" w:after="283"/>
              <w:jc w:val="both"/>
              <w:rPr/>
            </w:pPr>
            <w:r>
              <w:rPr/>
              <w:t>the Debt Securities registered under the Registration Statement, when duly authorized, executed and delivered against the payment specified therefor pursuant to an Indenture that has been qualified under the TIA and any underwriting agreement or purchase agreement duly authorized, executed and delivered by the Company and the initial purchasers of the Debt Securities, will be valid and binding obligations of the Company;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8"/>
        <w:gridCol w:w="10010"/>
      </w:tblGrid>
      <w:tr>
        <w:trPr/>
        <w:tc>
          <w:tcPr>
            <w:tcW w:w="3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pPr>
            <w:r>
              <w:rPr/>
              <w:t>5.</w:t>
            </w:r>
          </w:p>
        </w:tc>
        <w:tc>
          <w:tcPr>
            <w:tcW w:w="10010" w:type="dxa"/>
            <w:tcBorders/>
            <w:vAlign w:val="center"/>
          </w:tcPr>
          <w:p>
            <w:pPr>
              <w:pStyle w:val="TableContents"/>
              <w:bidi w:val="0"/>
              <w:spacing w:before="0" w:after="283"/>
              <w:jc w:val="both"/>
              <w:rPr/>
            </w:pPr>
            <w:r>
              <w:rPr/>
              <w:t>the Units registered under the Registration Statement, when duly authorized, executed and delivered against the payment specified therefor, and pursuant to a Unit Agreement duly authorized, executed and delivered by the Company and each other party thereto, will be valid and binding obligations of the Company.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opinions set forth in paragraphs 3 through 5 above are each subject to (i) the effect of any bankruptcy, insolvency, reorganization, moratorium, arrangement or similar laws relating to or affecting the rights and remedies of creditors generally, including the effect of statutory or other laws regarding fraudulent transfers or preferential transfers, (ii) the discretion of the court before which any proceeding may be brought, general principles of equity, including concepts of materiality, reasonableness, good faith and fair dealing and the possible unavailability of specific performance, injunctive relief or other equitable remedies, regardless of whether enforceability is considered in a proceeding in equity or at law and (iii) limitations on enforceability to the extent that acceleration of indebtedness under any Debt Securities may impair collectability of that portion, if any, of the principal amount thereof that might be determined to be unearned interest thereon. We express no opinion regarding the effectiveness of (x) any waiver of stay, extension or usury laws or of unknown future rights, or (y) provisions relating to indemnification, exculpation or contribution, to the extent such provisions may be held unenforceable as contrary to federal or state securities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Replimune Group, Inc.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14, 2026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opinions expressed herein are limited to the laws of the State of New York and the Delaware General Corporation Law, and we express no opinion with respect to the laws of any other state or jurisdiction. Although the Securities may be issued from time to time on a delayed or continuous basis, the opinions expressed herein are limited to the laws, including rules and regulations, as in effect on the date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filing of this opinion as Exhibit 5.1 to the Registration Statement and to the reference to us under the heading “Legal Matters” in the Prospectus contained in the Registration Statement. In rendering this opinion and giving this consent, we do not hereby admit that we are acting within the category of persons whose consent is required under Section 7 of the Act or the rules or regulations of the Commission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Very truly yours,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Morgan, Lewis &amp; Bockius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5" w:name="tm2621843d2_ex23-2.htm"/>
      <w:bookmarkStart w:id="26" w:name="kstm2621843d2_ex232"/>
      <w:bookmarkEnd w:id="25"/>
      <w:bookmarkEnd w:id="26"/>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23.2</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INDEPENDENT REGISTERED PUBLIC ACCOUNTING FIRM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incorporation by reference in this Registration Statement on Form S-3 of Replimune Group, Inc. of our report dated June 29, 2026 relating to the financial statements, which appears in Replimune Group, Inc.’s Annual Report on Form 10-K for the year ended March 31, 2026. We also consent to the reference to us under the heading “Experts” in such Registration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PricewaterhouseCoopers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Florham Park, New Jersey</w:t>
        <w:br/>
        <w:t>August 14,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27" w:name="tm2621843d1_ex-filingfees.htm"/>
      <w:bookmarkStart w:id="28" w:name="kstm2621843d1_exfilingfees"/>
      <w:bookmarkStart w:id="29" w:name="tm2621843d1_ex-filingfees.htm"/>
      <w:bookmarkStart w:id="30" w:name="kstm2621843d1_exfilingfees"/>
      <w:bookmarkEnd w:id="29"/>
      <w:bookmarkEnd w:id="30"/>
      <w:r>
        <w:br w:type="page"/>
      </w:r>
    </w:p>
    <w:tbl>
      <w:tblPr>
        <w:tblW w:w="3573" w:type="dxa"/>
        <w:jc w:val="left"/>
        <w:tblInd w:w="0" w:type="dxa"/>
        <w:tblLayout w:type="fixed"/>
        <w:tblCellMar>
          <w:top w:w="28" w:type="dxa"/>
          <w:left w:w="28" w:type="dxa"/>
          <w:bottom w:w="28" w:type="dxa"/>
          <w:right w:w="28" w:type="dxa"/>
        </w:tblCellMar>
      </w:tblPr>
      <w:tblGrid>
        <w:gridCol w:w="3419"/>
        <w:gridCol w:w="154"/>
      </w:tblGrid>
      <w:tr>
        <w:trPr/>
        <w:tc>
          <w:tcPr>
            <w:tcW w:w="3573"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19" w:type="dxa"/>
            <w:tcBorders/>
            <w:vAlign w:val="center"/>
          </w:tcPr>
          <w:p>
            <w:pPr>
              <w:pStyle w:val="TableContents"/>
              <w:bidi w:val="0"/>
              <w:spacing w:before="0" w:after="283"/>
              <w:jc w:val="left"/>
              <w:rPr>
                <w:b/>
              </w:rPr>
            </w:pPr>
            <w:r>
              <w:rPr>
                <w:b/>
              </w:rPr>
              <w:t xml:space="preserve">S-3 </w:t>
            </w:r>
          </w:p>
        </w:tc>
        <w:tc>
          <w:tcPr>
            <w:tcW w:w="154" w:type="dxa"/>
            <w:tcBorders/>
          </w:tcPr>
          <w:p>
            <w:pPr>
              <w:pStyle w:val="TableContents"/>
              <w:bidi w:val="0"/>
              <w:spacing w:before="0" w:after="283"/>
              <w:jc w:val="left"/>
              <w:rPr>
                <w:sz w:val="4"/>
                <w:szCs w:val="4"/>
              </w:rPr>
            </w:pPr>
            <w:r>
              <w:rPr>
                <w:sz w:val="4"/>
                <w:szCs w:val="4"/>
              </w:rPr>
            </w:r>
          </w:p>
        </w:tc>
      </w:tr>
      <w:tr>
        <w:trPr/>
        <w:tc>
          <w:tcPr>
            <w:tcW w:w="3419" w:type="dxa"/>
            <w:tcBorders/>
            <w:vAlign w:val="center"/>
          </w:tcPr>
          <w:p>
            <w:pPr>
              <w:pStyle w:val="TableContents"/>
              <w:bidi w:val="0"/>
              <w:spacing w:before="0" w:after="283"/>
              <w:jc w:val="left"/>
              <w:rPr>
                <w:b/>
              </w:rPr>
            </w:pPr>
            <w:r>
              <w:rPr>
                <w:b/>
              </w:rPr>
              <w:t xml:space="preserve">Replimune Group, Inc. </w:t>
            </w:r>
          </w:p>
        </w:tc>
        <w:tc>
          <w:tcPr>
            <w:tcW w:w="154" w:type="dxa"/>
            <w:tcBorders/>
          </w:tcPr>
          <w:p>
            <w:pPr>
              <w:pStyle w:val="TableContents"/>
              <w:bidi w:val="0"/>
              <w:spacing w:before="0" w:after="283"/>
              <w:jc w:val="left"/>
              <w:rPr>
                <w:sz w:val="4"/>
                <w:szCs w:val="4"/>
              </w:rPr>
            </w:pPr>
            <w:r>
              <w:rPr>
                <w:sz w:val="4"/>
                <w:szCs w:val="4"/>
              </w:rPr>
            </w:r>
          </w:p>
        </w:tc>
      </w:tr>
    </w:tbl>
    <w:tbl>
      <w:tblPr>
        <w:tblW w:w="7967" w:type="dxa"/>
        <w:jc w:val="left"/>
        <w:tblInd w:w="0" w:type="dxa"/>
        <w:tblLayout w:type="fixed"/>
        <w:tblCellMar>
          <w:top w:w="28" w:type="dxa"/>
          <w:left w:w="28" w:type="dxa"/>
          <w:bottom w:w="28" w:type="dxa"/>
          <w:right w:w="28" w:type="dxa"/>
        </w:tblCellMar>
      </w:tblPr>
      <w:tblGrid>
        <w:gridCol w:w="6016"/>
        <w:gridCol w:w="1951"/>
      </w:tblGrid>
      <w:tr>
        <w:trPr/>
        <w:tc>
          <w:tcPr>
            <w:tcW w:w="6016" w:type="dxa"/>
            <w:tcBorders/>
            <w:vAlign w:val="center"/>
          </w:tcPr>
          <w:p>
            <w:pPr>
              <w:pStyle w:val="TableHeading"/>
              <w:bidi w:val="0"/>
              <w:spacing w:before="0" w:after="283"/>
              <w:jc w:val="left"/>
              <w:rPr/>
            </w:pPr>
            <w:r>
              <w:rPr>
                <w:b/>
              </w:rPr>
              <w:t>Table 1: Newly Registered and Carry Forward Securities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4954" w:type="dxa"/>
        <w:jc w:val="left"/>
        <w:tblInd w:w="0" w:type="dxa"/>
        <w:tblLayout w:type="fixed"/>
        <w:tblCellMar>
          <w:top w:w="28" w:type="dxa"/>
          <w:left w:w="28" w:type="dxa"/>
          <w:bottom w:w="28" w:type="dxa"/>
          <w:right w:w="28" w:type="dxa"/>
        </w:tblCellMar>
      </w:tblPr>
      <w:tblGrid>
        <w:gridCol w:w="1126"/>
        <w:gridCol w:w="226"/>
        <w:gridCol w:w="946"/>
        <w:gridCol w:w="1021"/>
        <w:gridCol w:w="1276"/>
        <w:gridCol w:w="1186"/>
        <w:gridCol w:w="1156"/>
        <w:gridCol w:w="1156"/>
        <w:gridCol w:w="1126"/>
        <w:gridCol w:w="1351"/>
        <w:gridCol w:w="1021"/>
        <w:gridCol w:w="1021"/>
        <w:gridCol w:w="1021"/>
        <w:gridCol w:w="1321"/>
      </w:tblGrid>
      <w:tr>
        <w:trPr/>
        <w:tc>
          <w:tcPr>
            <w:tcW w:w="1126" w:type="dxa"/>
            <w:tcBorders/>
            <w:shd w:fill="9ADAF6" w:val="clear"/>
            <w:vAlign w:val="center"/>
          </w:tcPr>
          <w:p>
            <w:pPr>
              <w:pStyle w:val="TableHeading"/>
              <w:bidi w:val="0"/>
              <w:spacing w:before="0" w:after="283"/>
              <w:rPr>
                <w:sz w:val="4"/>
                <w:szCs w:val="4"/>
              </w:rPr>
            </w:pPr>
            <w:r>
              <w:rPr>
                <w:sz w:val="4"/>
                <w:szCs w:val="4"/>
              </w:rPr>
            </w:r>
          </w:p>
        </w:tc>
        <w:tc>
          <w:tcPr>
            <w:tcW w:w="226" w:type="dxa"/>
            <w:tcBorders/>
            <w:shd w:fill="9ADAF6" w:val="clear"/>
            <w:vAlign w:val="center"/>
          </w:tcPr>
          <w:p>
            <w:pPr>
              <w:pStyle w:val="TableHeading"/>
              <w:bidi w:val="0"/>
              <w:spacing w:before="0" w:after="283"/>
              <w:rPr>
                <w:sz w:val="4"/>
                <w:szCs w:val="4"/>
              </w:rPr>
            </w:pPr>
            <w:r>
              <w:rPr>
                <w:sz w:val="4"/>
                <w:szCs w:val="4"/>
              </w:rPr>
            </w:r>
          </w:p>
        </w:tc>
        <w:tc>
          <w:tcPr>
            <w:tcW w:w="9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021"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or Carry Forward Rule</w:t>
            </w:r>
            <w:r>
              <w:rPr/>
              <w:t xml:space="preserve"> </w:t>
            </w:r>
          </w:p>
        </w:tc>
        <w:tc>
          <w:tcPr>
            <w:tcW w:w="118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351"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Form Type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File Number</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Initial Effective Date</w:t>
            </w:r>
            <w:r>
              <w:rPr/>
              <w:t xml:space="preserve"> </w:t>
            </w:r>
          </w:p>
        </w:tc>
        <w:tc>
          <w:tcPr>
            <w:tcW w:w="1321" w:type="dxa"/>
            <w:tcBorders/>
            <w:shd w:fill="9ADAF6" w:val="clear"/>
            <w:vAlign w:val="center"/>
          </w:tcPr>
          <w:p>
            <w:pPr>
              <w:pStyle w:val="TableHeading"/>
              <w:bidi w:val="0"/>
              <w:spacing w:before="0" w:after="0"/>
              <w:ind w:left="0" w:right="0" w:hanging="0"/>
              <w:jc w:val="center"/>
              <w:rPr/>
            </w:pPr>
            <w:r>
              <w:rPr>
                <w:b/>
              </w:rPr>
              <w:t>Filing Fee Previously Paid in Connection with Unsold Securities to be Carried Forward</w:t>
            </w:r>
            <w:r>
              <w:rPr/>
              <w:t xml:space="preserve"> </w:t>
            </w:r>
          </w:p>
        </w:tc>
      </w:tr>
      <w:tr>
        <w:trPr/>
        <w:tc>
          <w:tcPr>
            <w:tcW w:w="14954" w:type="dxa"/>
            <w:gridSpan w:val="14"/>
            <w:tcBorders/>
            <w:vAlign w:val="center"/>
          </w:tcPr>
          <w:p>
            <w:pPr>
              <w:pStyle w:val="TableContents"/>
              <w:bidi w:val="0"/>
              <w:spacing w:before="0" w:after="283"/>
              <w:jc w:val="center"/>
              <w:rPr/>
            </w:pPr>
            <w:r>
              <w:rPr>
                <w:b/>
              </w:rPr>
              <w:t>Newly Registered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1 </w:t>
            </w:r>
          </w:p>
        </w:tc>
        <w:tc>
          <w:tcPr>
            <w:tcW w:w="946" w:type="dxa"/>
            <w:tcBorders/>
            <w:shd w:fill="E7E7E2" w:val="clear"/>
            <w:vAlign w:val="center"/>
          </w:tcPr>
          <w:p>
            <w:pPr>
              <w:pStyle w:val="TableContents"/>
              <w:bidi w:val="0"/>
              <w:spacing w:before="0" w:after="283"/>
              <w:jc w:val="left"/>
              <w:rPr/>
            </w:pPr>
            <w:r>
              <w:rPr/>
              <w:t xml:space="preserve">Equity </w:t>
            </w:r>
          </w:p>
        </w:tc>
        <w:tc>
          <w:tcPr>
            <w:tcW w:w="1021" w:type="dxa"/>
            <w:tcBorders/>
            <w:shd w:fill="E7E7E2" w:val="clear"/>
            <w:vAlign w:val="center"/>
          </w:tcPr>
          <w:p>
            <w:pPr>
              <w:pStyle w:val="TableContents"/>
              <w:bidi w:val="0"/>
              <w:spacing w:before="0" w:after="283"/>
              <w:jc w:val="left"/>
              <w:rPr/>
            </w:pPr>
            <w:r>
              <w:rPr/>
              <w:t xml:space="preserve">Common Stock, $.001 par value per share </w:t>
            </w:r>
          </w:p>
        </w:tc>
        <w:tc>
          <w:tcPr>
            <w:tcW w:w="1276" w:type="dxa"/>
            <w:tcBorders/>
            <w:shd w:fill="E7E7E2" w:val="clear"/>
            <w:vAlign w:val="center"/>
          </w:tcPr>
          <w:p>
            <w:pPr>
              <w:pStyle w:val="TableContents"/>
              <w:bidi w:val="0"/>
              <w:spacing w:before="0" w:after="283"/>
              <w:jc w:val="center"/>
              <w:rPr/>
            </w:pPr>
            <w:r>
              <w:rPr/>
              <w:t xml:space="preserve">457(r)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2 </w:t>
            </w:r>
          </w:p>
        </w:tc>
        <w:tc>
          <w:tcPr>
            <w:tcW w:w="946" w:type="dxa"/>
            <w:tcBorders/>
            <w:shd w:fill="E7E7E2" w:val="clear"/>
            <w:vAlign w:val="center"/>
          </w:tcPr>
          <w:p>
            <w:pPr>
              <w:pStyle w:val="TableContents"/>
              <w:bidi w:val="0"/>
              <w:spacing w:before="0" w:after="283"/>
              <w:jc w:val="left"/>
              <w:rPr/>
            </w:pPr>
            <w:r>
              <w:rPr/>
              <w:t xml:space="preserve">Equity </w:t>
            </w:r>
          </w:p>
        </w:tc>
        <w:tc>
          <w:tcPr>
            <w:tcW w:w="1021" w:type="dxa"/>
            <w:tcBorders/>
            <w:shd w:fill="E7E7E2" w:val="clear"/>
            <w:vAlign w:val="center"/>
          </w:tcPr>
          <w:p>
            <w:pPr>
              <w:pStyle w:val="TableContents"/>
              <w:bidi w:val="0"/>
              <w:spacing w:before="0" w:after="283"/>
              <w:jc w:val="left"/>
              <w:rPr/>
            </w:pPr>
            <w:r>
              <w:rPr/>
              <w:t xml:space="preserve">Preferred Stock, $.001 par value per share </w:t>
            </w:r>
          </w:p>
        </w:tc>
        <w:tc>
          <w:tcPr>
            <w:tcW w:w="1276" w:type="dxa"/>
            <w:tcBorders/>
            <w:shd w:fill="E7E7E2" w:val="clear"/>
            <w:vAlign w:val="center"/>
          </w:tcPr>
          <w:p>
            <w:pPr>
              <w:pStyle w:val="TableContents"/>
              <w:bidi w:val="0"/>
              <w:spacing w:before="0" w:after="283"/>
              <w:jc w:val="center"/>
              <w:rPr/>
            </w:pPr>
            <w:r>
              <w:rPr/>
              <w:t xml:space="preserve">457(r)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3 </w:t>
            </w:r>
          </w:p>
        </w:tc>
        <w:tc>
          <w:tcPr>
            <w:tcW w:w="946" w:type="dxa"/>
            <w:tcBorders/>
            <w:shd w:fill="E7E7E2" w:val="clear"/>
            <w:vAlign w:val="center"/>
          </w:tcPr>
          <w:p>
            <w:pPr>
              <w:pStyle w:val="TableContents"/>
              <w:bidi w:val="0"/>
              <w:spacing w:before="0" w:after="283"/>
              <w:jc w:val="left"/>
              <w:rPr/>
            </w:pPr>
            <w:r>
              <w:rPr/>
              <w:t xml:space="preserve">Debt </w:t>
            </w:r>
          </w:p>
        </w:tc>
        <w:tc>
          <w:tcPr>
            <w:tcW w:w="1021" w:type="dxa"/>
            <w:tcBorders/>
            <w:shd w:fill="E7E7E2" w:val="clear"/>
            <w:vAlign w:val="center"/>
          </w:tcPr>
          <w:p>
            <w:pPr>
              <w:pStyle w:val="TableContents"/>
              <w:bidi w:val="0"/>
              <w:spacing w:before="0" w:after="283"/>
              <w:jc w:val="left"/>
              <w:rPr/>
            </w:pPr>
            <w:r>
              <w:rPr/>
              <w:t xml:space="preserve">Debt Securities </w:t>
            </w:r>
          </w:p>
        </w:tc>
        <w:tc>
          <w:tcPr>
            <w:tcW w:w="1276" w:type="dxa"/>
            <w:tcBorders/>
            <w:shd w:fill="E7E7E2" w:val="clear"/>
            <w:vAlign w:val="center"/>
          </w:tcPr>
          <w:p>
            <w:pPr>
              <w:pStyle w:val="TableContents"/>
              <w:bidi w:val="0"/>
              <w:spacing w:before="0" w:after="283"/>
              <w:jc w:val="center"/>
              <w:rPr/>
            </w:pPr>
            <w:r>
              <w:rPr/>
              <w:t xml:space="preserve">457(r)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4 </w:t>
            </w:r>
          </w:p>
        </w:tc>
        <w:tc>
          <w:tcPr>
            <w:tcW w:w="946" w:type="dxa"/>
            <w:tcBorders/>
            <w:shd w:fill="E7E7E2" w:val="clear"/>
            <w:vAlign w:val="center"/>
          </w:tcPr>
          <w:p>
            <w:pPr>
              <w:pStyle w:val="TableContents"/>
              <w:bidi w:val="0"/>
              <w:spacing w:before="0" w:after="283"/>
              <w:jc w:val="left"/>
              <w:rPr/>
            </w:pPr>
            <w:r>
              <w:rPr/>
              <w:t xml:space="preserve">Other </w:t>
            </w:r>
          </w:p>
        </w:tc>
        <w:tc>
          <w:tcPr>
            <w:tcW w:w="1021" w:type="dxa"/>
            <w:tcBorders/>
            <w:shd w:fill="E7E7E2" w:val="clear"/>
            <w:vAlign w:val="center"/>
          </w:tcPr>
          <w:p>
            <w:pPr>
              <w:pStyle w:val="TableContents"/>
              <w:bidi w:val="0"/>
              <w:spacing w:before="0" w:after="283"/>
              <w:jc w:val="left"/>
              <w:rPr/>
            </w:pPr>
            <w:r>
              <w:rPr/>
              <w:t xml:space="preserve">Warrants </w:t>
            </w:r>
          </w:p>
        </w:tc>
        <w:tc>
          <w:tcPr>
            <w:tcW w:w="1276" w:type="dxa"/>
            <w:tcBorders/>
            <w:shd w:fill="E7E7E2" w:val="clear"/>
            <w:vAlign w:val="center"/>
          </w:tcPr>
          <w:p>
            <w:pPr>
              <w:pStyle w:val="TableContents"/>
              <w:bidi w:val="0"/>
              <w:spacing w:before="0" w:after="283"/>
              <w:jc w:val="center"/>
              <w:rPr/>
            </w:pPr>
            <w:r>
              <w:rPr/>
              <w:t xml:space="preserve">457(r)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5 </w:t>
            </w:r>
          </w:p>
        </w:tc>
        <w:tc>
          <w:tcPr>
            <w:tcW w:w="946" w:type="dxa"/>
            <w:tcBorders/>
            <w:shd w:fill="E7E7E2" w:val="clear"/>
            <w:vAlign w:val="center"/>
          </w:tcPr>
          <w:p>
            <w:pPr>
              <w:pStyle w:val="TableContents"/>
              <w:bidi w:val="0"/>
              <w:spacing w:before="0" w:after="283"/>
              <w:jc w:val="left"/>
              <w:rPr/>
            </w:pPr>
            <w:r>
              <w:rPr/>
              <w:t xml:space="preserve">Other </w:t>
            </w:r>
          </w:p>
        </w:tc>
        <w:tc>
          <w:tcPr>
            <w:tcW w:w="1021" w:type="dxa"/>
            <w:tcBorders/>
            <w:shd w:fill="E7E7E2" w:val="clear"/>
            <w:vAlign w:val="center"/>
          </w:tcPr>
          <w:p>
            <w:pPr>
              <w:pStyle w:val="TableContents"/>
              <w:bidi w:val="0"/>
              <w:spacing w:before="0" w:after="283"/>
              <w:jc w:val="left"/>
              <w:rPr/>
            </w:pPr>
            <w:r>
              <w:rPr/>
              <w:t xml:space="preserve">Units </w:t>
            </w:r>
          </w:p>
        </w:tc>
        <w:tc>
          <w:tcPr>
            <w:tcW w:w="1276" w:type="dxa"/>
            <w:tcBorders/>
            <w:shd w:fill="E7E7E2" w:val="clear"/>
            <w:vAlign w:val="center"/>
          </w:tcPr>
          <w:p>
            <w:pPr>
              <w:pStyle w:val="TableContents"/>
              <w:bidi w:val="0"/>
              <w:spacing w:before="0" w:after="283"/>
              <w:jc w:val="center"/>
              <w:rPr/>
            </w:pPr>
            <w:r>
              <w:rPr/>
              <w:t xml:space="preserve">457(r)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Previously Paid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4954" w:type="dxa"/>
            <w:gridSpan w:val="14"/>
            <w:tcBorders/>
            <w:vAlign w:val="center"/>
          </w:tcPr>
          <w:p>
            <w:pPr>
              <w:pStyle w:val="TableContents"/>
              <w:bidi w:val="0"/>
              <w:spacing w:before="0" w:after="283"/>
              <w:jc w:val="center"/>
              <w:rPr/>
            </w:pPr>
            <w:r>
              <w:rPr>
                <w:b/>
              </w:rPr>
              <w:t>Carry Forward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83" w:type="dxa"/>
            <w:gridSpan w:val="3"/>
            <w:tcBorders/>
            <w:vAlign w:val="center"/>
          </w:tcPr>
          <w:p>
            <w:pPr>
              <w:pStyle w:val="TableContents"/>
              <w:bidi w:val="0"/>
              <w:spacing w:before="0" w:after="0"/>
              <w:ind w:left="0" w:right="0" w:hanging="0"/>
              <w:jc w:val="right"/>
              <w:rPr/>
            </w:pPr>
            <w:r>
              <w:rPr/>
              <w:t>Total Offering Amounts:</w:t>
            </w:r>
          </w:p>
        </w:tc>
        <w:tc>
          <w:tcPr>
            <w:tcW w:w="115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0"/>
              <w:ind w:left="0" w:right="0" w:hanging="0"/>
              <w:jc w:val="right"/>
              <w:rPr/>
            </w:pPr>
            <w:bookmarkStart w:id="31" w:name="MaxAggtOfferingPrice"/>
            <w:bookmarkEnd w:id="31"/>
            <w:r>
              <w:rPr/>
              <w:t xml:space="preserve">$ 0.00 </w:t>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32" w:name="TotalFeeAmt"/>
            <w:bookmarkEnd w:id="32"/>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83" w:type="dxa"/>
            <w:gridSpan w:val="3"/>
            <w:tcBorders/>
            <w:vAlign w:val="center"/>
          </w:tcPr>
          <w:p>
            <w:pPr>
              <w:pStyle w:val="TableContents"/>
              <w:bidi w:val="0"/>
              <w:spacing w:before="0" w:after="0"/>
              <w:ind w:left="0" w:right="0" w:hanging="0"/>
              <w:jc w:val="right"/>
              <w:rPr/>
            </w:pPr>
            <w:r>
              <w:rPr/>
              <w:t xml:space="preserve">Total Fees Previously Paid: </w:t>
            </w:r>
          </w:p>
        </w:tc>
        <w:tc>
          <w:tcPr>
            <w:tcW w:w="115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33" w:name="TotalPreviouslyPaidAmt"/>
            <w:bookmarkEnd w:id="33"/>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83" w:type="dxa"/>
            <w:gridSpan w:val="3"/>
            <w:tcBorders/>
            <w:vAlign w:val="center"/>
          </w:tcPr>
          <w:p>
            <w:pPr>
              <w:pStyle w:val="TableContents"/>
              <w:bidi w:val="0"/>
              <w:spacing w:before="0" w:after="0"/>
              <w:ind w:left="0" w:right="0" w:hanging="0"/>
              <w:jc w:val="right"/>
              <w:rPr/>
            </w:pPr>
            <w:r>
              <w:rPr/>
              <w:t xml:space="preserve">Total Fee Offsets: </w:t>
            </w:r>
          </w:p>
        </w:tc>
        <w:tc>
          <w:tcPr>
            <w:tcW w:w="115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34" w:name="TotalOffsetAmt"/>
            <w:bookmarkEnd w:id="34"/>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83" w:type="dxa"/>
            <w:gridSpan w:val="3"/>
            <w:tcBorders/>
            <w:vAlign w:val="center"/>
          </w:tcPr>
          <w:p>
            <w:pPr>
              <w:pStyle w:val="TableContents"/>
              <w:bidi w:val="0"/>
              <w:spacing w:before="0" w:after="0"/>
              <w:ind w:left="0" w:right="0" w:hanging="0"/>
              <w:jc w:val="right"/>
              <w:rPr/>
            </w:pPr>
            <w:r>
              <w:rPr/>
              <w:t xml:space="preserve">Net Fee Due: </w:t>
            </w:r>
          </w:p>
        </w:tc>
        <w:tc>
          <w:tcPr>
            <w:tcW w:w="115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35" w:name="NetFeeAmt"/>
            <w:bookmarkEnd w:id="35"/>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0"/>
        <w:gridCol w:w="1294"/>
        <w:gridCol w:w="8711"/>
      </w:tblGrid>
      <w:tr>
        <w:trPr/>
        <w:tc>
          <w:tcPr>
            <w:tcW w:w="200"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5" w:type="dxa"/>
            <w:gridSpan w:val="2"/>
            <w:tcBorders/>
            <w:vAlign w:val="center"/>
          </w:tcPr>
          <w:p>
            <w:pPr>
              <w:pStyle w:val="TableContents"/>
              <w:bidi w:val="0"/>
              <w:spacing w:before="0" w:after="283"/>
              <w:jc w:val="left"/>
              <w:rPr/>
            </w:pPr>
            <w:r>
              <w:rPr/>
              <w:t xml:space="preserve">An indeterminate aggregate initial offering price or principal amount or number of the securities of each identified class is being registered under this Registration Statement on Form S-3 (this "Registration Statement") as may from time to time be sold at indeterminate prices or issued upon conversion, exchange, or exercise of securities registered hereunder to the extent any such securities are, by their terms, convertible into, or exchangeable or exercisable for, such securities. In addition, pursuant to Rule 416 of the Securities Act of 1933, as amended (the "Securities Act"), this Registration Statement also covers such indeterminable number of additional securities as may become issuable as a result of stock splits, stock dividends, or similar transactions. In accordance with Rule 456(b) and Rule 457(r) under the Securities Act, the registrant is deferring payment of the registration fee required in connection with this Registration Statement and will pay any applicable registration fees on a "pay as you go" basis. The registrant will calculate the registration fee applicable to an offer of securities pursuant to this Registration Statement based on the fee payment rate in effect on the date of such fee payment. </w:t>
            </w:r>
          </w:p>
        </w:tc>
      </w:tr>
      <w:tr>
        <w:trPr/>
        <w:tc>
          <w:tcPr>
            <w:tcW w:w="1494" w:type="dxa"/>
            <w:gridSpan w:val="2"/>
            <w:tcBorders/>
            <w:vAlign w:val="center"/>
          </w:tcPr>
          <w:p>
            <w:pPr>
              <w:pStyle w:val="HorizontalLine"/>
              <w:pBdr>
                <w:bottom w:val="double" w:sz="2" w:space="0" w:color="808080"/>
              </w:pBdr>
              <w:bidi w:val="0"/>
              <w:spacing w:before="0" w:after="283"/>
              <w:jc w:val="left"/>
              <w:rPr/>
            </w:pPr>
            <w:r>
              <w:rPr/>
            </w:r>
          </w:p>
        </w:tc>
        <w:tc>
          <w:tcPr>
            <w:tcW w:w="8711" w:type="dxa"/>
            <w:tcBorders/>
          </w:tcPr>
          <w:p>
            <w:pPr>
              <w:pStyle w:val="TableContents"/>
              <w:bidi w:val="0"/>
              <w:spacing w:before="0" w:after="283"/>
              <w:jc w:val="left"/>
              <w:rPr>
                <w:sz w:val="4"/>
                <w:szCs w:val="4"/>
              </w:rPr>
            </w:pPr>
            <w:r>
              <w:rPr>
                <w:sz w:val="4"/>
                <w:szCs w:val="4"/>
              </w:rPr>
            </w:r>
          </w:p>
        </w:tc>
      </w:tr>
      <w:tr>
        <w:trPr/>
        <w:tc>
          <w:tcPr>
            <w:tcW w:w="200" w:type="dxa"/>
            <w:tcBorders/>
            <w:vAlign w:val="center"/>
          </w:tcPr>
          <w:p>
            <w:pPr>
              <w:pStyle w:val="TableContents"/>
              <w:bidi w:val="0"/>
              <w:spacing w:lineRule="auto" w:line="288" w:before="0" w:after="0"/>
              <w:ind w:left="0" w:right="0" w:hanging="0"/>
              <w:jc w:val="left"/>
              <w:rPr/>
            </w:pPr>
            <w:r>
              <w:rPr>
                <w:sz w:val="15"/>
              </w:rPr>
              <w:t>2</w:t>
            </w:r>
            <w:r>
              <w:rPr/>
              <w:t xml:space="preserve"> </w:t>
            </w:r>
          </w:p>
        </w:tc>
        <w:tc>
          <w:tcPr>
            <w:tcW w:w="10005" w:type="dxa"/>
            <w:gridSpan w:val="2"/>
            <w:tcBorders/>
            <w:vAlign w:val="center"/>
          </w:tcPr>
          <w:p>
            <w:pPr>
              <w:pStyle w:val="TableContents"/>
              <w:bidi w:val="0"/>
              <w:spacing w:before="0" w:after="283"/>
              <w:jc w:val="left"/>
              <w:rPr/>
            </w:pPr>
            <w:r>
              <w:rPr/>
              <w:t xml:space="preserve">See Offering Note 1. </w:t>
            </w:r>
          </w:p>
        </w:tc>
      </w:tr>
      <w:tr>
        <w:trPr/>
        <w:tc>
          <w:tcPr>
            <w:tcW w:w="1494" w:type="dxa"/>
            <w:gridSpan w:val="2"/>
            <w:tcBorders/>
            <w:vAlign w:val="center"/>
          </w:tcPr>
          <w:p>
            <w:pPr>
              <w:pStyle w:val="HorizontalLine"/>
              <w:pBdr>
                <w:bottom w:val="double" w:sz="2" w:space="0" w:color="808080"/>
              </w:pBdr>
              <w:bidi w:val="0"/>
              <w:spacing w:before="0" w:after="283"/>
              <w:jc w:val="left"/>
              <w:rPr/>
            </w:pPr>
            <w:r>
              <w:rPr/>
            </w:r>
          </w:p>
        </w:tc>
        <w:tc>
          <w:tcPr>
            <w:tcW w:w="8711" w:type="dxa"/>
            <w:tcBorders/>
          </w:tcPr>
          <w:p>
            <w:pPr>
              <w:pStyle w:val="TableContents"/>
              <w:bidi w:val="0"/>
              <w:spacing w:before="0" w:after="283"/>
              <w:jc w:val="left"/>
              <w:rPr>
                <w:sz w:val="4"/>
                <w:szCs w:val="4"/>
              </w:rPr>
            </w:pPr>
            <w:r>
              <w:rPr>
                <w:sz w:val="4"/>
                <w:szCs w:val="4"/>
              </w:rPr>
            </w:r>
          </w:p>
        </w:tc>
      </w:tr>
      <w:tr>
        <w:trPr/>
        <w:tc>
          <w:tcPr>
            <w:tcW w:w="200" w:type="dxa"/>
            <w:tcBorders/>
            <w:vAlign w:val="center"/>
          </w:tcPr>
          <w:p>
            <w:pPr>
              <w:pStyle w:val="TableContents"/>
              <w:bidi w:val="0"/>
              <w:spacing w:lineRule="auto" w:line="288" w:before="0" w:after="0"/>
              <w:ind w:left="0" w:right="0" w:hanging="0"/>
              <w:jc w:val="left"/>
              <w:rPr/>
            </w:pPr>
            <w:r>
              <w:rPr>
                <w:sz w:val="15"/>
              </w:rPr>
              <w:t>3</w:t>
            </w:r>
            <w:r>
              <w:rPr/>
              <w:t xml:space="preserve"> </w:t>
            </w:r>
          </w:p>
        </w:tc>
        <w:tc>
          <w:tcPr>
            <w:tcW w:w="10005" w:type="dxa"/>
            <w:gridSpan w:val="2"/>
            <w:tcBorders/>
            <w:vAlign w:val="center"/>
          </w:tcPr>
          <w:p>
            <w:pPr>
              <w:pStyle w:val="TableContents"/>
              <w:bidi w:val="0"/>
              <w:spacing w:before="0" w:after="283"/>
              <w:jc w:val="left"/>
              <w:rPr/>
            </w:pPr>
            <w:r>
              <w:rPr/>
              <w:t xml:space="preserve">See Offering Note 1. </w:t>
            </w:r>
          </w:p>
        </w:tc>
      </w:tr>
      <w:tr>
        <w:trPr/>
        <w:tc>
          <w:tcPr>
            <w:tcW w:w="1494" w:type="dxa"/>
            <w:gridSpan w:val="2"/>
            <w:tcBorders/>
            <w:vAlign w:val="center"/>
          </w:tcPr>
          <w:p>
            <w:pPr>
              <w:pStyle w:val="HorizontalLine"/>
              <w:pBdr>
                <w:bottom w:val="double" w:sz="2" w:space="0" w:color="808080"/>
              </w:pBdr>
              <w:bidi w:val="0"/>
              <w:spacing w:before="0" w:after="283"/>
              <w:jc w:val="left"/>
              <w:rPr/>
            </w:pPr>
            <w:r>
              <w:rPr/>
            </w:r>
          </w:p>
        </w:tc>
        <w:tc>
          <w:tcPr>
            <w:tcW w:w="8711" w:type="dxa"/>
            <w:tcBorders/>
          </w:tcPr>
          <w:p>
            <w:pPr>
              <w:pStyle w:val="TableContents"/>
              <w:bidi w:val="0"/>
              <w:spacing w:before="0" w:after="283"/>
              <w:jc w:val="left"/>
              <w:rPr>
                <w:sz w:val="4"/>
                <w:szCs w:val="4"/>
              </w:rPr>
            </w:pPr>
            <w:r>
              <w:rPr>
                <w:sz w:val="4"/>
                <w:szCs w:val="4"/>
              </w:rPr>
            </w:r>
          </w:p>
        </w:tc>
      </w:tr>
      <w:tr>
        <w:trPr/>
        <w:tc>
          <w:tcPr>
            <w:tcW w:w="200" w:type="dxa"/>
            <w:tcBorders/>
            <w:vAlign w:val="center"/>
          </w:tcPr>
          <w:p>
            <w:pPr>
              <w:pStyle w:val="TableContents"/>
              <w:bidi w:val="0"/>
              <w:spacing w:lineRule="auto" w:line="288" w:before="0" w:after="0"/>
              <w:ind w:left="0" w:right="0" w:hanging="0"/>
              <w:jc w:val="left"/>
              <w:rPr/>
            </w:pPr>
            <w:r>
              <w:rPr>
                <w:sz w:val="15"/>
              </w:rPr>
              <w:t>4</w:t>
            </w:r>
            <w:r>
              <w:rPr/>
              <w:t xml:space="preserve"> </w:t>
            </w:r>
          </w:p>
        </w:tc>
        <w:tc>
          <w:tcPr>
            <w:tcW w:w="10005" w:type="dxa"/>
            <w:gridSpan w:val="2"/>
            <w:tcBorders/>
            <w:vAlign w:val="center"/>
          </w:tcPr>
          <w:p>
            <w:pPr>
              <w:pStyle w:val="TableContents"/>
              <w:bidi w:val="0"/>
              <w:spacing w:before="0" w:after="283"/>
              <w:jc w:val="left"/>
              <w:rPr/>
            </w:pPr>
            <w:r>
              <w:rPr/>
              <w:t xml:space="preserve">See Offering Note 1. </w:t>
            </w:r>
          </w:p>
        </w:tc>
      </w:tr>
      <w:tr>
        <w:trPr/>
        <w:tc>
          <w:tcPr>
            <w:tcW w:w="1494" w:type="dxa"/>
            <w:gridSpan w:val="2"/>
            <w:tcBorders/>
            <w:vAlign w:val="center"/>
          </w:tcPr>
          <w:p>
            <w:pPr>
              <w:pStyle w:val="HorizontalLine"/>
              <w:pBdr>
                <w:bottom w:val="double" w:sz="2" w:space="0" w:color="808080"/>
              </w:pBdr>
              <w:bidi w:val="0"/>
              <w:spacing w:before="0" w:after="283"/>
              <w:jc w:val="left"/>
              <w:rPr/>
            </w:pPr>
            <w:r>
              <w:rPr/>
            </w:r>
          </w:p>
        </w:tc>
        <w:tc>
          <w:tcPr>
            <w:tcW w:w="8711" w:type="dxa"/>
            <w:tcBorders/>
          </w:tcPr>
          <w:p>
            <w:pPr>
              <w:pStyle w:val="TableContents"/>
              <w:bidi w:val="0"/>
              <w:spacing w:before="0" w:after="283"/>
              <w:jc w:val="left"/>
              <w:rPr>
                <w:sz w:val="4"/>
                <w:szCs w:val="4"/>
              </w:rPr>
            </w:pPr>
            <w:r>
              <w:rPr>
                <w:sz w:val="4"/>
                <w:szCs w:val="4"/>
              </w:rPr>
            </w:r>
          </w:p>
        </w:tc>
      </w:tr>
      <w:tr>
        <w:trPr/>
        <w:tc>
          <w:tcPr>
            <w:tcW w:w="200" w:type="dxa"/>
            <w:tcBorders/>
            <w:vAlign w:val="center"/>
          </w:tcPr>
          <w:p>
            <w:pPr>
              <w:pStyle w:val="TableContents"/>
              <w:bidi w:val="0"/>
              <w:spacing w:lineRule="auto" w:line="288" w:before="0" w:after="0"/>
              <w:ind w:left="0" w:right="0" w:hanging="0"/>
              <w:jc w:val="left"/>
              <w:rPr/>
            </w:pPr>
            <w:r>
              <w:rPr>
                <w:sz w:val="15"/>
              </w:rPr>
              <w:t>5</w:t>
            </w:r>
            <w:r>
              <w:rPr/>
              <w:t xml:space="preserve"> </w:t>
            </w:r>
          </w:p>
        </w:tc>
        <w:tc>
          <w:tcPr>
            <w:tcW w:w="10005" w:type="dxa"/>
            <w:gridSpan w:val="2"/>
            <w:tcBorders/>
            <w:vAlign w:val="center"/>
          </w:tcPr>
          <w:p>
            <w:pPr>
              <w:pStyle w:val="TableContents"/>
              <w:bidi w:val="0"/>
              <w:spacing w:before="0" w:after="283"/>
              <w:jc w:val="left"/>
              <w:rPr/>
            </w:pPr>
            <w:r>
              <w:rPr/>
              <w:t xml:space="preserve">See Offering Note 1. </w:t>
            </w:r>
          </w:p>
        </w:tc>
      </w:tr>
      <w:tr>
        <w:trPr/>
        <w:tc>
          <w:tcPr>
            <w:tcW w:w="1494" w:type="dxa"/>
            <w:gridSpan w:val="2"/>
            <w:tcBorders/>
            <w:vAlign w:val="center"/>
          </w:tcPr>
          <w:p>
            <w:pPr>
              <w:pStyle w:val="HorizontalLine"/>
              <w:pBdr>
                <w:bottom w:val="double" w:sz="2" w:space="0" w:color="808080"/>
              </w:pBdr>
              <w:bidi w:val="0"/>
              <w:spacing w:before="0" w:after="283"/>
              <w:jc w:val="left"/>
              <w:rPr/>
            </w:pPr>
            <w:r>
              <w:rPr/>
            </w:r>
          </w:p>
        </w:tc>
        <w:tc>
          <w:tcPr>
            <w:tcW w:w="8711"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Rules 457(b) and 0-11(a)(2)</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tbl>
      <w:tblPr>
        <w:tblW w:w="5462" w:type="dxa"/>
        <w:jc w:val="left"/>
        <w:tblInd w:w="0" w:type="dxa"/>
        <w:tblLayout w:type="fixed"/>
        <w:tblCellMar>
          <w:top w:w="28" w:type="dxa"/>
          <w:left w:w="28" w:type="dxa"/>
          <w:bottom w:w="28" w:type="dxa"/>
          <w:right w:w="28" w:type="dxa"/>
        </w:tblCellMar>
      </w:tblPr>
      <w:tblGrid>
        <w:gridCol w:w="3511"/>
        <w:gridCol w:w="1951"/>
      </w:tblGrid>
      <w:tr>
        <w:trPr/>
        <w:tc>
          <w:tcPr>
            <w:tcW w:w="3511" w:type="dxa"/>
            <w:tcBorders/>
            <w:vAlign w:val="center"/>
          </w:tcPr>
          <w:p>
            <w:pPr>
              <w:pStyle w:val="TableHeading"/>
              <w:bidi w:val="0"/>
              <w:spacing w:before="0" w:after="283"/>
              <w:jc w:val="left"/>
              <w:rPr/>
            </w:pPr>
            <w:r>
              <w:rPr>
                <w:b/>
              </w:rPr>
              <w:t>Table 3: Combined Prospectuses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0205" w:type="dxa"/>
        <w:jc w:val="left"/>
        <w:tblInd w:w="0" w:type="dxa"/>
        <w:tblLayout w:type="fixed"/>
        <w:tblCellMar>
          <w:top w:w="28" w:type="dxa"/>
          <w:left w:w="28" w:type="dxa"/>
          <w:bottom w:w="28" w:type="dxa"/>
          <w:right w:w="28" w:type="dxa"/>
        </w:tblCellMar>
      </w:tblPr>
      <w:tblGrid>
        <w:gridCol w:w="124"/>
        <w:gridCol w:w="1092"/>
        <w:gridCol w:w="1215"/>
        <w:gridCol w:w="1954"/>
        <w:gridCol w:w="2597"/>
        <w:gridCol w:w="822"/>
        <w:gridCol w:w="1073"/>
        <w:gridCol w:w="1328"/>
      </w:tblGrid>
      <w:tr>
        <w:trPr/>
        <w:tc>
          <w:tcPr>
            <w:tcW w:w="124" w:type="dxa"/>
            <w:tcBorders/>
            <w:shd w:fill="9ADAF6" w:val="clear"/>
            <w:vAlign w:val="center"/>
          </w:tcPr>
          <w:p>
            <w:pPr>
              <w:pStyle w:val="TableHeading"/>
              <w:bidi w:val="0"/>
              <w:spacing w:before="0" w:after="283"/>
              <w:rPr>
                <w:sz w:val="4"/>
                <w:szCs w:val="4"/>
              </w:rPr>
            </w:pPr>
            <w:r>
              <w:rPr>
                <w:sz w:val="4"/>
                <w:szCs w:val="4"/>
              </w:rPr>
            </w:r>
          </w:p>
        </w:tc>
        <w:tc>
          <w:tcPr>
            <w:tcW w:w="1092"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215" w:type="dxa"/>
            <w:tcBorders/>
            <w:shd w:fill="9ADAF6" w:val="clear"/>
            <w:vAlign w:val="center"/>
          </w:tcPr>
          <w:p>
            <w:pPr>
              <w:pStyle w:val="TableHeading"/>
              <w:bidi w:val="0"/>
              <w:spacing w:before="0" w:after="0"/>
              <w:ind w:left="0" w:right="0" w:hanging="0"/>
              <w:jc w:val="center"/>
              <w:rPr/>
            </w:pPr>
            <w:r>
              <w:rPr>
                <w:b/>
              </w:rPr>
              <w:t>Security Class Title</w:t>
            </w:r>
            <w:r>
              <w:rPr/>
              <w:t xml:space="preserve"> </w:t>
            </w:r>
          </w:p>
        </w:tc>
        <w:tc>
          <w:tcPr>
            <w:tcW w:w="1954" w:type="dxa"/>
            <w:tcBorders/>
            <w:shd w:fill="9ADAF6" w:val="clear"/>
            <w:vAlign w:val="center"/>
          </w:tcPr>
          <w:p>
            <w:pPr>
              <w:pStyle w:val="TableHeading"/>
              <w:bidi w:val="0"/>
              <w:spacing w:before="0" w:after="0"/>
              <w:ind w:left="0" w:right="0" w:hanging="0"/>
              <w:jc w:val="center"/>
              <w:rPr/>
            </w:pPr>
            <w:r>
              <w:rPr>
                <w:b/>
              </w:rPr>
              <w:t>Amount of Securities Previously Registered</w:t>
            </w:r>
            <w:r>
              <w:rPr/>
              <w:t xml:space="preserve"> </w:t>
            </w:r>
          </w:p>
        </w:tc>
        <w:tc>
          <w:tcPr>
            <w:tcW w:w="2597" w:type="dxa"/>
            <w:tcBorders/>
            <w:shd w:fill="9ADAF6" w:val="clear"/>
            <w:vAlign w:val="center"/>
          </w:tcPr>
          <w:p>
            <w:pPr>
              <w:pStyle w:val="TableHeading"/>
              <w:bidi w:val="0"/>
              <w:spacing w:before="0" w:after="0"/>
              <w:ind w:left="0" w:right="0" w:hanging="0"/>
              <w:jc w:val="center"/>
              <w:rPr/>
            </w:pPr>
            <w:r>
              <w:rPr>
                <w:b/>
              </w:rPr>
              <w:t>Maximum Aggregate Offering Price of Securities Previously Registered</w:t>
            </w:r>
            <w:r>
              <w:rPr/>
              <w:t xml:space="preserve"> </w:t>
            </w:r>
          </w:p>
        </w:tc>
        <w:tc>
          <w:tcPr>
            <w:tcW w:w="822" w:type="dxa"/>
            <w:tcBorders/>
            <w:shd w:fill="9ADAF6" w:val="clear"/>
            <w:vAlign w:val="center"/>
          </w:tcPr>
          <w:p>
            <w:pPr>
              <w:pStyle w:val="TableHeading"/>
              <w:bidi w:val="0"/>
              <w:spacing w:before="0" w:after="0"/>
              <w:ind w:left="0" w:right="0" w:hanging="0"/>
              <w:jc w:val="center"/>
              <w:rPr/>
            </w:pPr>
            <w:r>
              <w:rPr>
                <w:b/>
              </w:rPr>
              <w:t>Form Type</w:t>
            </w:r>
            <w:r>
              <w:rPr/>
              <w:t xml:space="preserve"> </w:t>
            </w:r>
          </w:p>
        </w:tc>
        <w:tc>
          <w:tcPr>
            <w:tcW w:w="1073" w:type="dxa"/>
            <w:tcBorders/>
            <w:shd w:fill="9ADAF6" w:val="clear"/>
            <w:vAlign w:val="center"/>
          </w:tcPr>
          <w:p>
            <w:pPr>
              <w:pStyle w:val="TableHeading"/>
              <w:bidi w:val="0"/>
              <w:spacing w:before="0" w:after="0"/>
              <w:ind w:left="0" w:right="0" w:hanging="0"/>
              <w:jc w:val="center"/>
              <w:rPr/>
            </w:pPr>
            <w:r>
              <w:rPr>
                <w:b/>
              </w:rPr>
              <w:t>File Number</w:t>
            </w:r>
            <w:r>
              <w:rPr/>
              <w:t xml:space="preserve"> </w:t>
            </w:r>
          </w:p>
        </w:tc>
        <w:tc>
          <w:tcPr>
            <w:tcW w:w="1328" w:type="dxa"/>
            <w:tcBorders/>
            <w:shd w:fill="9ADAF6" w:val="clear"/>
            <w:vAlign w:val="center"/>
          </w:tcPr>
          <w:p>
            <w:pPr>
              <w:pStyle w:val="TableHeading"/>
              <w:bidi w:val="0"/>
              <w:spacing w:before="0" w:after="0"/>
              <w:ind w:left="0" w:right="0" w:hanging="0"/>
              <w:jc w:val="center"/>
              <w:rPr/>
            </w:pPr>
            <w:r>
              <w:rPr>
                <w:b/>
              </w:rPr>
              <w:t>Initial Effective Date</w:t>
            </w:r>
            <w:r>
              <w:rPr/>
              <w:t xml:space="preserve"> </w:t>
            </w:r>
          </w:p>
        </w:tc>
      </w:tr>
      <w:tr>
        <w:trPr/>
        <w:tc>
          <w:tcPr>
            <w:tcW w:w="124" w:type="dxa"/>
            <w:tcBorders/>
            <w:shd w:fill="E7E7E2" w:val="clear"/>
            <w:vAlign w:val="center"/>
          </w:tcPr>
          <w:p>
            <w:pPr>
              <w:pStyle w:val="TableContents"/>
              <w:bidi w:val="0"/>
              <w:spacing w:before="0" w:after="283"/>
              <w:jc w:val="left"/>
              <w:rPr>
                <w:sz w:val="4"/>
                <w:szCs w:val="4"/>
              </w:rPr>
            </w:pPr>
            <w:r>
              <w:rPr>
                <w:sz w:val="4"/>
                <w:szCs w:val="4"/>
              </w:rPr>
            </w:r>
          </w:p>
        </w:tc>
        <w:tc>
          <w:tcPr>
            <w:tcW w:w="1092" w:type="dxa"/>
            <w:tcBorders/>
            <w:shd w:fill="E7E7E2" w:val="clear"/>
            <w:vAlign w:val="center"/>
          </w:tcPr>
          <w:p>
            <w:pPr>
              <w:pStyle w:val="TableContents"/>
              <w:bidi w:val="0"/>
              <w:spacing w:before="0" w:after="283"/>
              <w:jc w:val="left"/>
              <w:rPr>
                <w:sz w:val="4"/>
                <w:szCs w:val="4"/>
              </w:rPr>
            </w:pPr>
            <w:r>
              <w:rPr>
                <w:sz w:val="4"/>
                <w:szCs w:val="4"/>
              </w:rPr>
            </w:r>
          </w:p>
        </w:tc>
        <w:tc>
          <w:tcPr>
            <w:tcW w:w="1215" w:type="dxa"/>
            <w:tcBorders/>
            <w:shd w:fill="E7E7E2" w:val="clear"/>
            <w:vAlign w:val="center"/>
          </w:tcPr>
          <w:p>
            <w:pPr>
              <w:pStyle w:val="TableContents"/>
              <w:bidi w:val="0"/>
              <w:spacing w:before="0" w:after="283"/>
              <w:jc w:val="left"/>
              <w:rPr>
                <w:sz w:val="4"/>
                <w:szCs w:val="4"/>
              </w:rPr>
            </w:pPr>
            <w:r>
              <w:rPr>
                <w:sz w:val="4"/>
                <w:szCs w:val="4"/>
              </w:rPr>
            </w:r>
          </w:p>
        </w:tc>
        <w:tc>
          <w:tcPr>
            <w:tcW w:w="1954" w:type="dxa"/>
            <w:tcBorders/>
            <w:shd w:fill="E7E7E2" w:val="clear"/>
            <w:vAlign w:val="center"/>
          </w:tcPr>
          <w:p>
            <w:pPr>
              <w:pStyle w:val="TableContents"/>
              <w:bidi w:val="0"/>
              <w:spacing w:before="0" w:after="283"/>
              <w:jc w:val="left"/>
              <w:rPr>
                <w:sz w:val="4"/>
                <w:szCs w:val="4"/>
              </w:rPr>
            </w:pPr>
            <w:r>
              <w:rPr>
                <w:sz w:val="4"/>
                <w:szCs w:val="4"/>
              </w:rPr>
            </w:r>
          </w:p>
        </w:tc>
        <w:tc>
          <w:tcPr>
            <w:tcW w:w="2597" w:type="dxa"/>
            <w:tcBorders/>
            <w:shd w:fill="E7E7E2" w:val="clear"/>
            <w:vAlign w:val="center"/>
          </w:tcPr>
          <w:p>
            <w:pPr>
              <w:pStyle w:val="TableContents"/>
              <w:bidi w:val="0"/>
              <w:spacing w:before="0" w:after="283"/>
              <w:jc w:val="left"/>
              <w:rPr>
                <w:sz w:val="4"/>
                <w:szCs w:val="4"/>
              </w:rPr>
            </w:pPr>
            <w:r>
              <w:rPr>
                <w:sz w:val="4"/>
                <w:szCs w:val="4"/>
              </w:rPr>
            </w:r>
          </w:p>
        </w:tc>
        <w:tc>
          <w:tcPr>
            <w:tcW w:w="822" w:type="dxa"/>
            <w:tcBorders/>
            <w:shd w:fill="E7E7E2" w:val="clear"/>
            <w:vAlign w:val="center"/>
          </w:tcPr>
          <w:p>
            <w:pPr>
              <w:pStyle w:val="TableContents"/>
              <w:bidi w:val="0"/>
              <w:spacing w:before="0" w:after="283"/>
              <w:jc w:val="left"/>
              <w:rPr>
                <w:sz w:val="4"/>
                <w:szCs w:val="4"/>
              </w:rPr>
            </w:pPr>
            <w:r>
              <w:rPr>
                <w:sz w:val="4"/>
                <w:szCs w:val="4"/>
              </w:rPr>
            </w:r>
          </w:p>
        </w:tc>
        <w:tc>
          <w:tcPr>
            <w:tcW w:w="1073" w:type="dxa"/>
            <w:tcBorders/>
            <w:shd w:fill="E7E7E2" w:val="clear"/>
            <w:vAlign w:val="center"/>
          </w:tcPr>
          <w:p>
            <w:pPr>
              <w:pStyle w:val="TableContents"/>
              <w:bidi w:val="0"/>
              <w:spacing w:before="0" w:after="283"/>
              <w:jc w:val="left"/>
              <w:rPr>
                <w:sz w:val="4"/>
                <w:szCs w:val="4"/>
              </w:rPr>
            </w:pPr>
            <w:r>
              <w:rPr>
                <w:sz w:val="4"/>
                <w:szCs w:val="4"/>
              </w:rPr>
            </w:r>
          </w:p>
        </w:tc>
        <w:tc>
          <w:tcPr>
            <w:tcW w:w="1328" w:type="dxa"/>
            <w:tcBorders/>
            <w:shd w:fill="E7E7E2" w:val="cle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calibri">
    <w:altName w:val="arial"/>
    <w:charset w:val="01"/>
    <w:family w:val="auto"/>
    <w:pitch w:val="default"/>
  </w:font>
  <w:font w:name="Times New Roman">
    <w:altName w:val="Times"/>
    <w:charset w:val="01"/>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ix?doc=/Archives/edgar/data/1737953/000162828026045886/repl-20260331.htm" TargetMode="External"/><Relationship Id="rId4" Type="http://schemas.openxmlformats.org/officeDocument/2006/relationships/hyperlink" Target="https://www.sec.gov/ix?doc=/Archives/edgar/data/1737953/000162828026045886/repl-20260331.htm" TargetMode="External"/><Relationship Id="rId5" Type="http://schemas.openxmlformats.org/officeDocument/2006/relationships/hyperlink" Target="https://www.sec.gov/ix?doc=/Archives/edgar/data/1737953/000162828026045886/repl-20260331.htm" TargetMode="External"/><Relationship Id="rId6" Type="http://schemas.openxmlformats.org/officeDocument/2006/relationships/hyperlink" Target="https://www.sec.gov/ix?doc=/Archives/edgar/data/1737953/000162828026045886/repl-20260331.htm" TargetMode="External"/><Relationship Id="rId7" Type="http://schemas.openxmlformats.org/officeDocument/2006/relationships/hyperlink" Target="https://www.sec.gov/ix?doc=/Archives/edgar/data/1737953/000162828026045886/repl-20260331.htm" TargetMode="External"/><Relationship Id="rId8" Type="http://schemas.openxmlformats.org/officeDocument/2006/relationships/hyperlink" Target="https://www.sec.gov/ix?doc=/Archives/edgar/data/1737953/000162828026057099/repl-20260630.htm" TargetMode="External"/><Relationship Id="rId9" Type="http://schemas.openxmlformats.org/officeDocument/2006/relationships/hyperlink" Target="https://www.sec.gov/ix?doc=/Archives/edgar/data/1737953/000110465926087650/tm263608-4_def14a.htm" TargetMode="External"/><Relationship Id="rId10" Type="http://schemas.openxmlformats.org/officeDocument/2006/relationships/hyperlink" Target="https://www.sec.gov/ix?doc=/Archives/edgar/data/1737953/000110465926042141/tm2611633d1_8k.htm" TargetMode="External"/><Relationship Id="rId11" Type="http://schemas.openxmlformats.org/officeDocument/2006/relationships/hyperlink" Target="https://www.sec.gov/ix?doc=/Archives/edgar/data/1737953/000110465926088857/tm2621708d1_8k.htm" TargetMode="External"/><Relationship Id="rId12" Type="http://schemas.openxmlformats.org/officeDocument/2006/relationships/hyperlink" Target="https://www.sec.gov/ix?doc=/Archives/edgar/data/1737953/000110465926092246/tm2622487d1_8k.htm" TargetMode="External"/><Relationship Id="rId13" Type="http://schemas.openxmlformats.org/officeDocument/2006/relationships/hyperlink" Target="https://www.sec.gov/ix?doc=/Archives/edgar/data/1737953/000110465926092246/tm2622487d1_8k.htm" TargetMode="External"/><Relationship Id="rId14" Type="http://schemas.openxmlformats.org/officeDocument/2006/relationships/hyperlink" Target="https://www.sec.gov/ix?doc=/Archives/edgar/data/1737953/000110465926093042/tm2622673d1_8k.htm" TargetMode="External"/><Relationship Id="rId15" Type="http://schemas.openxmlformats.org/officeDocument/2006/relationships/hyperlink" Target="http://www.sec.gov/ix?doc=/Archives/edgar/data/1737953/000110465926093512/tm2622780d1_8k.htm" TargetMode="External"/><Relationship Id="rId16" Type="http://schemas.openxmlformats.org/officeDocument/2006/relationships/hyperlink" Target="https://www.sec.gov/Archives/edgar/data/1737953/000110465918045503/a18-9667_128a12b.htm" TargetMode="External"/><Relationship Id="rId17" Type="http://schemas.openxmlformats.org/officeDocument/2006/relationships/hyperlink" Target="https://www.sec.gov/Archives/edgar/data/1737953/000162828026045886/exhibit43descriptionofsecu.htm" TargetMode="External"/><Relationship Id="rId18" Type="http://schemas.openxmlformats.org/officeDocument/2006/relationships/hyperlink" Target="https://www.sec.gov/Archives/edgar/data/1737953/000104746920003318/a2241747zex-3_1.htm" TargetMode="External"/><Relationship Id="rId19" Type="http://schemas.openxmlformats.org/officeDocument/2006/relationships/hyperlink" Target="https://www.sec.gov/Archives/edgar/data/1737953/000110465918046742/a18-17646_2ex3d2.htm" TargetMode="External"/><Relationship Id="rId20" Type="http://schemas.openxmlformats.org/officeDocument/2006/relationships/hyperlink" Target="https://www.sec.gov/Archives/edgar/data/1737953/000104746918004923/a2236169zex-4_1.htm" TargetMode="External"/><Relationship Id="rId21" Type="http://schemas.openxmlformats.org/officeDocument/2006/relationships/hyperlink" Target="https://www.sec.gov/Archives/edgar/data/1737953/000110465919064897/a19-23017_1ex4d1.htm" TargetMode="External"/><Relationship Id="rId22" Type="http://schemas.openxmlformats.org/officeDocument/2006/relationships/hyperlink" Target="https://www.sec.gov/Archives/edgar/data/1737953/000110465920072032/tm2022258d1_ex4-1.htm" TargetMode="External"/><Relationship Id="rId23" Type="http://schemas.openxmlformats.org/officeDocument/2006/relationships/hyperlink" Target="https://www.sec.gov/Archives/edgar/data/1737953/000110465922126323/tm2232427d1_ex4-1.htm" TargetMode="External"/><Relationship Id="rId24" Type="http://schemas.openxmlformats.org/officeDocument/2006/relationships/hyperlink" Target="https://www.sec.gov/Archives/edgar/data/1737953/000110465924071078/tm2417173d1_ex4-1.htm" TargetMode="External"/><Relationship Id="rId25" Type="http://schemas.openxmlformats.org/officeDocument/2006/relationships/hyperlink" Target="https://www.sec.gov/Archives/edgar/data/1737953/000110465924125370/tm2430122d1_ex4-1.htm" TargetMode="External"/><Relationship Id="rId26" Type="http://schemas.openxmlformats.org/officeDocument/2006/relationships/hyperlink" Target="https://www.sec.gov/Archives/edgar/data/1737953/000110465926093512/tm2622780d1_ex4-1.htm" TargetMode="External"/><Relationship Id="rId27" Type="http://schemas.openxmlformats.org/officeDocument/2006/relationships/image" Target="media/image2.jpeg"/><Relationship Id="rId28" Type="http://schemas.openxmlformats.org/officeDocument/2006/relationships/image" Target="media/image3.jpeg"/><Relationship Id="rId29" Type="http://schemas.openxmlformats.org/officeDocument/2006/relationships/image" Target="media/image4.jpeg"/><Relationship Id="rId30" Type="http://schemas.openxmlformats.org/officeDocument/2006/relationships/fontTable" Target="fontTable.xml"/><Relationship Id="rId3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Pages>
  <Words>61070</Words>
  <Characters>313030</Characters>
  <CharactersWithSpaces>378264</CharactersWithSpaces>
  <Paragraphs>3677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