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Replimune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7,356,916.00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7,356,916.00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7,356,916.00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7,356,916.00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7,356,916.00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7,356,916.00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Replimune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UNICORN PARK, WOBURN, MA, 01801.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$0.001</w:t>
      </w:r>
    </w:p>
    <w:p>
      <w:pPr>
        <w:spacing w:after="0" w:line="1" w:lineRule="exact"/>
        <w:rPr>
          <w:sz w:val="20"/>
          <w:szCs w:val="20"/>
          <w:color w:val="auto"/>
        </w:rPr>
      </w:pPr>
    </w:p>
    <w:p>
      <w:pPr>
        <w:ind w:left="920" w:right="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Replimune Group,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208"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208"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11" w:right="459" w:bottom="208" w:gutter="0" w:footer="0" w:header="0"/>
          <w:type w:val="continuous"/>
        </w:sectPr>
      </w:pPr>
    </w:p>
    <w:bookmarkStart w:id="3" w:name="page4"/>
    <w:bookmarkEnd w:id="3"/>
    <w:p>
      <w:pPr>
        <w:jc w:val="both"/>
        <w:ind w:left="920" w:right="18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82,572,619 Shares outstanding as of January 30, 2026 as reported in the Company's Quarterly Report on Form 10-Q filed with the Securities and Exchange Commission on February 3,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8.9% Dr. Wong: 8.9%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7,356,916 Shares Dr. Wong: 7,356,916 Shares</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right="454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RTW Investments: 7,356,916 Shares Dr. Wong: 7,356,916 Shares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13G filed with the SEC on November 14, 2025).</w:t>
      </w:r>
    </w:p>
    <w:sectPr>
      <w:pgSz w:w="11900" w:h="16838" w:orient="portrait"/>
      <w:cols w:equalWidth="0" w:num="1">
        <w:col w:w="10760"/>
      </w:cols>
      <w:pgMar w:left="360" w:top="11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2026-05-15T07:31:32Z</dcterms:created>
  <dcterms:modified xsi:type="dcterms:W3CDTF">2026-05-15T07:31:32Z</dcterms:modified>
</cp:coreProperties>
</file>