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574040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598805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143" w:lineRule="exact"/>
        <w:rPr>
          <w:sz w:val="24"/>
          <w:szCs w:val="24"/>
          <w:color w:val="auto"/>
        </w:rPr>
      </w:pPr>
    </w:p>
    <w:p>
      <w:pPr>
        <w:ind w:left="540" w:right="2460" w:hanging="520"/>
        <w:spacing w:after="0" w:line="244" w:lineRule="auto"/>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For the quarterly period ended </w:t>
      </w:r>
      <w:r>
        <w:rPr>
          <w:rFonts w:ascii="Times New Roman" w:cs="Times New Roman" w:eastAsia="Times New Roman" w:hAnsi="Times New Roman"/>
          <w:sz w:val="17"/>
          <w:szCs w:val="17"/>
          <w:color w:val="auto"/>
        </w:rPr>
        <w:t>December 31, 2025</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7" w:lineRule="exact"/>
        <w:rPr>
          <w:sz w:val="24"/>
          <w:szCs w:val="24"/>
          <w:color w:val="auto"/>
        </w:rPr>
      </w:pPr>
    </w:p>
    <w:p>
      <w:pPr>
        <w:ind w:left="540" w:right="2460" w:hanging="520"/>
        <w:spacing w:after="0" w:line="260" w:lineRule="auto"/>
        <w:tabs>
          <w:tab w:leader="none" w:pos="54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73" w:lineRule="exact"/>
        <w:rPr>
          <w:sz w:val="24"/>
          <w:szCs w:val="24"/>
          <w:color w:val="auto"/>
        </w:rPr>
      </w:pPr>
    </w:p>
    <w:p>
      <w:pPr>
        <w:ind w:left="400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001-38596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REPLIMUNE GROUP,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40"/>
          </w:cols>
          <w:pgMar w:left="320" w:top="226" w:right="339" w:bottom="536" w:gutter="0" w:footer="0" w:header="0"/>
        </w:sectPr>
      </w:pPr>
    </w:p>
    <w:p>
      <w:pPr>
        <w:spacing w:after="0" w:line="34"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82-2082553</w:t>
      </w:r>
    </w:p>
    <w:p>
      <w:pPr>
        <w:spacing w:after="0" w:line="29" w:lineRule="exact"/>
        <w:rPr>
          <w:sz w:val="24"/>
          <w:szCs w:val="24"/>
          <w:color w:val="auto"/>
        </w:rPr>
      </w:pPr>
    </w:p>
    <w:p>
      <w:pPr>
        <w:sectPr>
          <w:pgSz w:w="11900" w:h="16838" w:orient="portrait"/>
          <w:cols w:equalWidth="0" w:num="2">
            <w:col w:w="7300" w:space="720"/>
            <w:col w:w="3220"/>
          </w:cols>
          <w:pgMar w:left="320" w:top="226" w:right="339" w:bottom="536" w:gutter="0" w:footer="0" w:header="0"/>
          <w:type w:val="continuous"/>
        </w:sectPr>
      </w:pPr>
    </w:p>
    <w:p>
      <w:pPr>
        <w:ind w:left="1800"/>
        <w:spacing w:after="0"/>
        <w:rPr>
          <w:sz w:val="20"/>
          <w:szCs w:val="20"/>
          <w:color w:val="auto"/>
        </w:rPr>
      </w:pPr>
      <w:r>
        <w:rPr>
          <w:rFonts w:ascii="Times New Roman" w:cs="Times New Roman" w:eastAsia="Times New Roman" w:hAnsi="Times New Roman"/>
          <w:sz w:val="17"/>
          <w:szCs w:val="17"/>
          <w:color w:val="auto"/>
        </w:rPr>
        <w:t>(State or other jurisdiction of</w:t>
      </w:r>
    </w:p>
    <w:p>
      <w:pPr>
        <w:ind w:left="18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7"/>
          <w:szCs w:val="17"/>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060" w:space="720"/>
            <w:col w:w="3460"/>
          </w:cols>
          <w:pgMar w:left="320" w:top="226" w:right="339" w:bottom="536" w:gutter="0" w:footer="0" w:header="0"/>
          <w:type w:val="continuous"/>
        </w:sectPr>
      </w:pP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500 Unicorn Park Drive</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Suite 303</w:t>
      </w:r>
    </w:p>
    <w:p>
      <w:pPr>
        <w:sectPr>
          <w:pgSz w:w="11900" w:h="16838" w:orient="portrait"/>
          <w:cols w:equalWidth="0" w:num="1">
            <w:col w:w="11240"/>
          </w:cols>
          <w:pgMar w:left="320" w:top="226" w:right="339" w:bottom="536" w:gutter="0" w:footer="0" w:header="0"/>
          <w:type w:val="continuous"/>
        </w:sect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Woburn MA 01801</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(Zip Code)</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(781) 222-9600</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335"/>
        </w:trPr>
        <w:tc>
          <w:tcPr>
            <w:tcW w:w="4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160"/>
        </w:trPr>
        <w:tc>
          <w:tcPr>
            <w:tcW w:w="4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The Nasdaq Stock Market LLC (Nasdaq Global Select</w:t>
            </w:r>
          </w:p>
        </w:tc>
      </w:tr>
      <w:tr>
        <w:trPr>
          <w:trHeight w:val="232"/>
        </w:trPr>
        <w:tc>
          <w:tcPr>
            <w:tcW w:w="44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5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REPL</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Market)</w:t>
            </w:r>
          </w:p>
        </w:tc>
      </w:tr>
    </w:tbl>
    <w:p>
      <w:pPr>
        <w:spacing w:after="0" w:line="267"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5"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6" w:right="339" w:bottom="536" w:gutter="0" w:footer="0" w:header="0"/>
          <w:type w:val="continuous"/>
        </w:sectPr>
      </w:pPr>
    </w:p>
    <w:p>
      <w:pPr>
        <w:spacing w:after="0" w:line="48" w:lineRule="exact"/>
        <w:rPr>
          <w:sz w:val="24"/>
          <w:szCs w:val="24"/>
          <w:color w:val="auto"/>
        </w:rPr>
      </w:pPr>
    </w:p>
    <w:p>
      <w:pPr>
        <w:ind w:left="19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2" w:lineRule="exact"/>
        <w:rPr>
          <w:sz w:val="24"/>
          <w:szCs w:val="24"/>
          <w:color w:val="auto"/>
        </w:rPr>
      </w:pPr>
    </w:p>
    <w:p>
      <w:pPr>
        <w:ind w:left="1920"/>
        <w:spacing w:after="0" w:line="196" w:lineRule="exact"/>
        <w:tabs>
          <w:tab w:leader="none" w:pos="352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18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2" w:lineRule="exact"/>
        <w:rPr>
          <w:sz w:val="24"/>
          <w:szCs w:val="24"/>
          <w:color w:val="auto"/>
        </w:rPr>
      </w:pPr>
    </w:p>
    <w:p>
      <w:pPr>
        <w:jc w:val="center"/>
        <w:ind w:right="180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4" w:lineRule="exact"/>
        <w:rPr>
          <w:sz w:val="24"/>
          <w:szCs w:val="24"/>
          <w:color w:val="auto"/>
        </w:rPr>
      </w:pPr>
    </w:p>
    <w:p>
      <w:pPr>
        <w:jc w:val="center"/>
        <w:ind w:right="1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640" w:space="720"/>
            <w:col w:w="3880"/>
          </w:cols>
          <w:pgMar w:left="320" w:top="226" w:right="339" w:bottom="536" w:gutter="0" w:footer="0" w:header="0"/>
          <w:type w:val="continuous"/>
        </w:sectPr>
      </w:pPr>
    </w:p>
    <w:p>
      <w:pPr>
        <w:spacing w:after="0" w:line="89" w:lineRule="exact"/>
        <w:rPr>
          <w:sz w:val="24"/>
          <w:szCs w:val="24"/>
          <w:color w:val="auto"/>
        </w:rPr>
      </w:pPr>
    </w:p>
    <w:p>
      <w:pPr>
        <w:ind w:right="480"/>
        <w:spacing w:after="0" w:line="228"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4" w:lineRule="exact"/>
        <w:rPr>
          <w:sz w:val="24"/>
          <w:szCs w:val="24"/>
          <w:color w:val="auto"/>
        </w:rPr>
      </w:pPr>
    </w:p>
    <w:p>
      <w:pPr>
        <w:ind w:left="80" w:right="2860" w:hanging="85"/>
        <w:spacing w:after="0" w:line="24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registrant’s Common Stock, par value $0.001 per share, outstanding as of January 30, 2026 was 82,572,619.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229870</wp:posOffset>
            </wp:positionV>
            <wp:extent cx="7122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21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254635</wp:posOffset>
            </wp:positionV>
            <wp:extent cx="7122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ectPr>
          <w:pgSz w:w="11900" w:h="16838" w:orient="portrait"/>
          <w:cols w:equalWidth="0" w:num="1">
            <w:col w:w="11240"/>
          </w:cols>
          <w:pgMar w:left="320" w:top="226" w:right="339" w:bottom="536"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591820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0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60"/>
        </w:trPr>
        <w:tc>
          <w:tcPr>
            <w:tcW w:w="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10"/>
          </w:tcPr>
          <w:p>
            <w:pPr>
              <w:jc w:val="center"/>
              <w:ind w:right="3300"/>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9"/>
          </w:tcPr>
          <w:p>
            <w:pPr>
              <w:jc w:val="center"/>
              <w:ind w:right="3940"/>
              <w:spacing w:after="0"/>
              <w:rPr>
                <w:sz w:val="20"/>
                <w:szCs w:val="20"/>
                <w:color w:val="auto"/>
              </w:rPr>
            </w:pPr>
            <w:r>
              <w:rPr>
                <w:rFonts w:ascii="Times New Roman" w:cs="Times New Roman" w:eastAsia="Times New Roman" w:hAnsi="Times New Roman"/>
                <w:sz w:val="17"/>
                <w:szCs w:val="17"/>
                <w:b w:val="1"/>
                <w:bCs w:val="1"/>
                <w:color w:val="auto"/>
                <w:w w:val="99"/>
              </w:rPr>
              <w:t>FORM 10-Q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gridSpan w:val="9"/>
          </w:tcPr>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gridSpan w:val="5"/>
          </w:tcPr>
          <w:p>
            <w:pPr>
              <w:ind w:left="180"/>
              <w:spacing w:after="0"/>
              <w:rPr>
                <w:sz w:val="20"/>
                <w:szCs w:val="20"/>
                <w:color w:val="auto"/>
              </w:rPr>
            </w:pPr>
            <w:r>
              <w:rPr>
                <w:rFonts w:ascii="Times New Roman" w:cs="Times New Roman" w:eastAsia="Times New Roman" w:hAnsi="Times New Roman"/>
                <w:sz w:val="17"/>
                <w:szCs w:val="17"/>
                <w:color w:val="auto"/>
              </w:rPr>
              <w:t>Page No.</w:t>
            </w:r>
          </w:p>
        </w:tc>
      </w:tr>
      <w:tr>
        <w:trPr>
          <w:trHeight w:val="192"/>
        </w:trPr>
        <w:tc>
          <w:tcPr>
            <w:tcW w:w="10240" w:type="dxa"/>
            <w:vAlign w:val="bottom"/>
            <w:tcBorders>
              <w:top w:val="single" w:sz="8" w:color="CCEEFF"/>
            </w:tcBorders>
            <w:gridSpan w:val="26"/>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980" w:type="dxa"/>
            <w:vAlign w:val="bottom"/>
            <w:tcBorders>
              <w:top w:val="single" w:sz="8" w:color="auto"/>
            </w:tcBorders>
            <w:gridSpan w:val="4"/>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6"/>
                <w:szCs w:val="16"/>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1.</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Financial Statements (Unaudited)</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Balance Sheets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Operations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Comprehensive Loss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Stockholders’ Equity</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6</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Condensed Consolidated Statements of Cash Flows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Notes to Unaudited Condensed Consolidated Financial Statements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2.</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Management’s Discussion and Analysis of Financial Condition and Results of Operations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25</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1660" w:type="dxa"/>
            <w:vAlign w:val="bottom"/>
            <w:tcBorders>
              <w:top w:val="single" w:sz="8" w:color="0000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3.</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Quantitative and Qualitative Disclosures About Market Risk</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4.</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Controls and Procedures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10240" w:type="dxa"/>
            <w:vAlign w:val="bottom"/>
            <w:gridSpan w:val="26"/>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1.</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Legal Proceedings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1A.</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Risk Factors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2.</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Unregistered Sales of Equity Securities and Use of Proceeds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80</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3.</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80</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4.</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Mine Safety Disclosure</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80</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5.</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Other Information</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80</w:t>
            </w:r>
          </w:p>
        </w:tc>
        <w:tc>
          <w:tcPr>
            <w:tcW w:w="20" w:type="dxa"/>
            <w:vAlign w:val="bottom"/>
          </w:tcPr>
          <w:p>
            <w:pPr>
              <w:spacing w:after="0"/>
              <w:rPr>
                <w:sz w:val="17"/>
                <w:szCs w:val="17"/>
                <w:color w:val="auto"/>
              </w:rPr>
            </w:pPr>
          </w:p>
        </w:tc>
      </w:tr>
      <w:tr>
        <w:trPr>
          <w:trHeight w:val="245"/>
        </w:trPr>
        <w:tc>
          <w:tcPr>
            <w:tcW w:w="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gridSpan w:val="2"/>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66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9"/>
        </w:trPr>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8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Item 6.</w:t>
            </w:r>
          </w:p>
        </w:tc>
        <w:tc>
          <w:tcPr>
            <w:tcW w:w="8240" w:type="dxa"/>
            <w:vAlign w:val="bottom"/>
            <w:gridSpan w:val="19"/>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Exhibits</w:t>
            </w: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81</w:t>
            </w:r>
          </w:p>
        </w:tc>
        <w:tc>
          <w:tcPr>
            <w:tcW w:w="20" w:type="dxa"/>
            <w:vAlign w:val="bottom"/>
          </w:tcPr>
          <w:p>
            <w:pPr>
              <w:spacing w:after="0"/>
              <w:rPr>
                <w:sz w:val="17"/>
                <w:szCs w:val="17"/>
                <w:color w:val="auto"/>
              </w:rPr>
            </w:pPr>
          </w:p>
        </w:tc>
      </w:tr>
      <w:tr>
        <w:trPr>
          <w:trHeight w:val="258"/>
        </w:trPr>
        <w:tc>
          <w:tcPr>
            <w:tcW w:w="2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gridSpan w:val="2"/>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17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Pr>
          <w:p>
            <w:pPr>
              <w:spacing w:after="0"/>
              <w:rPr>
                <w:sz w:val="22"/>
                <w:szCs w:val="22"/>
                <w:color w:val="auto"/>
              </w:rPr>
            </w:pPr>
          </w:p>
        </w:tc>
      </w:tr>
      <w:tr>
        <w:trPr>
          <w:trHeight w:val="199"/>
        </w:trPr>
        <w:tc>
          <w:tcPr>
            <w:tcW w:w="2000" w:type="dxa"/>
            <w:vAlign w:val="bottom"/>
            <w:gridSpan w:val="7"/>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17"/>
                <w:szCs w:val="17"/>
                <w:color w:val="auto"/>
              </w:rPr>
            </w:pPr>
          </w:p>
        </w:tc>
      </w:tr>
      <w:tr>
        <w:trPr>
          <w:trHeight w:val="1045"/>
        </w:trPr>
        <w:tc>
          <w:tcPr>
            <w:tcW w:w="20" w:type="dxa"/>
            <w:vAlign w:val="bottom"/>
            <w:tcBorders>
              <w:top w:val="single" w:sz="8" w:color="CCEE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gridSpan w:val="11"/>
          </w:tcPr>
          <w:p>
            <w:pPr>
              <w:jc w:val="center"/>
              <w:ind w:left="3434"/>
              <w:spacing w:after="0"/>
              <w:rPr>
                <w:sz w:val="20"/>
                <w:szCs w:val="20"/>
                <w:color w:val="auto"/>
              </w:rPr>
            </w:pPr>
            <w:r>
              <w:rPr>
                <w:rFonts w:ascii="Times New Roman" w:cs="Times New Roman" w:eastAsia="Times New Roman" w:hAnsi="Times New Roman"/>
                <w:sz w:val="17"/>
                <w:szCs w:val="17"/>
                <w:color w:val="auto"/>
                <w:w w:val="93"/>
              </w:rPr>
              <w:t>2</w:t>
            </w: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1220" w:type="dxa"/>
            <w:vAlign w:val="bottom"/>
            <w:tcBorders>
              <w:top w:val="single" w:sz="8" w:color="0000FF"/>
            </w:tcBorders>
          </w:tcPr>
          <w:p>
            <w:pPr>
              <w:spacing w:after="0"/>
              <w:rPr>
                <w:sz w:val="24"/>
                <w:szCs w:val="24"/>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111111"/>
                <w:w w:val="99"/>
              </w:rPr>
              <w:t xml:space="preserve">PART I </w:t>
            </w:r>
            <w:r>
              <w:rPr>
                <w:rFonts w:ascii="Times New Roman" w:cs="Times New Roman" w:eastAsia="Times New Roman" w:hAnsi="Times New Roman"/>
                <w:sz w:val="17"/>
                <w:szCs w:val="17"/>
                <w:color w:val="000000"/>
                <w:w w:val="99"/>
              </w:rPr>
              <w:t>-</w:t>
            </w:r>
            <w:r>
              <w:rPr>
                <w:rFonts w:ascii="Times New Roman" w:cs="Times New Roman" w:eastAsia="Times New Roman" w:hAnsi="Times New Roman"/>
                <w:sz w:val="17"/>
                <w:szCs w:val="17"/>
                <w:b w:val="1"/>
                <w:bCs w:val="1"/>
                <w:color w:val="111111"/>
                <w:w w:val="99"/>
              </w:rPr>
              <w:t xml:space="preserve"> FINANCIAL INFORMATION</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111111"/>
              </w:rPr>
              <w:t>Item 1. Financial Statements.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amounts)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32"/>
        </w:trPr>
        <w:tc>
          <w:tcPr>
            <w:tcW w:w="122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111,119</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Short-term investments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372,685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 receivable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8,351</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495,880</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13,739</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 - operating leases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Right-of-use asset - financing leases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34,808</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551,328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12,463</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45,916</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Financing lease liabilities, current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2,799</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62,362</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lease liabilities, non-current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22,729</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 term debt, net of discount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46,377</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135,485</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26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$0.001 par value; 150,000,000 shares authorized as of December 31, 2025 and March 31, 2025;</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79,631,167 and 77,085,024 shares issued and outstanding as of December 31, 2025 and March 31, 2025, respectively</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1,358,897</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(1,189,302)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(948,579)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5,448</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415,843</w:t>
            </w:r>
          </w:p>
        </w:tc>
        <w:tc>
          <w:tcPr>
            <w:tcW w:w="0" w:type="dxa"/>
            <w:vAlign w:val="bottom"/>
          </w:tcPr>
          <w:p>
            <w:pPr>
              <w:spacing w:after="0"/>
              <w:rPr>
                <w:sz w:val="1"/>
                <w:szCs w:val="1"/>
                <w:color w:val="auto"/>
              </w:rPr>
            </w:pP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333,590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551,328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80" w:type="dxa"/>
            <w:vAlign w:val="bottom"/>
            <w:gridSpan w:val="5"/>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320" w:type="dxa"/>
            <w:vAlign w:val="bottom"/>
          </w:tcPr>
          <w:p>
            <w:pPr>
              <w:spacing w:after="0"/>
              <w:rPr>
                <w:sz w:val="19"/>
                <w:szCs w:val="19"/>
                <w:color w:val="auto"/>
              </w:rPr>
            </w:pPr>
          </w:p>
        </w:tc>
        <w:tc>
          <w:tcPr>
            <w:tcW w:w="3280" w:type="dxa"/>
            <w:vAlign w:val="bottom"/>
            <w:gridSpan w:val="4"/>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53,140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48,004</w:t>
            </w:r>
          </w:p>
        </w:tc>
        <w:tc>
          <w:tcPr>
            <w:tcW w:w="8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168,860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135,472</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46,827</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246,581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182,299</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(246,581)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(182,299)</w:t>
            </w:r>
          </w:p>
        </w:tc>
        <w:tc>
          <w:tcPr>
            <w:tcW w:w="0" w:type="dxa"/>
            <w:vAlign w:val="bottom"/>
          </w:tcPr>
          <w:p>
            <w:pPr>
              <w:spacing w:after="0"/>
              <w:rPr>
                <w:sz w:val="1"/>
                <w:szCs w:val="1"/>
                <w:color w:val="auto"/>
              </w:rPr>
            </w:pPr>
          </w:p>
        </w:tc>
      </w:tr>
      <w:tr>
        <w:trPr>
          <w:trHeight w:val="199"/>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0" w:type="dxa"/>
            <w:vAlign w:val="bottom"/>
          </w:tcPr>
          <w:p>
            <w:pPr>
              <w:spacing w:after="0"/>
              <w:rPr>
                <w:sz w:val="1"/>
                <w:szCs w:val="1"/>
                <w:color w:val="auto"/>
              </w:rPr>
            </w:pPr>
          </w:p>
        </w:tc>
      </w:tr>
      <w:tr>
        <w:trPr>
          <w:trHeight w:val="21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15,243</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on finance lease liability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0" w:type="dxa"/>
            <w:vAlign w:val="bottom"/>
          </w:tcPr>
          <w:p>
            <w:pPr>
              <w:spacing w:after="0"/>
              <w:rPr>
                <w:sz w:val="1"/>
                <w:szCs w:val="1"/>
                <w:color w:val="auto"/>
              </w:rPr>
            </w:pPr>
          </w:p>
        </w:tc>
      </w:tr>
      <w:tr>
        <w:trPr>
          <w:trHeight w:val="219"/>
        </w:trPr>
        <w:tc>
          <w:tcPr>
            <w:tcW w:w="39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on debt obligations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12"/>
        </w:trPr>
        <w:tc>
          <w:tcPr>
            <w:tcW w:w="39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9,707</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(172,592)</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0" w:type="dxa"/>
            <w:vAlign w:val="bottom"/>
          </w:tcPr>
          <w:p>
            <w:pPr>
              <w:spacing w:after="0"/>
              <w:rPr>
                <w:sz w:val="1"/>
                <w:szCs w:val="1"/>
                <w:color w:val="auto"/>
              </w:rPr>
            </w:pP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(240,723)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(173,167)</w:t>
            </w:r>
          </w:p>
        </w:tc>
        <w:tc>
          <w:tcPr>
            <w:tcW w:w="0" w:type="dxa"/>
            <w:vAlign w:val="bottom"/>
          </w:tcPr>
          <w:p>
            <w:pPr>
              <w:spacing w:after="0"/>
              <w:rPr>
                <w:sz w:val="1"/>
                <w:szCs w:val="1"/>
                <w:color w:val="auto"/>
              </w:rPr>
            </w:pPr>
          </w:p>
        </w:tc>
      </w:tr>
      <w:tr>
        <w:trPr>
          <w:trHeight w:val="212"/>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5"/>
                <w:szCs w:val="15"/>
                <w:color w:val="auto"/>
              </w:rPr>
              <w:t>Weighted average common shares outstanding, basic and</w:t>
            </w:r>
          </w:p>
        </w:tc>
        <w:tc>
          <w:tcPr>
            <w:tcW w:w="3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92,187,581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83,498,892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91,874,481</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77,113,695</w:t>
            </w:r>
          </w:p>
        </w:tc>
        <w:tc>
          <w:tcPr>
            <w:tcW w:w="0" w:type="dxa"/>
            <w:vAlign w:val="bottom"/>
          </w:tcPr>
          <w:p>
            <w:pPr>
              <w:spacing w:after="0"/>
              <w:rPr>
                <w:sz w:val="1"/>
                <w:szCs w:val="1"/>
                <w:color w:val="auto"/>
              </w:rPr>
            </w:pPr>
          </w:p>
        </w:tc>
      </w:tr>
      <w:tr>
        <w:trPr>
          <w:trHeight w:val="22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122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316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440" w:type="dxa"/>
            <w:vAlign w:val="bottom"/>
            <w:gridSpan w:val="9"/>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16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940" w:type="dxa"/>
            <w:vAlign w:val="bottom"/>
            <w:gridSpan w:val="2"/>
          </w:tcPr>
          <w:p>
            <w:pPr>
              <w:jc w:val="center"/>
              <w:ind w:left="9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Three Months Ended December</w:t>
            </w:r>
          </w:p>
        </w:tc>
        <w:tc>
          <w:tcPr>
            <w:tcW w:w="258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0" w:type="dxa"/>
            <w:vAlign w:val="bottom"/>
          </w:tcPr>
          <w:p>
            <w:pPr>
              <w:spacing w:after="0"/>
              <w:rPr>
                <w:sz w:val="1"/>
                <w:szCs w:val="1"/>
                <w:color w:val="auto"/>
              </w:rPr>
            </w:pPr>
          </w:p>
        </w:tc>
      </w:tr>
      <w:tr>
        <w:trPr>
          <w:trHeight w:val="232"/>
        </w:trPr>
        <w:tc>
          <w:tcPr>
            <w:tcW w:w="1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(173,167)</w:t>
            </w:r>
          </w:p>
        </w:tc>
        <w:tc>
          <w:tcPr>
            <w:tcW w:w="0" w:type="dxa"/>
            <w:vAlign w:val="bottom"/>
          </w:tcPr>
          <w:p>
            <w:pPr>
              <w:spacing w:after="0"/>
              <w:rPr>
                <w:sz w:val="1"/>
                <w:szCs w:val="1"/>
                <w:color w:val="auto"/>
              </w:rPr>
            </w:pPr>
          </w:p>
        </w:tc>
      </w:tr>
      <w:tr>
        <w:trPr>
          <w:trHeight w:val="21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gain</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0" w:type="dxa"/>
            <w:vAlign w:val="bottom"/>
          </w:tcPr>
          <w:p>
            <w:pPr>
              <w:spacing w:after="0"/>
              <w:rPr>
                <w:sz w:val="1"/>
                <w:szCs w:val="1"/>
                <w:color w:val="auto"/>
              </w:rPr>
            </w:pPr>
          </w:p>
        </w:tc>
      </w:tr>
      <w:tr>
        <w:trPr>
          <w:trHeight w:val="219"/>
        </w:trPr>
        <w:tc>
          <w:tcPr>
            <w:tcW w:w="4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Net unrealized (loss) gain on short-term investments</w:t>
            </w: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(171,863)</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thousands, except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78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3"/>
                <w:szCs w:val="13"/>
                <w:color w:val="auto"/>
              </w:rPr>
            </w:pPr>
          </w:p>
        </w:tc>
        <w:tc>
          <w:tcPr>
            <w:tcW w:w="90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2"/>
                <w:szCs w:val="2"/>
                <w:color w:val="auto"/>
              </w:rPr>
            </w:pPr>
          </w:p>
        </w:tc>
        <w:tc>
          <w:tcPr>
            <w:tcW w:w="960" w:type="dxa"/>
            <w:vAlign w:val="bottom"/>
            <w:gridSpan w:val="2"/>
            <w:vMerge w:val="restart"/>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vMerge w:val="restart"/>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80" w:type="dxa"/>
            <w:vAlign w:val="bottom"/>
          </w:tcPr>
          <w:p>
            <w:pPr>
              <w:spacing w:after="0"/>
              <w:rPr>
                <w:sz w:val="2"/>
                <w:szCs w:val="2"/>
                <w:color w:val="auto"/>
              </w:rPr>
            </w:pPr>
          </w:p>
        </w:tc>
        <w:tc>
          <w:tcPr>
            <w:tcW w:w="900" w:type="dxa"/>
            <w:vAlign w:val="bottom"/>
            <w:vMerge w:val="restart"/>
          </w:tcPr>
          <w:p>
            <w:pPr>
              <w:jc w:val="center"/>
              <w:ind w:right="31"/>
              <w:spacing w:after="0" w:line="141"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96"/>
        </w:trPr>
        <w:tc>
          <w:tcPr>
            <w:tcW w:w="5020" w:type="dxa"/>
            <w:vAlign w:val="bottom"/>
          </w:tcPr>
          <w:p>
            <w:pPr>
              <w:spacing w:after="0"/>
              <w:rPr>
                <w:sz w:val="8"/>
                <w:szCs w:val="8"/>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8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80" w:type="dxa"/>
            <w:vAlign w:val="bottom"/>
          </w:tcPr>
          <w:p>
            <w:pPr>
              <w:spacing w:after="0"/>
              <w:rPr>
                <w:sz w:val="16"/>
                <w:szCs w:val="16"/>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2025</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77,085,024</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77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1,358,897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(948,579)</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415,843</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966</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721,184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8,762</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(86,693)</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2025</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77,807,174</w:t>
            </w: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99"/>
              </w:rPr>
              <w:t>78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1,367,668</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(1,035,272)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336,715</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497,344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98,737</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8,338</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(83,100)</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2025</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78,403,255</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78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1,376,507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(1,118,372)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263,336</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through ATM sales, net of offering costs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1,079,523</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10,364</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70,000</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78,389</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7,047</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(70,930)</w:t>
            </w:r>
          </w:p>
        </w:tc>
        <w:tc>
          <w:tcPr>
            <w:tcW w:w="0" w:type="dxa"/>
            <w:vAlign w:val="bottom"/>
          </w:tcPr>
          <w:p>
            <w:pPr>
              <w:spacing w:after="0"/>
              <w:rPr>
                <w:sz w:val="1"/>
                <w:szCs w:val="1"/>
                <w:color w:val="auto"/>
              </w:rPr>
            </w:pPr>
          </w:p>
        </w:tc>
      </w:tr>
      <w:tr>
        <w:trPr>
          <w:trHeight w:val="21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2025</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79,631,167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1,394,198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210,539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March 31, 2024</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61,415,105</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61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1,070,874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(701,282)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374,508</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to purchase common stock, net of issuance costs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48,500</w:t>
            </w: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in connection with private placement, net of placement agent</w:t>
            </w:r>
          </w:p>
        </w:tc>
        <w:tc>
          <w:tcPr>
            <w:tcW w:w="98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5,668,937</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48,204</w:t>
            </w:r>
          </w:p>
        </w:tc>
        <w:tc>
          <w:tcPr>
            <w:tcW w:w="0" w:type="dxa"/>
            <w:vAlign w:val="bottom"/>
          </w:tcPr>
          <w:p>
            <w:pPr>
              <w:spacing w:after="0"/>
              <w:rPr>
                <w:sz w:val="1"/>
                <w:szCs w:val="1"/>
                <w:color w:val="auto"/>
              </w:rPr>
            </w:pPr>
          </w:p>
        </w:tc>
      </w:tr>
      <w:tr>
        <w:trPr>
          <w:trHeight w:val="18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and offering costs</w:t>
            </w:r>
          </w:p>
        </w:tc>
        <w:tc>
          <w:tcPr>
            <w:tcW w:w="9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739,225</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22,860</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463,841</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9,475</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(53,772)</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June 30, 2024</w:t>
            </w:r>
          </w:p>
        </w:tc>
        <w:tc>
          <w:tcPr>
            <w:tcW w:w="9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68,309,968</w:t>
            </w:r>
          </w:p>
        </w:tc>
        <w:tc>
          <w:tcPr>
            <w:tcW w:w="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68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1,177,113</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(755,054)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426,451</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1,215</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34,284</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50,336</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8,650</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(53,055)</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September 30, 2024</w:t>
            </w: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68,394,588</w:t>
            </w: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99"/>
              </w:rPr>
              <w:t>68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1,185,866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(808,109)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381,459</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prefunded warrants to purchase common stock, net of issuance costs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48,500</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net of issuance costs and underwriter fees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8,538,377</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107,516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107,525</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3,110</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22,856</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RSUs</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53,237</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8,639</w:t>
            </w:r>
          </w:p>
        </w:tc>
        <w:tc>
          <w:tcPr>
            <w:tcW w:w="0" w:type="dxa"/>
            <w:vAlign w:val="bottom"/>
          </w:tcPr>
          <w:p>
            <w:pPr>
              <w:spacing w:after="0"/>
              <w:rPr>
                <w:sz w:val="1"/>
                <w:szCs w:val="1"/>
                <w:color w:val="auto"/>
              </w:rPr>
            </w:pPr>
          </w:p>
        </w:tc>
      </w:tr>
      <w:tr>
        <w:trPr>
          <w:trHeight w:val="18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(66,340)</w:t>
            </w:r>
          </w:p>
        </w:tc>
        <w:tc>
          <w:tcPr>
            <w:tcW w:w="0" w:type="dxa"/>
            <w:vAlign w:val="bottom"/>
          </w:tcPr>
          <w:p>
            <w:pPr>
              <w:spacing w:after="0"/>
              <w:rPr>
                <w:sz w:val="1"/>
                <w:szCs w:val="1"/>
                <w:color w:val="auto"/>
              </w:rPr>
            </w:pPr>
          </w:p>
        </w:tc>
      </w:tr>
      <w:tr>
        <w:trPr>
          <w:trHeight w:val="21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9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77,009,058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99"/>
              </w:rPr>
              <w:t>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(874,449)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482,374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9"/>
        </w:trPr>
        <w:tc>
          <w:tcPr>
            <w:tcW w:w="1220" w:type="dxa"/>
            <w:vAlign w:val="bottom"/>
            <w:tcBorders>
              <w:top w:val="single" w:sz="8" w:color="0000FF"/>
            </w:tcBorders>
          </w:tcPr>
          <w:p>
            <w:pPr>
              <w:spacing w:after="0"/>
              <w:rPr>
                <w:sz w:val="24"/>
                <w:szCs w:val="24"/>
                <w:color w:val="auto"/>
              </w:rPr>
            </w:pPr>
          </w:p>
        </w:tc>
        <w:tc>
          <w:tcPr>
            <w:tcW w:w="704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REPLIMUNE GROUP, INC.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40" w:type="dxa"/>
            <w:vAlign w:val="bottom"/>
          </w:tcPr>
          <w:p>
            <w:pPr>
              <w:jc w:val="center"/>
              <w:ind w:left="167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12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0" w:type="dxa"/>
            <w:vAlign w:val="bottom"/>
          </w:tcPr>
          <w:p>
            <w:pPr>
              <w:spacing w:after="0"/>
              <w:rPr>
                <w:sz w:val="1"/>
                <w:szCs w:val="1"/>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(240,723)</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(173,167)</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26,764</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right-of-use-asset amortization</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Finance lease, right-of-use-asset amortization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amortization of premiums and discounts on short-term investments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(7,008)</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0" w:type="dxa"/>
            <w:vAlign w:val="bottom"/>
          </w:tcPr>
          <w:p>
            <w:pPr>
              <w:spacing w:after="0"/>
              <w:rPr>
                <w:sz w:val="1"/>
                <w:szCs w:val="1"/>
                <w:color w:val="auto"/>
              </w:rPr>
            </w:pPr>
          </w:p>
        </w:tc>
      </w:tr>
      <w:tr>
        <w:trPr>
          <w:trHeight w:val="219"/>
        </w:trPr>
        <w:tc>
          <w:tcPr>
            <w:tcW w:w="82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Unrealized foreign currency transaction (gains) losses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Research and development incentives receivable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w:t>
            </w:r>
          </w:p>
        </w:tc>
        <w:tc>
          <w:tcPr>
            <w:tcW w:w="0" w:type="dxa"/>
            <w:vAlign w:val="bottom"/>
          </w:tcPr>
          <w:p>
            <w:pPr>
              <w:spacing w:after="0"/>
              <w:rPr>
                <w:sz w:val="1"/>
                <w:szCs w:val="1"/>
                <w:color w:val="auto"/>
              </w:rPr>
            </w:pPr>
          </w:p>
        </w:tc>
      </w:tr>
      <w:tr>
        <w:trPr>
          <w:trHeight w:val="219"/>
        </w:trPr>
        <w:tc>
          <w:tcPr>
            <w:tcW w:w="8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2,501</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(138,519)</w:t>
            </w:r>
          </w:p>
        </w:tc>
        <w:tc>
          <w:tcPr>
            <w:tcW w:w="0" w:type="dxa"/>
            <w:vAlign w:val="bottom"/>
          </w:tcPr>
          <w:p>
            <w:pPr>
              <w:spacing w:after="0"/>
              <w:rPr>
                <w:sz w:val="1"/>
                <w:szCs w:val="1"/>
                <w:color w:val="auto"/>
              </w:rPr>
            </w:pPr>
          </w:p>
        </w:tc>
      </w:tr>
      <w:tr>
        <w:trPr>
          <w:trHeight w:val="19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 and software capitalization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(5,553)</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(331,953)</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sales and maturities of short-term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302,496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321,410</w:t>
            </w:r>
          </w:p>
        </w:tc>
        <w:tc>
          <w:tcPr>
            <w:tcW w:w="0" w:type="dxa"/>
            <w:vAlign w:val="bottom"/>
          </w:tcPr>
          <w:p>
            <w:pPr>
              <w:spacing w:after="0"/>
              <w:rPr>
                <w:sz w:val="1"/>
                <w:szCs w:val="1"/>
                <w:color w:val="auto"/>
              </w:rPr>
            </w:pPr>
          </w:p>
        </w:tc>
      </w:tr>
      <w:tr>
        <w:trPr>
          <w:trHeight w:val="212"/>
        </w:trPr>
        <w:tc>
          <w:tcPr>
            <w:tcW w:w="82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224,337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(16,096)</w:t>
            </w:r>
          </w:p>
        </w:tc>
        <w:tc>
          <w:tcPr>
            <w:tcW w:w="0" w:type="dxa"/>
            <w:vAlign w:val="bottom"/>
          </w:tcPr>
          <w:p>
            <w:pPr>
              <w:spacing w:after="0"/>
              <w:rPr>
                <w:sz w:val="1"/>
                <w:szCs w:val="1"/>
                <w:color w:val="auto"/>
              </w:rPr>
            </w:pPr>
          </w:p>
        </w:tc>
      </w:tr>
      <w:tr>
        <w:trPr>
          <w:trHeight w:val="19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net of fees and offering costs</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155,729</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prefunded warrants to purchase common stock, net of underwriting fees and offering costs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97,000</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through ATM sales, net of offering costs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payment of finance lease obligation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 and pre-funded warrants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252,528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exchange rate changes on cash, cash equivalents and restricted cash</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and restricted cash</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97,788</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76,157</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173,945</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paid during the period for interest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8"/>
        </w:trPr>
        <w:tc>
          <w:tcPr>
            <w:tcW w:w="826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 included in accounts payable and accrued expenses</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REPLIMUNE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 and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6" w:lineRule="exact"/>
        <w:rPr>
          <w:sz w:val="20"/>
          <w:szCs w:val="20"/>
          <w:color w:val="auto"/>
        </w:rPr>
      </w:pPr>
    </w:p>
    <w:p>
      <w:pPr>
        <w:ind w:left="180" w:hanging="177"/>
        <w:spacing w:after="0"/>
        <w:tabs>
          <w:tab w:leader="none" w:pos="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Nature of the business</w:t>
      </w:r>
    </w:p>
    <w:p>
      <w:pPr>
        <w:spacing w:after="0" w:line="234" w:lineRule="exact"/>
        <w:rPr>
          <w:sz w:val="20"/>
          <w:szCs w:val="20"/>
          <w:color w:val="auto"/>
        </w:rPr>
      </w:pPr>
    </w:p>
    <w:p>
      <w:pPr>
        <w:ind w:right="380" w:firstLine="619"/>
        <w:spacing w:after="0" w:line="245" w:lineRule="auto"/>
        <w:rPr>
          <w:sz w:val="20"/>
          <w:szCs w:val="20"/>
          <w:color w:val="auto"/>
        </w:rPr>
      </w:pPr>
      <w:r>
        <w:rPr>
          <w:rFonts w:ascii="Times New Roman" w:cs="Times New Roman" w:eastAsia="Times New Roman" w:hAnsi="Times New Roman"/>
          <w:sz w:val="17"/>
          <w:szCs w:val="17"/>
          <w:color w:val="auto"/>
        </w:rPr>
        <w:t>Replimune Group, Inc. (the “Company”) is a clinical-stage biotechnology company with the mission to transform cancer treatment by pioneering the development of a novel portfolio of oncolytic immunotherapies. The Company's proprietary oncolytic immunotherapy product candidates are intended to maximally activate the immune system against cancer. Replimune Group, Inc., whose predecessor was founded in 2015, is the parent company of its wholly owned, direct and indirect subsidiaries: Replimune Limited (“Replimune UK”); Replimune, Inc. (“Replimune US”); Replimune Securities Corporation; and Replimune (Ireland) Limited.</w:t>
      </w:r>
    </w:p>
    <w:p>
      <w:pPr>
        <w:spacing w:after="0" w:line="201" w:lineRule="exact"/>
        <w:rPr>
          <w:sz w:val="20"/>
          <w:szCs w:val="20"/>
          <w:color w:val="auto"/>
        </w:rPr>
      </w:pPr>
    </w:p>
    <w:p>
      <w:pPr>
        <w:ind w:right="160" w:firstLine="619"/>
        <w:spacing w:after="0"/>
        <w:rPr>
          <w:sz w:val="20"/>
          <w:szCs w:val="20"/>
          <w:color w:val="auto"/>
        </w:rPr>
      </w:pPr>
      <w:r>
        <w:rPr>
          <w:rFonts w:ascii="Times New Roman" w:cs="Times New Roman" w:eastAsia="Times New Roman" w:hAnsi="Times New Roman"/>
          <w:sz w:val="17"/>
          <w:szCs w:val="17"/>
          <w:color w:val="auto"/>
        </w:rPr>
        <w:t>The Company is subject to risks and uncertainties common to companies in the biotechnology industry, including, but not limited to, the progress and outcomes of preclinical and clinical development, the requirements and views of regulators, the development by competitors of new technological innovations, dependence on key personnel, protection of proprietary technology, third-party intellectual property, compliance with government regulations and the ability to secure additional capital to fund operations. Product candidates currently under development will require significant additional research and development efforts, including preclinical and clinical testing and regulatory review and approval, prior to commercialization. These efforts require significant amounts of additional capital, adequate personnel and infrastructure and extensive compliance and reporting capabilities. Even if the Company’s product development efforts are successful, it is uncertain when, if ever, the Company will realize revenue from product sales.</w:t>
      </w:r>
    </w:p>
    <w:p>
      <w:pPr>
        <w:spacing w:after="0" w:line="179"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The Company's proprietary oncolytic immunotherapy product candidates, the RPx product candidates, are based on a novel, engineered strain of herpes simplex virus 1, or HSV-1, backbone with added payloads intended to maximize immunogenic cell death and the induction of a systemic anti-tumor immune response. The Company currently has three RPx product candidates, RP1, RP2 and RP3. RP1 is currently under development in multiple clinical trials, the most advanced being the anti-PD-1 failed melanoma cohort of the IGNYTE clinical trial.</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08"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on the basis of continuity of operations, realization of assets and the satisfaction of liabilities and commitments in the ordinary course of business. The Company has incurred recurring losses since its inception, including net losses of $70.9 million and $66.3 million for the three months ended December 31, 2025 and 2024, and net losses of $240.7 million and $173.2 million for the nine months ended December 31, 2025 and 2024, respectively. In addition, as of December 31, 2025, the Company had an accumulated deficit of $1,189.3 million. The Company expects to continue to generate operating losses for the foreseeable future and will need to finance its future cash needs through any or a combination of equity offerings, debt financings, collaborations, strategic partnerships and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 The Company expects that its cash and cash equivalents and short-term investments will be sufficient to fund its operations through at least 12 months from the issuance of these condensed consolidated financial statements, which includes the potential commercialization of RP1 in advanced melanoma and for working capital and general corporate purposes and excludes any potential revenue. These estimates are based on assumptions that may prove to be wrong, including the assumption of a potential commercialization of RP1 in advanced melanoma, that the development of RP1 will even remain viable, and the Company could utilize its available capital resources sooner than expected.</w:t>
      </w:r>
    </w:p>
    <w:p>
      <w:pPr>
        <w:spacing w:after="0" w:line="187" w:lineRule="exact"/>
        <w:rPr>
          <w:sz w:val="20"/>
          <w:szCs w:val="20"/>
          <w:color w:val="auto"/>
        </w:rPr>
      </w:pPr>
    </w:p>
    <w:p>
      <w:pPr>
        <w:ind w:left="620" w:right="7920" w:hanging="617"/>
        <w:spacing w:after="0" w:line="508" w:lineRule="auto"/>
        <w:tabs>
          <w:tab w:leader="none" w:pos="17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Principles of consolidation</w:t>
      </w:r>
    </w:p>
    <w:p>
      <w:pPr>
        <w:spacing w:after="0" w:line="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in accordance with accounting principles generally accepted in the United States of America ("GAAP") and include the accounts of the Company and its direct and indirect wholly owned subsidiaries, Replimune UK, Replimune US, Replimune Securities Corporation and Replimune (Ireland) Limited after elimination of all intercompany accounts and transactions.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expenses and the valuation of stock-based awards. The Company bases its estimates on historical experience, known trends and other market-specific or other relevant factors that it believes to be reasonable under the circumstances.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Unaudited interim financial information</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accompanying condensed consolidated balance sheet as of December 31, 2025, the condensed consolidated statements of operations, condensed consolidated statements of comprehensive loss and consolidated statements of stockholders’ equity for the three and nine months ended December 31, 2025 and 2024 and the condensed consolidated statements of cash flows for the nine months ended December 31, 2025 and 2024 are unaudited.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December 31, 2025 and the results of its operations for the three and nine months ended December 31, 2025 and 2024 and its cash flows for the nine months ended December 31, 2025 and 2024. The financial data and other information disclosed in these consolidated notes related to the three and nine months ended December 31, 2025 and 2024 are unaudited. The results for the three and nine months ended December 31, 2025 are not necessarily indicative of results to be expected for the year ending March 31, 2026, any other interim periods or any future year or period. The financial information included herein should be read in conjunction with the financial statements and notes in the Company's Annual Report on Form 10-K for the year ended March 31, 2025, which was filed with the U.S. Securities and Exchange Commission, or the SEC, on May 22, 2025 (the "Annual Report").</w:t>
      </w:r>
    </w:p>
    <w:p>
      <w:pPr>
        <w:spacing w:after="0" w:line="18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December 31, 2025, there have been no changes to the Company’s significant accounting policies as described in the Annual Report.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1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In December 2023, the Financial Accounting Standards Board issued Accounting Standards Update ("ASU") No. 2023-09, “Income Taxes (Topic 740): Improvements to Income Tax Disclosures.” This ASU updates income tax disclosure requirements primarily by requiring specific categories and greater disaggregation within the rate reconciliation and disaggregation of income taxes paid by jurisdiction. The amendments may be applied either (1) prospectively to financial statements issued for reporting periods after the effective date of this ASU or (2) retrospectively to all prior periods presented in the financial statements. This ASU is effective for the Company's annual filing for the year ended March 31, 2026. As this accounting standard only impacts disclosures, it will not have a material impact on the Company's consolidated financial statements.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w:t>
      </w:r>
    </w:p>
    <w:p>
      <w:pPr>
        <w:spacing w:after="0" w:line="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Income—Expense Disaggregation Disclosures". The ASU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spacing w:after="0" w:line="207"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color w:val="auto"/>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The new guidance is effective for annual periods beginning after December 15, 2027, and interim periods within those fiscal years, with early adoption permitted. ASU 2025-06 may be applied retrospectively or prospectively. The Company is in the process of evaluating the impact of this new guidance on its disclosures.</w:t>
      </w:r>
    </w:p>
    <w:p>
      <w:pPr>
        <w:spacing w:after="0" w:line="171" w:lineRule="exact"/>
        <w:rPr>
          <w:sz w:val="20"/>
          <w:szCs w:val="20"/>
          <w:color w:val="auto"/>
        </w:rPr>
      </w:pPr>
    </w:p>
    <w:p>
      <w:pPr>
        <w:ind w:left="180" w:hanging="177"/>
        <w:spacing w:after="0"/>
        <w:tabs>
          <w:tab w:leader="none" w:pos="1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Fair value of financial assets and liabilities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and liabilities measured at fair value on a recurring basis: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3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of</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1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2025 Using:</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5"/>
        </w:trPr>
        <w:tc>
          <w:tcPr>
            <w:tcW w:w="1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9"/>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9"/>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31,977</w:t>
            </w:r>
          </w:p>
        </w:tc>
        <w:tc>
          <w:tcPr>
            <w:tcW w:w="100" w:type="dxa"/>
            <w:vAlign w:val="bottom"/>
          </w:tcPr>
          <w:p>
            <w:pPr>
              <w:spacing w:after="0"/>
              <w:rPr>
                <w:sz w:val="19"/>
                <w:szCs w:val="19"/>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31,977</w:t>
            </w: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20,009</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bonds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126,177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126,177</w:t>
            </w:r>
          </w:p>
        </w:tc>
      </w:tr>
      <w:tr>
        <w:trPr>
          <w:trHeight w:val="212"/>
        </w:trPr>
        <w:tc>
          <w:tcPr>
            <w:tcW w:w="1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178,163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178,163</w:t>
            </w:r>
          </w:p>
        </w:tc>
      </w:tr>
      <w:tr>
        <w:trPr>
          <w:trHeight w:val="20"/>
        </w:trPr>
        <w:tc>
          <w:tcPr>
            <w:tcW w:w="1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8"/>
        </w:trPr>
        <w:tc>
          <w:tcPr>
            <w:tcW w:w="12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Fair Value Measurements as of</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7"/>
        </w:trPr>
        <w:tc>
          <w:tcPr>
            <w:tcW w:w="1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March 31, 2025 Using:</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1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9"/>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0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9"/>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89,879</w:t>
            </w:r>
          </w:p>
        </w:tc>
        <w:tc>
          <w:tcPr>
            <w:tcW w:w="100" w:type="dxa"/>
            <w:vAlign w:val="bottom"/>
          </w:tcPr>
          <w:p>
            <w:pPr>
              <w:spacing w:after="0"/>
              <w:rPr>
                <w:sz w:val="19"/>
                <w:szCs w:val="19"/>
                <w:color w:val="auto"/>
              </w:rPr>
            </w:pP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89,879</w:t>
            </w: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108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84,804</w:t>
            </w: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bonds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287,881</w:t>
            </w:r>
          </w:p>
        </w:tc>
      </w:tr>
      <w:tr>
        <w:trPr>
          <w:trHeight w:val="212"/>
        </w:trPr>
        <w:tc>
          <w:tcPr>
            <w:tcW w:w="1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462,564</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462,564</w:t>
            </w:r>
          </w:p>
        </w:tc>
      </w:tr>
      <w:tr>
        <w:trPr>
          <w:trHeight w:val="20"/>
        </w:trPr>
        <w:tc>
          <w:tcPr>
            <w:tcW w:w="12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underlying securities in the money market funds held by the Company are all government backed securities.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and nine months ended December 31, 2025 and 2024, there were no transfers between levels.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cash equivalents and short-term investments</w:t>
      </w:r>
    </w:p>
    <w:p>
      <w:pPr>
        <w:spacing w:after="0" w:line="223" w:lineRule="exact"/>
        <w:rPr>
          <w:sz w:val="20"/>
          <w:szCs w:val="20"/>
          <w:color w:val="auto"/>
        </w:rPr>
      </w:pPr>
    </w:p>
    <w:p>
      <w:pPr>
        <w:ind w:firstLine="619"/>
        <w:spacing w:after="0" w:line="270" w:lineRule="auto"/>
        <w:rPr>
          <w:sz w:val="20"/>
          <w:szCs w:val="20"/>
          <w:color w:val="auto"/>
        </w:rPr>
      </w:pPr>
      <w:r>
        <w:rPr>
          <w:rFonts w:ascii="Times New Roman" w:cs="Times New Roman" w:eastAsia="Times New Roman" w:hAnsi="Times New Roman"/>
          <w:sz w:val="17"/>
          <w:szCs w:val="17"/>
          <w:color w:val="auto"/>
        </w:rPr>
        <w:t>Money market funds, U.S. Government Agency bonds and U.S. Treasury bonds were valued by the Company using quoted prices in active markets for similar securities, which represent a Level 2 measurement within the fair value hierarchy. Cash equivalents consisted of money market funds at December 31, 2025 and March 31, 2025.</w:t>
      </w:r>
    </w:p>
    <w:p>
      <w:pPr>
        <w:spacing w:after="0" w:line="161" w:lineRule="exact"/>
        <w:rPr>
          <w:sz w:val="20"/>
          <w:szCs w:val="20"/>
          <w:color w:val="auto"/>
        </w:rPr>
      </w:pPr>
    </w:p>
    <w:p>
      <w:pPr>
        <w:ind w:left="180" w:hanging="177"/>
        <w:spacing w:after="0"/>
        <w:tabs>
          <w:tab w:leader="none" w:pos="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Short-term investments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and March 31, 2025, the Company's available-for-sale investments by type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1540" w:type="dxa"/>
            <w:vAlign w:val="bottom"/>
            <w:gridSpan w:val="3"/>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Gross unrealized</w:t>
            </w:r>
          </w:p>
        </w:tc>
        <w:tc>
          <w:tcPr>
            <w:tcW w:w="1600" w:type="dxa"/>
            <w:vAlign w:val="bottom"/>
            <w:gridSpan w:val="3"/>
          </w:tcPr>
          <w:p>
            <w:pPr>
              <w:jc w:val="center"/>
              <w:ind w:right="200"/>
              <w:spacing w:after="0" w:line="161" w:lineRule="exact"/>
              <w:rPr>
                <w:sz w:val="20"/>
                <w:szCs w:val="20"/>
                <w:color w:val="auto"/>
              </w:rPr>
            </w:pPr>
            <w:r>
              <w:rPr>
                <w:rFonts w:ascii="Times New Roman" w:cs="Times New Roman" w:eastAsia="Times New Roman" w:hAnsi="Times New Roman"/>
                <w:sz w:val="17"/>
                <w:szCs w:val="17"/>
                <w:b w:val="1"/>
                <w:bCs w:val="1"/>
                <w:color w:val="auto"/>
              </w:rPr>
              <w:t>Gross unrealized</w:t>
            </w:r>
          </w:p>
        </w:tc>
        <w:tc>
          <w:tcPr>
            <w:tcW w:w="160" w:type="dxa"/>
            <w:vAlign w:val="bottom"/>
          </w:tcPr>
          <w:p>
            <w:pPr>
              <w:spacing w:after="0"/>
              <w:rPr>
                <w:sz w:val="13"/>
                <w:szCs w:val="13"/>
                <w:color w:val="auto"/>
              </w:rPr>
            </w:pP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220" w:type="dxa"/>
            <w:vAlign w:val="bottom"/>
          </w:tcPr>
          <w:p>
            <w:pPr>
              <w:spacing w:after="0"/>
              <w:rPr>
                <w:sz w:val="13"/>
                <w:szCs w:val="13"/>
                <w:color w:val="auto"/>
              </w:rPr>
            </w:pPr>
          </w:p>
        </w:tc>
        <w:tc>
          <w:tcPr>
            <w:tcW w:w="12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cost</w:t>
            </w:r>
          </w:p>
        </w:tc>
        <w:tc>
          <w:tcPr>
            <w:tcW w:w="32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30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20,009</w:t>
            </w:r>
          </w:p>
        </w:tc>
        <w:tc>
          <w:tcPr>
            <w:tcW w:w="0" w:type="dxa"/>
            <w:vAlign w:val="bottom"/>
          </w:tcPr>
          <w:p>
            <w:pPr>
              <w:spacing w:after="0"/>
              <w:rPr>
                <w:sz w:val="1"/>
                <w:szCs w:val="1"/>
                <w:color w:val="auto"/>
              </w:rPr>
            </w:pPr>
          </w:p>
        </w:tc>
      </w:tr>
      <w:tr>
        <w:trPr>
          <w:trHeight w:val="219"/>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126,177</w:t>
            </w:r>
          </w:p>
        </w:tc>
        <w:tc>
          <w:tcPr>
            <w:tcW w:w="0" w:type="dxa"/>
            <w:vAlign w:val="bottom"/>
          </w:tcPr>
          <w:p>
            <w:pPr>
              <w:spacing w:after="0"/>
              <w:rPr>
                <w:sz w:val="1"/>
                <w:szCs w:val="1"/>
                <w:color w:val="auto"/>
              </w:rPr>
            </w:pPr>
          </w:p>
        </w:tc>
      </w:tr>
      <w:tr>
        <w:trPr>
          <w:trHeight w:val="237"/>
        </w:trPr>
        <w:tc>
          <w:tcPr>
            <w:tcW w:w="36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146,186</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540" w:type="dxa"/>
            <w:vAlign w:val="bottom"/>
            <w:gridSpan w:val="3"/>
          </w:tcPr>
          <w:p>
            <w:pPr>
              <w:jc w:val="center"/>
              <w:ind w:right="100"/>
              <w:spacing w:after="0" w:line="166" w:lineRule="exact"/>
              <w:rPr>
                <w:sz w:val="20"/>
                <w:szCs w:val="20"/>
                <w:color w:val="auto"/>
              </w:rPr>
            </w:pPr>
            <w:r>
              <w:rPr>
                <w:rFonts w:ascii="Times New Roman" w:cs="Times New Roman" w:eastAsia="Times New Roman" w:hAnsi="Times New Roman"/>
                <w:sz w:val="17"/>
                <w:szCs w:val="17"/>
                <w:b w:val="1"/>
                <w:bCs w:val="1"/>
                <w:color w:val="auto"/>
              </w:rPr>
              <w:t>Gross unrealized</w:t>
            </w:r>
          </w:p>
        </w:tc>
        <w:tc>
          <w:tcPr>
            <w:tcW w:w="1520" w:type="dxa"/>
            <w:vAlign w:val="bottom"/>
            <w:gridSpan w:val="3"/>
          </w:tcPr>
          <w:p>
            <w:pPr>
              <w:jc w:val="center"/>
              <w:ind w:right="120"/>
              <w:spacing w:after="0" w:line="166" w:lineRule="exact"/>
              <w:rPr>
                <w:sz w:val="20"/>
                <w:szCs w:val="20"/>
                <w:color w:val="auto"/>
              </w:rPr>
            </w:pPr>
            <w:r>
              <w:rPr>
                <w:rFonts w:ascii="Times New Roman" w:cs="Times New Roman" w:eastAsia="Times New Roman" w:hAnsi="Times New Roman"/>
                <w:sz w:val="17"/>
                <w:szCs w:val="17"/>
                <w:b w:val="1"/>
                <w:bCs w:val="1"/>
                <w:color w:val="auto"/>
              </w:rPr>
              <w:t>Gross unrealized</w:t>
            </w:r>
          </w:p>
        </w:tc>
        <w:tc>
          <w:tcPr>
            <w:tcW w:w="160" w:type="dxa"/>
            <w:vAlign w:val="bottom"/>
          </w:tcPr>
          <w:p>
            <w:pPr>
              <w:spacing w:after="0"/>
              <w:rPr>
                <w:sz w:val="14"/>
                <w:szCs w:val="14"/>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27"/>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100" w:type="dxa"/>
            <w:vAlign w:val="bottom"/>
          </w:tcPr>
          <w:p>
            <w:pPr>
              <w:spacing w:after="0"/>
              <w:rPr>
                <w:sz w:val="19"/>
                <w:szCs w:val="19"/>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16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Government agency bonds</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84,807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84,804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287,881</w:t>
            </w:r>
          </w:p>
        </w:tc>
        <w:tc>
          <w:tcPr>
            <w:tcW w:w="0" w:type="dxa"/>
            <w:vAlign w:val="bottom"/>
          </w:tcPr>
          <w:p>
            <w:pPr>
              <w:spacing w:after="0"/>
              <w:rPr>
                <w:sz w:val="1"/>
                <w:szCs w:val="1"/>
                <w:color w:val="auto"/>
              </w:rPr>
            </w:pPr>
          </w:p>
        </w:tc>
      </w:tr>
      <w:tr>
        <w:trPr>
          <w:trHeight w:val="212"/>
        </w:trPr>
        <w:tc>
          <w:tcPr>
            <w:tcW w:w="37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372,377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372,685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and March 31, 2025, available-for-sale securities consisted of investments that mature within one year.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b w:val="1"/>
                <w:bCs w:val="1"/>
                <w:color w:val="auto"/>
              </w:rPr>
              <w:t>Property, plant and equipment, net</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2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Property, plant and equipment, net consisted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32"/>
        </w:trPr>
        <w:tc>
          <w:tcPr>
            <w:tcW w:w="122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Plant and laboratory equipment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10,877</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2,504</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software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8,089</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0" w:type="dxa"/>
            <w:vAlign w:val="bottom"/>
          </w:tcPr>
          <w:p>
            <w:pPr>
              <w:spacing w:after="0"/>
              <w:rPr>
                <w:sz w:val="1"/>
                <w:szCs w:val="1"/>
                <w:color w:val="auto"/>
              </w:rPr>
            </w:pPr>
          </w:p>
        </w:tc>
      </w:tr>
      <w:tr>
        <w:trPr>
          <w:trHeight w:val="212"/>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27,138</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(13,399)</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13,739</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Depreciation and amortization expense, including amortization on capitalized software, was $0.8 million and $2.6 million for the three and nine months ended December 31, 2025 and $1.0 million and $2.7 million for the three and nine months ended December 31, 2024. Amortization on capitalized software for the three and nine months ended December 31, 2025 was $0.3 million and $0.9 million, respectively. Amortization of capitalized software for the three and nine months ended December 31, 2024 was $0.3 million and $0.4 million, respectively. Depreciation and amortization expense is recorded within research and development and selling, general and administrative expenses in the consolidated statement of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6. </w:t>
            </w:r>
            <w:r>
              <w:rPr>
                <w:rFonts w:ascii="Times New Roman" w:cs="Times New Roman" w:eastAsia="Times New Roman" w:hAnsi="Times New Roman"/>
                <w:sz w:val="17"/>
                <w:szCs w:val="17"/>
                <w:b w:val="1"/>
                <w:bCs w:val="1"/>
                <w:color w:val="auto"/>
              </w:rPr>
              <w:t>Accrued expenses and other current liabilities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3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24"/>
                <w:szCs w:val="24"/>
                <w:color w:val="auto"/>
              </w:rPr>
            </w:pPr>
          </w:p>
        </w:tc>
        <w:tc>
          <w:tcPr>
            <w:tcW w:w="130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32"/>
        </w:trPr>
        <w:tc>
          <w:tcPr>
            <w:tcW w:w="8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research and development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19,606</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 costs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20,080</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6,069</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45,916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140" w:hanging="137"/>
        <w:spacing w:after="0"/>
        <w:tabs>
          <w:tab w:leader="none" w:pos="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Debt</w:t>
      </w:r>
    </w:p>
    <w:p>
      <w:pPr>
        <w:spacing w:after="0" w:line="20" w:lineRule="exact"/>
        <w:rPr>
          <w:sz w:val="20"/>
          <w:szCs w:val="20"/>
          <w:color w:val="auto"/>
        </w:rPr>
      </w:pPr>
    </w:p>
    <w:p>
      <w:pPr>
        <w:jc w:val="both"/>
        <w:ind w:firstLine="619"/>
        <w:spacing w:after="0" w:line="237" w:lineRule="auto"/>
        <w:rPr>
          <w:sz w:val="20"/>
          <w:szCs w:val="20"/>
          <w:color w:val="auto"/>
        </w:rPr>
      </w:pPr>
      <w:r>
        <w:rPr>
          <w:rFonts w:ascii="Times New Roman" w:cs="Times New Roman" w:eastAsia="Times New Roman" w:hAnsi="Times New Roman"/>
          <w:sz w:val="17"/>
          <w:szCs w:val="17"/>
          <w:color w:val="auto"/>
        </w:rPr>
        <w:t>On October 6, 2022, the Company entered into a Loan and Security Agreement (the “Loan Agreement”), with Hercules Capital, Inc., as administrative agent, collateral agent and as a lender (“Hercules”). Pursuant to the Loan Agreement, the Company can borrow term loans in an aggregate maximum principal amount of up to $200.0 million under multiple tranches (the “Term Loan Facility”). Under the Loan Agreement, the Company borrowed an initial amount of $30.0 million on the closing date, and at the Company's sole option, could have drawn, but did not draw down, an additional $30.0 million on or prior to September 30, 2023. The Company can also draw as additional term loan advances in an aggregate principal amount of up to $115.0 million during the term of the Term Loan Facility subject to achievement of specified performance milestones, and two additional term loan advances up to an aggregate principal amount of $25.0 million subject to certain terms and conditions, on or prior to the end of the interest-only period. The Company intends to use the proceeds of the Term Loan Facility for working capital and general corporate purposes.</w:t>
      </w:r>
    </w:p>
    <w:p>
      <w:pPr>
        <w:spacing w:after="0" w:line="204"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17"/>
          <w:szCs w:val="17"/>
          <w:color w:val="auto"/>
        </w:rPr>
        <w:t>The Loan Agreement was subsequently amended (the "Amendment") on June 28, 2023 pursuant to which the Company agreed to draw an initial term loan advance in an aggregate principal amount not less than $30.0 million, provided that the aggregate amount of the term loan advances made under tranche 1 do not exceed $30.0 million, which reflects a decrease of $30.0 million from the $60.0 million in the original Loan Agreement for tranche 1. The total amount of the Loan Agreement, as well as the outstanding balance of the loan, is unchanged, but the option to borrow additional funds were redistributed from tranche 1 to tranche 2.</w:t>
      </w:r>
    </w:p>
    <w:p>
      <w:pPr>
        <w:spacing w:after="0" w:line="201" w:lineRule="exact"/>
        <w:rPr>
          <w:sz w:val="20"/>
          <w:szCs w:val="20"/>
          <w:color w:val="auto"/>
        </w:rPr>
      </w:pPr>
    </w:p>
    <w:p>
      <w:pPr>
        <w:jc w:val="both"/>
        <w:ind w:right="260" w:firstLine="619"/>
        <w:spacing w:after="0" w:line="246" w:lineRule="auto"/>
        <w:rPr>
          <w:sz w:val="20"/>
          <w:szCs w:val="20"/>
          <w:color w:val="auto"/>
        </w:rPr>
      </w:pPr>
      <w:r>
        <w:rPr>
          <w:rFonts w:ascii="Times New Roman" w:cs="Times New Roman" w:eastAsia="Times New Roman" w:hAnsi="Times New Roman"/>
          <w:sz w:val="17"/>
          <w:szCs w:val="17"/>
          <w:color w:val="auto"/>
        </w:rPr>
        <w:t>A second amendment was made to the Loan Agreement (the "Second Amendment") on December 22, 2023 (the "closing date") pursuant to which the Company agreed to draw a term loan advance in an aggregate principal amount not less than $15.0 million, provided that the aggregate amount of the term loan advances made under tranche 2 do not exceed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$15.0 million on or prior to December 31, 2023. The Second Amendment re-allocated the total future consideration of the Loan Agreement to the future tranches extending through September 2026, subject to the terms and conditions of the Loan Agreement. The Second Amendment did not change the total aggregate maximum principal amount to be drawn under the Loan Agreement, which remains as up to $200.0 million. Upon closing of the Second Amendment, the Company drew down the tranche 2 amount of $15.0 million.</w:t>
      </w:r>
    </w:p>
    <w:p>
      <w:pPr>
        <w:spacing w:after="0" w:line="198" w:lineRule="exact"/>
        <w:rPr>
          <w:sz w:val="20"/>
          <w:szCs w:val="20"/>
          <w:color w:val="auto"/>
        </w:rPr>
      </w:pPr>
    </w:p>
    <w:p>
      <w:pPr>
        <w:ind w:right="80" w:firstLine="619"/>
        <w:spacing w:after="0" w:line="241" w:lineRule="auto"/>
        <w:rPr>
          <w:sz w:val="20"/>
          <w:szCs w:val="20"/>
          <w:color w:val="auto"/>
        </w:rPr>
      </w:pPr>
      <w:r>
        <w:rPr>
          <w:rFonts w:ascii="Times New Roman" w:cs="Times New Roman" w:eastAsia="Times New Roman" w:hAnsi="Times New Roman"/>
          <w:sz w:val="17"/>
          <w:szCs w:val="17"/>
          <w:color w:val="auto"/>
        </w:rPr>
        <w:t>The Term Loan Facility will mature on October 1, 2027 (the “Maturity Date”). The outstanding principal balance of the Term Loan Facility bears interest payable in cash at a floating rate per annum equal to the greater of (i) 7.25% and (ii) the sum of the Prime Rate (which is capped at 7.25%) and 1.75%. Accrued interest is payable monthly following the funding of each term loan advance. In addition, the principal balance of the Term Loan Facility will bear “payment-in-kind” interest at the rate of 1.50% (“PIK Interest”), which PIK Interest will be added to the outstanding principal balance of the Term Loan Facility on each interest payment date.</w:t>
      </w:r>
    </w:p>
    <w:p>
      <w:pPr>
        <w:spacing w:after="0" w:line="205"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Borrowings under the Loan Agreement are repayable in monthly interest-only payments through September 2026. After the interest-only payment period, borrowings under the Loan Agreement are repayable in equal monthly payments of principal and accrued interest until October 2027. At the Company's option, the Company may prepay all or a portion of the outstanding borrowings, subject to a prepayment fee of 3.0% of the principal amount if prepayment had occurred during the 12 months following the closing date, 2.0% after 12 months following the closing date but prior to 36 months following the closing date, and 1.0% thereafter.</w:t>
      </w:r>
    </w:p>
    <w:p>
      <w:pPr>
        <w:spacing w:after="0" w:line="397"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17"/>
          <w:szCs w:val="17"/>
          <w:color w:val="auto"/>
        </w:rPr>
        <w:t>The Loan Agreement contains customary facility fees, events of default and representations, warranties and affirmative and negative covenants, including a financial covenant requiring the Company to maintain unrestricted cash in an amount not less than 35% of the aggregate outstanding secured obligations under the Loan Agreement in accounts subject to a control agreement in favor of the Agent (the “Unrestricted Cash”) at all times which commenced on January 1, 2024. In addition, the Loan Agreement also contains a financial covenant that beginning on the later of (i) July 1, 2024 and (ii) the date on which the aggregate outstanding principal amount of the Term Loan Facility is equal to or greater than $100.0 million, the Company is required to satisfy one of the following requirements: (1) achieve a minimum amount of trailing three-month net product revenue tested on a monthly basis, (2) maintain a market capitalization in excess of $1.2 billion and Unrestricted Cash in an amount no less than 50% of the outstanding amount under the Term Loan Facility, or (3) maintain Unrestricted Cash in an amount no less than 85% of the outstanding amount under the Term Loan Facility.</w:t>
      </w:r>
    </w:p>
    <w:p>
      <w:pPr>
        <w:spacing w:after="0" w:line="202" w:lineRule="exact"/>
        <w:rPr>
          <w:sz w:val="20"/>
          <w:szCs w:val="20"/>
          <w:color w:val="auto"/>
        </w:rPr>
      </w:pPr>
    </w:p>
    <w:p>
      <w:pPr>
        <w:ind w:right="140" w:firstLine="619"/>
        <w:spacing w:after="0" w:line="248" w:lineRule="auto"/>
        <w:rPr>
          <w:sz w:val="20"/>
          <w:szCs w:val="20"/>
          <w:color w:val="auto"/>
        </w:rPr>
      </w:pPr>
      <w:r>
        <w:rPr>
          <w:rFonts w:ascii="Times New Roman" w:cs="Times New Roman" w:eastAsia="Times New Roman" w:hAnsi="Times New Roman"/>
          <w:sz w:val="17"/>
          <w:szCs w:val="17"/>
          <w:color w:val="auto"/>
        </w:rPr>
        <w:t>The Company paid a $0.5 million facility charge and incurred debt issuance costs of $1.5 million upon closing of the Loan Agreement. The Loan Agreement also provides for a final payment, payable upon maturity or the repayment of the obligations in full or in part (on a pro rata basis), equal to 4.95% of the aggregate principal amount of Term Loans advanced to the Company and repaid on such date, which is being accrued on the Company's consolidated balance sheet. The amount accrued for the final payment is $1.4 million as of December 31, 2025 and $1.0 million as of March 31, 2025.</w:t>
      </w:r>
    </w:p>
    <w:p>
      <w:pPr>
        <w:spacing w:after="0" w:line="198" w:lineRule="exact"/>
        <w:rPr>
          <w:sz w:val="20"/>
          <w:szCs w:val="20"/>
          <w:color w:val="auto"/>
        </w:rPr>
      </w:pPr>
    </w:p>
    <w:p>
      <w:pPr>
        <w:ind w:right="120" w:firstLine="619"/>
        <w:spacing w:after="0" w:line="248" w:lineRule="auto"/>
        <w:rPr>
          <w:sz w:val="20"/>
          <w:szCs w:val="20"/>
          <w:color w:val="auto"/>
        </w:rPr>
      </w:pPr>
      <w:r>
        <w:rPr>
          <w:rFonts w:ascii="Times New Roman" w:cs="Times New Roman" w:eastAsia="Times New Roman" w:hAnsi="Times New Roman"/>
          <w:sz w:val="17"/>
          <w:szCs w:val="17"/>
          <w:color w:val="auto"/>
        </w:rPr>
        <w:t>Unamortized debt issuance costs and deferred financing costs are recorded as a reduction of the carrying amount on the term loan and amortized as interest expense using the effective-interest method. Unamortized debt issuance costs and deferred financing costs of $0.8 million and $1.1 million were recorded in other assets as of December 31, 2025 and March 31, 2025, respectively. Interest expense for the three and nine months ended December 31, 2025 was $1.5 million and $4.4 million, and $1.5 million and $4.3 million for the three and nine months ended December 31, 2024.</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summary of obligations under the term loan as of December 31, 2025 and March 31, 2025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00" w:type="dxa"/>
            <w:vAlign w:val="bottom"/>
          </w:tcPr>
          <w:p>
            <w:pPr>
              <w:spacing w:after="0"/>
              <w:rPr>
                <w:sz w:val="19"/>
                <w:szCs w:val="19"/>
                <w:color w:val="auto"/>
              </w:rPr>
            </w:pPr>
          </w:p>
        </w:tc>
        <w:tc>
          <w:tcPr>
            <w:tcW w:w="18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loan balance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46,985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46,450</w:t>
            </w: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 charge and diligence fee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r>
      <w:tr>
        <w:trPr>
          <w:trHeight w:val="21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end of term fee</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w:t>
            </w:r>
          </w:p>
        </w:tc>
      </w:tr>
      <w:tr>
        <w:trPr>
          <w:trHeight w:val="237"/>
        </w:trPr>
        <w:tc>
          <w:tcPr>
            <w:tcW w:w="6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Long term debt, net of discount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46,377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annual principal payments due under the Loan Agreement as of fiscal December 31, 2025 and March 31, 2025 were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82"/>
        </w:trPr>
        <w:tc>
          <w:tcPr>
            <w:tcW w:w="12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00" w:type="dxa"/>
            <w:vAlign w:val="bottom"/>
          </w:tcPr>
          <w:p>
            <w:pPr>
              <w:spacing w:after="0"/>
              <w:rPr>
                <w:sz w:val="24"/>
                <w:szCs w:val="24"/>
                <w:color w:val="auto"/>
              </w:rPr>
            </w:pPr>
          </w:p>
        </w:tc>
        <w:tc>
          <w:tcPr>
            <w:tcW w:w="18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2"/>
        </w:trPr>
        <w:tc>
          <w:tcPr>
            <w:tcW w:w="1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20,145</w:t>
            </w:r>
          </w:p>
        </w:tc>
      </w:tr>
      <w:tr>
        <w:trPr>
          <w:trHeight w:val="219"/>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6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27,769</w:t>
            </w:r>
          </w:p>
        </w:tc>
      </w:tr>
      <w:tr>
        <w:trPr>
          <w:trHeight w:val="212"/>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56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47,914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47,914</w:t>
            </w:r>
          </w:p>
        </w:tc>
      </w:tr>
      <w:tr>
        <w:trPr>
          <w:trHeight w:val="20"/>
        </w:trPr>
        <w:tc>
          <w:tcPr>
            <w:tcW w:w="1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of future payments of long-term debt excludes the end of term charge of $2.2 million, which is due upon the maturity of the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7"/>
          <w:szCs w:val="17"/>
          <w:b w:val="1"/>
          <w:bCs w:val="1"/>
          <w:color w:val="auto"/>
        </w:rPr>
        <w:t>Stockholders’ equity</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3"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and March 31, 2025, the Company’s certificate of incorporation, as amended and restated, authorized the Company to issue up to 150,000,000 shares of common stock, par value $0.001 per share.</w:t>
      </w:r>
    </w:p>
    <w:p>
      <w:pPr>
        <w:spacing w:after="0" w:line="151"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The Company had reserved for common stock for the exercise of outstanding stock options and the vesting of restricted stock units, the number of shares remaining available for grant under the Company’s 2018 Omnibus Incentive Compensation Plan and the Company’s Employee Stock Purchase Plan (see Note 10) and the exercise of the outstanding warrants to purchase shares of common stock as follows:</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6420" w:type="dxa"/>
            <w:vAlign w:val="bottom"/>
          </w:tcPr>
          <w:p>
            <w:pPr>
              <w:spacing w:after="0"/>
              <w:rPr>
                <w:sz w:val="19"/>
                <w:szCs w:val="19"/>
                <w:color w:val="auto"/>
              </w:rPr>
            </w:pP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2"/>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issued and outstanding</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11,927,970</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and performance stock units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5,663,023</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and restricted stock units, future issuance</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1,461,563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 available for future grants</w:t>
            </w: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4,102,399</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Pre-IPO warrants to purchase common stock</w:t>
            </w:r>
          </w:p>
        </w:tc>
        <w:tc>
          <w:tcPr>
            <w:tcW w:w="2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Pre-funded warrants</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14,058,153</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37"/>
        </w:trPr>
        <w:tc>
          <w:tcPr>
            <w:tcW w:w="6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37,213,108</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Undesignated preferred stock</w:t>
      </w:r>
    </w:p>
    <w:p>
      <w:pPr>
        <w:spacing w:after="0" w:line="223"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Company’s certificate of incorporation, as amended and restated, authorized the Company to issue up to 10,000,000 shares of undesignated preferred stock, par value $0.001 per share. There were no undesignated preferred shares issued or outstanding as of December 31, 2025.</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ATM program</w:t>
      </w:r>
    </w:p>
    <w:p>
      <w:pPr>
        <w:spacing w:after="0" w:line="210" w:lineRule="exact"/>
        <w:rPr>
          <w:sz w:val="20"/>
          <w:szCs w:val="20"/>
          <w:color w:val="auto"/>
        </w:rPr>
      </w:pPr>
    </w:p>
    <w:p>
      <w:pPr>
        <w:jc w:val="both"/>
        <w:ind w:right="100" w:firstLine="619"/>
        <w:spacing w:after="0" w:line="243" w:lineRule="auto"/>
        <w:rPr>
          <w:sz w:val="20"/>
          <w:szCs w:val="20"/>
          <w:color w:val="auto"/>
        </w:rPr>
      </w:pPr>
      <w:r>
        <w:rPr>
          <w:rFonts w:ascii="Times New Roman" w:cs="Times New Roman" w:eastAsia="Times New Roman" w:hAnsi="Times New Roman"/>
          <w:sz w:val="17"/>
          <w:szCs w:val="17"/>
          <w:color w:val="auto"/>
        </w:rPr>
        <w:t>On August 3, 2023, the Company and Leerink Partners LLC (the "Agent") entered into a sales agreement, which was subsequently amended on May 16, 2024, November 25, 2024 and May 22, 2025 (as so amended, the "2023 Sales Agreement"). Under the 2023 Sales Agreement, the Company may sell, from time to time, at its option, up to an aggregate of $100.0 million of shares of the Company's common stock, $0.001 par value shares (the "Shares"), through the Agent, as the Company's sales agent.</w:t>
      </w:r>
    </w:p>
    <w:p>
      <w:pPr>
        <w:spacing w:after="0" w:line="175" w:lineRule="exact"/>
        <w:rPr>
          <w:sz w:val="20"/>
          <w:szCs w:val="20"/>
          <w:color w:val="auto"/>
        </w:rPr>
      </w:pPr>
    </w:p>
    <w:p>
      <w:pPr>
        <w:jc w:val="both"/>
        <w:ind w:right="100" w:firstLine="619"/>
        <w:spacing w:after="0" w:line="245" w:lineRule="auto"/>
        <w:rPr>
          <w:sz w:val="20"/>
          <w:szCs w:val="20"/>
          <w:color w:val="auto"/>
        </w:rPr>
      </w:pPr>
      <w:r>
        <w:rPr>
          <w:rFonts w:ascii="Times New Roman" w:cs="Times New Roman" w:eastAsia="Times New Roman" w:hAnsi="Times New Roman"/>
          <w:sz w:val="17"/>
          <w:szCs w:val="17"/>
          <w:color w:val="auto"/>
        </w:rPr>
        <w:t>Any Shares to be offered and sold under the 2023 Sales Agreement will be issued and sold (i) by methods deemed to be an “at the market offering” (“ATM”) as defined in Rule 415(a)(4) promulgated under the Securities Act of 1933, as amended, or if authorized by the Company, in negotiated transactions or block trades, and (ii) pursuant to a registration statement on Form S-3 filed by the Company with the SEC on November 6, 2025, which became effective in accordance with the provisions of Section 8(a) of the Securities Act of 1933, as may be amended from time to time, for an offering of various securities, including shares of the Company’s common stock, preferred stock, debt securities, warrants and/or units for sale to the public in one or more public offerings.</w:t>
      </w:r>
    </w:p>
    <w:p>
      <w:pPr>
        <w:spacing w:after="0" w:line="188"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Subject to the terms of the 2023 Sales Agreement, the Agent will use reasonable efforts to sell the Shares from time to time, based upon the Company’s instructions (including any price, time or size limits or other customary parameters or</w:t>
      </w: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conditions the Company may impose). The Company will pay the Agent a commission of up to 3.0% of the gross proceeds from the sale of the Shares. The Company has also agreed to provide the Agent with customary indemnification rights.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December 31, 2025, pursuant to the 2023 Sales Agreement, the Company issued and sold an aggregate of 1,079,523 shares of its common stock, resulting in net proceeds of $10.4 million, with $89.3 million left to sell under the Agreement. During the three and nine months ended December 31, 2024, the Company did not issue or sell any shares under the 2023 Sales Agreement.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 offerings</w:t>
      </w:r>
    </w:p>
    <w:p>
      <w:pPr>
        <w:spacing w:after="0" w:line="210"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On June 14, 2024, the Company completed a private placement transaction (the "Private Placement") pursuant to which the Company sold (a) 5,668,937 shares of the Company's common stock, at an offering price of $8.82, and (b) in lieu of common stock to certain investors, pre-funded warrants to purchase 5,669,578 shares of the Company's common stock at an offering price of $8.819 per pre-funded warrant (the "June 2024 Pre-funded Warrants"). The Company received aggregate net proceeds in the Private Placement of approximately $96.7 million after deducting placement agent fees and other offering expenses payable by the Company of approximately $3.3 million.</w:t>
      </w:r>
    </w:p>
    <w:p>
      <w:pPr>
        <w:spacing w:after="0" w:line="175"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On November 25, 2024, the Company completed a public offering of (a) 8,538,377 shares of the Company’s common stock, inclusive of the underwriters fully exercised 30-day option to purchase up to 1,615,377 additional shares of the Company's common stock at a public offering price of $13.00 per share, and (b) pre-funded warrants to purchase 3,846,184 shares of the Company’s common stock at a public offering price of $12.9999 per pre-funded warrant (the "December 2024 Pre-Funded Warrants"). The company received aggregate net proceeds of approximately $156.0 million after deducting fees and expenses of approximately $5.0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7"/>
          <w:szCs w:val="17"/>
          <w:b w:val="1"/>
          <w:bCs w:val="1"/>
          <w:color w:val="auto"/>
        </w:rPr>
        <w:t>Pre-funded Warrants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Company's pre-funded warrants are exercisable at any time after the date of issuance. Unless otherwise modified by a holder of a pre-funded warrant, no holder may exercise a pre-funded warrant (i) if such holder, together with its affiliates, would beneficially own more than 9.99% (or, in the case of the December 2024 Pre-Funded Warrants, 4.99%) of the number of shares of the Company’s common stock outstanding immediately after giving effect to such exercise, or (ii) if the combined voting power of our securities beneficially owned by such holder, together with its affiliates, would exceed 9.99% (or, in the case of the December 2024 Pre-Funded Warrants, 4.99%) of the combined voting power of all of our securities then outstanding immediately after giving effect to the exercise of such pre-funded warrants, as such percentage ownership is determined in accordance with the terms of the pre-funded warrants. A holder of the June 2024 Pre-funded Warrants may increase or decrease this percentage to any other percentage not in excess of 9.99%, whereas a holder of the Company's other Pre-funded Warrants, may increase or decrease this percentage up to 19.99%, in all cases, by providing at least 61 days’ prior notice to the Company.</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14,058,153 shares of the Company's common stock underlying the pre-funded warrants issued by the Company are not included in the number of issued and outstanding shares of the Company’s common stock as reported on the consolidated balance sheet, though they are included in the Company's annual pool increase calculation as described in Note 10, as well as the weighted average outstanding common stock in the calculation of basic and diluted net loss per share, as described below in Note 11.</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During the nine months ended December 31, 2025, one pre-IPO warrant holder exercised 248,672 of the Company's pre-funded warrants for an exercise price of $1.01 per pre-funded warrant. In addition, a second holder of the Company's pre-IPO warrants exercised 248,672 of the Company's pre-funded warrants for an exercise price of $1.01 per pre-funded warrant. As a result of the exercises, the Company issued 497,344 shares of Common Stock in exchange thereof. During the year ended March 31, 2025, a holder of the Company's pre-funded warrants exercised 739,225 of its pre-funded warrants for an exercise price of $0.001 per pre-funded warrant and the Company issued 739,225 shares of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10 </w:t>
      </w:r>
      <w:r>
        <w:rPr>
          <w:rFonts w:ascii="Times New Roman" w:cs="Times New Roman" w:eastAsia="Times New Roman" w:hAnsi="Times New Roman"/>
          <w:sz w:val="17"/>
          <w:szCs w:val="17"/>
          <w:b w:val="1"/>
          <w:bCs w:val="1"/>
          <w:color w:val="auto"/>
        </w:rPr>
        <w:t>Stock-based compensation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4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60"/>
        </w:trPr>
        <w:tc>
          <w:tcPr>
            <w:tcW w:w="480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3"/>
        </w:trPr>
        <w:tc>
          <w:tcPr>
            <w:tcW w:w="8280" w:type="dxa"/>
            <w:vAlign w:val="bottom"/>
            <w:gridSpan w:val="8"/>
          </w:tcPr>
          <w:p>
            <w:pPr>
              <w:ind w:left="620"/>
              <w:spacing w:after="0"/>
              <w:rPr>
                <w:sz w:val="20"/>
                <w:szCs w:val="20"/>
                <w:color w:val="auto"/>
              </w:rPr>
            </w:pPr>
            <w:r>
              <w:rPr>
                <w:rFonts w:ascii="Times New Roman" w:cs="Times New Roman" w:eastAsia="Times New Roman" w:hAnsi="Times New Roman"/>
                <w:sz w:val="17"/>
                <w:szCs w:val="17"/>
                <w:color w:val="auto"/>
              </w:rPr>
              <w:t>Stock-based compensation expense was classified in the consolidated statements of operations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83"/>
        </w:trPr>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20" w:type="dxa"/>
            <w:vAlign w:val="bottom"/>
            <w:gridSpan w:val="4"/>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1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3,609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13,927</w:t>
            </w:r>
          </w:p>
        </w:tc>
      </w:tr>
      <w:tr>
        <w:trPr>
          <w:trHeight w:val="21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3,438</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12,837</w:t>
            </w:r>
          </w:p>
        </w:tc>
      </w:tr>
      <w:tr>
        <w:trPr>
          <w:trHeight w:val="237"/>
        </w:trPr>
        <w:tc>
          <w:tcPr>
            <w:tcW w:w="122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7,047</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26,764</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by award type for the three and nine months ended December 31, 2025 and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7"/>
                <w:szCs w:val="17"/>
                <w:color w:val="auto"/>
              </w:rPr>
            </w:pPr>
          </w:p>
        </w:tc>
        <w:tc>
          <w:tcPr>
            <w:tcW w:w="2460" w:type="dxa"/>
            <w:vAlign w:val="bottom"/>
            <w:gridSpan w:val="4"/>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5"/>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0" w:type="dxa"/>
            <w:vAlign w:val="bottom"/>
          </w:tcPr>
          <w:p>
            <w:pPr>
              <w:spacing w:after="0"/>
              <w:rPr>
                <w:sz w:val="1"/>
                <w:szCs w:val="1"/>
                <w:color w:val="auto"/>
              </w:rPr>
            </w:pPr>
          </w:p>
        </w:tc>
      </w:tr>
      <w:tr>
        <w:trPr>
          <w:trHeight w:val="227"/>
        </w:trPr>
        <w:tc>
          <w:tcPr>
            <w:tcW w:w="5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3,630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11,928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15,466</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and performance stock units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3,417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12,219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11,298</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7,047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8,639</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24,147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2018 Omnibus Incentive Compensation Plan</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July 9, 2018, the Company’s board of directors adopted, and the Company’s stockholders approved the 2018 Omnibus Incentive Compensation Plan (the “2018 Plan”), which became effective immediately prior to the effectiveness of the registration statement filed in connection with the Company’s initial public offering. The 2018 Plan provides for the issuance of incentive stock options, non-qualified stock options, stock awards, stock units, stock appreciation rights and other stock-based awards. The number of shares of common stock initially reserved for issuance under the 2018 Plan is 3,617,968 shares. If any options or stock appreciation rights, including outstanding options and stock appreciation rights granted under the 2017 Plan (up to 2,520,247 shares), terminate, expire, or are canceled, forfeited, exchanged, or surrendered without having been exercised, or if any stock awards, stock units or other stock-based awards, including outstanding awards granted under the 2017 Plan, are forfeited, terminated, or otherwise not paid in full in shares of common stock, the shares of the Company’s common stock subject to such grants will be available for purposes of the 2018 Plan. The number of shares reserved for issuance under the 2018 Plan will increase automatically on the first day of each April equal to 4.0% of the total number of shares of common stock outstanding on the last trading day in the immediately preceding fiscal year, which includes for these purposes, the 14,058,153 shares issuable upon exercise of those pre-funded warrants as of March 31, 2025, as described in Note 9 to these condensed consolidated financial statements, or such lesser amount as determined by the Board. On April 1, 2025, the number of shares reserved for issuance under the 2018 Plan automatically increased by 3,645,727 shares pursuant to the terms of the 2018 Plan and based on total number of shares of common stock outstanding on March 31, 2025. As of December 31, 2025, 1,461,563 shares remained available for future grants under the 2018 Plan.</w:t>
      </w:r>
    </w:p>
    <w:p>
      <w:pPr>
        <w:spacing w:after="0" w:line="17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2018 Plan is administered by the board of directors or, at the discretion of the board of directors, by a committee of the board of directors. However, the board of directors shall administer and approve all grants made to non-employee directors. The exercise prices, vesting and other restrictions are determined at the discretion of the board of directors, except that the exercise price per share of incentive stock options may not be less than 100% of the fair market value of the common stock on the date of grant (or 110% of fair value in the case of an award granted to employees who hold more than 10% of the total combined voting power of all classes of stock at the time of grant) and the term of stock options may not be greater than five years for an incentive stock option granted to a 10% stockholder and greater than ten years for all other options granted. Stock options awarded under both plans expire ten years after the grant date, unless the board of directors sets a shorter term. Vesting periods for the plan is determined at the discretion of the board of directors. Incentive stock options granted to employees and non-statutory options granted to employees, officers, members of the board of directors, advisors, and consultants of the Company typically vest over four years. In 2021 the board of directors initiated the award of restricted stock units ("RSUs"), under the 2018 Plan in addition to stock option awards available as part of the Company's equity incentive for employees, officers, advisors and consultants of the Company. The RSUs typically vest over four approximately equal annual installments with the first such installment occurring on a designated vesting date that is approximately on the one-year anniversary of the date of grant and the subsequent installments occurring on the subsequent three annual anniversaries of the designated vesting date. In 2024, the Company's board of directors approved the award of performance stock units ("PSUs"),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under the 2018 Plan in addition to the aforementioned stock option awards and RSUs available as part of the Company’s equity incentive for employees, officers, advisors and consultants of the Company. The PSUs will become vested, if at all, upon the achievement of the approval of the Company's first Biologics License Application ("BLA") for RP1 by the Food and Drug Administration ("FDA") no later than June 30, 2026, and the expense recognized for these awards is based on the grant date fair value of the Company's common stock multiplied by the number of units granted. The timing of recognition of this stock-based compensation expense is subject to our judgment as to when the performance conditions are considered probable of being achieved. The Company did not grant any PSUs under the 2018 Plan during the nine months ended December 31, 2025 and the Company granted 246,110 PSUs under the 2018 Plan during the nine months ended December 31, 2024. As more fully described within this Quarterly Report on Form 10-Q, the FDA has accepted the resubmission of the BLA for RP1 in combination with nivolumab for the treatment of advanced melanoma. If the Company does not receive FDA approval of the Company's first BLA for RP1 on or before June 30, 2026 then no PSU will be earned or vested.</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July 9, 2018, the Company’s board of directors adopted and the Company’s stockholders approved the Employee Stock Purchase Plan (the “ESPP”), which became effective immediately prior to the effectiveness of the registration statement that was filed in connection with the Company’s IPO. The total shares of common stock initially reserved for issuance under the ESPP is 348,612 shares. In addition, as of the first trading day of each fiscal year during the term of the ESPP (excluding any extensions), an additional number of shares of the Company’s common stock equal to 1% of the total number of shares outstanding on the last trading day in the immediately preceding fiscal year, which includes for these purposes, the 14,058,153 shares issuable upon exercise of those pre-funded warrants described in Note 9 to these condensed consolidated financial statements, or 697,224 shares, whichever is less (or such lesser amount as determined by the Company’s board of directors) will be added to the number of shares authorized under the ESPP. In accordance with the terms of the ESPP, on April 1, 2025, the number of shares reserved for issuance under the ESPP automatically increased by 697,224, for a total of 4,102,399 shares reserved for the ESPP. If the total number of shares of common stock to be purchased pursuant to outstanding purchase rights on any particular date exceed the number of shares then available for issuance under the ESPP, then the plan administrator will allocate the available shares pro-rata and refund any excess payroll deductions or other contributions to participants. The Company’s ESPP is not currently active.</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Out-of-Plan Inducement Grants</w:t>
      </w:r>
    </w:p>
    <w:p>
      <w:pPr>
        <w:spacing w:after="0" w:line="223" w:lineRule="exact"/>
        <w:rPr>
          <w:sz w:val="20"/>
          <w:szCs w:val="20"/>
          <w:color w:val="auto"/>
        </w:rPr>
      </w:pPr>
    </w:p>
    <w:p>
      <w:pPr>
        <w:ind w:right="140" w:firstLine="619"/>
        <w:spacing w:after="0" w:line="258" w:lineRule="auto"/>
        <w:rPr>
          <w:sz w:val="20"/>
          <w:szCs w:val="20"/>
          <w:color w:val="auto"/>
        </w:rPr>
      </w:pPr>
      <w:r>
        <w:rPr>
          <w:rFonts w:ascii="Times New Roman" w:cs="Times New Roman" w:eastAsia="Times New Roman" w:hAnsi="Times New Roman"/>
          <w:sz w:val="17"/>
          <w:szCs w:val="17"/>
          <w:color w:val="auto"/>
        </w:rPr>
        <w:t>From time to time, the Company grants equity awards to newly hired employees and executives as a material inducement to enter into employment with the Company. The grants constitute "employment inducement grants" in accordance with Rule 5635(c)(4) of the Nasdaq Listing Rules and have been issued outside of the 2018 Plan and each of the other stock incentive plans described above. The inducement grants typically include nonqualified stock options to purchase shares of the Company's common stock, as well as restricted stock unit grants representing shares of the Company's common stock. These stock option and restricted stock unit inducement grants have terms and conditions consistent with those set forth under the 2018 Plan and vest under the same respective vesting schedules as stock option and restricted stock unit awards granted under the 2018 Plan. The inducement grants are included in the stock option and RSU award tables below. During the nine months ended December 31, 2025 and 2024, the Company granted 202,945 and 124,065 nonqualified stock options to purchase shares of the Company's common stock, and 333,130 and 148,190 restricted stock units under employment inducement grants.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 valuation</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fair value of stock option grants is estimated using the Black-Scholes option-pricing model, which requires inputs based on certain subjective assumptions including the expected stock price volatility, the expected term of the option, the risk-free interest rate determined by reference to the U.S Treasury yield curve in effect at the time of grant of the award for a period that approximates the expected term of the option, and our expected dividend yield. The expected term of stock options granted to non-employees is equal to the contractual term of the option award. Expected dividend yield is based on the fact that the Company has never paid cash dividends and does not expect to pay any cash dividends in the foreseeable future. For options with service-based vesting conditions, the expected term of the Company’s stock options has been determined utilizing the “simplified” method for awards that qualify as “plain-vanilla” options.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Forfeitures are accounted for as they occur.</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on a weighted-average basis, the assumptions that the Company used to determine the grant-date fair value of stock options granted to employees and directors: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3980" w:type="dxa"/>
            <w:vAlign w:val="bottom"/>
          </w:tcPr>
          <w:p>
            <w:pPr>
              <w:spacing w:after="0"/>
              <w:rPr>
                <w:sz w:val="24"/>
                <w:szCs w:val="24"/>
                <w:color w:val="auto"/>
              </w:rPr>
            </w:pPr>
          </w:p>
        </w:tc>
        <w:tc>
          <w:tcPr>
            <w:tcW w:w="250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800" w:type="dxa"/>
            <w:vAlign w:val="bottom"/>
          </w:tcPr>
          <w:p>
            <w:pPr>
              <w:spacing w:after="0"/>
              <w:rPr>
                <w:sz w:val="24"/>
                <w:szCs w:val="24"/>
                <w:color w:val="auto"/>
              </w:rPr>
            </w:pPr>
          </w:p>
        </w:tc>
        <w:tc>
          <w:tcPr>
            <w:tcW w:w="2740" w:type="dxa"/>
            <w:vAlign w:val="bottom"/>
            <w:gridSpan w:val="4"/>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12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9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39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4.10 %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r>
      <w:tr>
        <w:trPr>
          <w:trHeight w:val="21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6.1</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76.5 %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76.3 %</w:t>
            </w:r>
          </w:p>
        </w:tc>
      </w:tr>
      <w:tr>
        <w:trPr>
          <w:trHeight w:val="22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0 %</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Company’s stock option activity: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220" w:type="dxa"/>
            <w:vAlign w:val="bottom"/>
          </w:tcPr>
          <w:p>
            <w:pPr>
              <w:spacing w:after="0"/>
              <w:rPr>
                <w:sz w:val="17"/>
                <w:szCs w:val="17"/>
                <w:color w:val="auto"/>
              </w:rPr>
            </w:pPr>
          </w:p>
        </w:tc>
        <w:tc>
          <w:tcPr>
            <w:tcW w:w="12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1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5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7"/>
                <w:szCs w:val="17"/>
                <w:b w:val="1"/>
                <w:bCs w:val="1"/>
                <w:color w:val="auto"/>
                <w:w w:val="97"/>
              </w:rPr>
              <w:t>Exercise</w:t>
            </w:r>
          </w:p>
        </w:tc>
        <w:tc>
          <w:tcPr>
            <w:tcW w:w="15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220" w:type="dxa"/>
            <w:vAlign w:val="bottom"/>
          </w:tcPr>
          <w:p>
            <w:pPr>
              <w:spacing w:after="0"/>
              <w:rPr>
                <w:sz w:val="15"/>
                <w:szCs w:val="15"/>
                <w:color w:val="auto"/>
              </w:rPr>
            </w:pPr>
          </w:p>
        </w:tc>
        <w:tc>
          <w:tcPr>
            <w:tcW w:w="120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19"/>
        </w:trPr>
        <w:tc>
          <w:tcPr>
            <w:tcW w:w="5220" w:type="dxa"/>
            <w:vAlign w:val="bottom"/>
          </w:tcPr>
          <w:p>
            <w:pPr>
              <w:spacing w:after="0"/>
              <w:rPr>
                <w:sz w:val="19"/>
                <w:szCs w:val="19"/>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Term (Years)</w:t>
            </w:r>
          </w:p>
        </w:tc>
        <w:tc>
          <w:tcPr>
            <w:tcW w:w="220" w:type="dxa"/>
            <w:vAlign w:val="bottom"/>
          </w:tcPr>
          <w:p>
            <w:pPr>
              <w:spacing w:after="0"/>
              <w:rPr>
                <w:sz w:val="19"/>
                <w:szCs w:val="19"/>
                <w:color w:val="auto"/>
              </w:rPr>
            </w:pPr>
          </w:p>
        </w:tc>
        <w:tc>
          <w:tcPr>
            <w:tcW w:w="120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10,214,878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w:t>
            </w:r>
          </w:p>
        </w:tc>
        <w:tc>
          <w:tcPr>
            <w:tcW w:w="0" w:type="dxa"/>
            <w:vAlign w:val="bottom"/>
          </w:tcPr>
          <w:p>
            <w:pPr>
              <w:spacing w:after="0"/>
              <w:rPr>
                <w:sz w:val="1"/>
                <w:szCs w:val="1"/>
                <w:color w:val="auto"/>
              </w:rPr>
            </w:pP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2,183,724</w:t>
            </w:r>
          </w:p>
        </w:tc>
        <w:tc>
          <w:tcPr>
            <w:tcW w:w="3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(70,966)</w:t>
            </w:r>
          </w:p>
        </w:tc>
        <w:tc>
          <w:tcPr>
            <w:tcW w:w="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Cancelled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(399,666)</w:t>
            </w:r>
          </w:p>
        </w:tc>
        <w:tc>
          <w:tcPr>
            <w:tcW w:w="340" w:type="dxa"/>
            <w:vAlign w:val="bottom"/>
            <w:tcBorders>
              <w:bottom w:val="single" w:sz="8" w:color="CCEEFF"/>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11,927,970</w:t>
            </w:r>
          </w:p>
        </w:tc>
        <w:tc>
          <w:tcPr>
            <w:tcW w:w="3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Options exercisable as of December 31, 2025</w:t>
            </w:r>
          </w:p>
        </w:tc>
        <w:tc>
          <w:tcPr>
            <w:tcW w:w="14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8,014,980</w:t>
            </w:r>
          </w:p>
        </w:tc>
        <w:tc>
          <w:tcPr>
            <w:tcW w:w="340" w:type="dxa"/>
            <w:vAlign w:val="bottom"/>
            <w:gridSpan w:val="2"/>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16.09</w:t>
            </w:r>
          </w:p>
        </w:tc>
        <w:tc>
          <w:tcPr>
            <w:tcW w:w="10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4.48</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8,281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vested and expected to vest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11,927,970</w:t>
            </w:r>
          </w:p>
        </w:tc>
        <w:tc>
          <w:tcPr>
            <w:tcW w:w="34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there was $22.6 million of unrecognized compensation cost related to unvested common stock options, which is expected to be recognized over a weighted average period of 2.5 years.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weighted average grant-date fair value of stock options granted during the nine months ended December 31, 2025 and 2024 was $5.84 and $5.60, respectively. The aggregate intrinsic value of stock options exercised during the nine months ended December 31, 2025 and 2024 was $0.4 million and $0.5 million, respectively.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and performance stock units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each RSU and PSU is estimated on the date of grant based on the fair value of our common stock on that same date.</w:t>
      </w:r>
    </w:p>
    <w:p>
      <w:pPr>
        <w:spacing w:after="0" w:line="20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In January 2024, the Company's board of directors approved a one-time PSU award under the 2018 Plan for all employees at the vice president level and below as of January 31, 2024, subject to non-market performance and service conditions. The grants will become vested, if at all, upon the achievement of the approval of the Company’s first BLA for RP1 by the FDA no later than June 30, 2026. As more fully described within this Quarterly Report on Form 10-Q, the FDA has accepted the resubmission of the BLA for RP1 in combination with nivolumab for the treatment of advanced melanoma. If the Company does not receive approval from the FDA of the Company's first BLA for RP1 on or before June 30, 2026 then no PSU will be earned or vested. The grant date fair value for the PSUs is determined based on the market price of the Company's common stock on the grant date and is recognized over the requisite service period if and when the achievement of such performance condition is determined to be probable by the Company. The Company reassesses the probability of achieving the performance condition at each reporting period. As of December 31, 2025, the Company has not recognized any expense related to PSUs.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changes in the Company's RSUs and PSUs during the nine months ended December 31, 2025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158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4"/>
              <w:spacing w:after="0" w:line="17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0" w:type="dxa"/>
            <w:vAlign w:val="bottom"/>
          </w:tcPr>
          <w:p>
            <w:pPr>
              <w:spacing w:after="0"/>
              <w:rPr>
                <w:sz w:val="1"/>
                <w:szCs w:val="1"/>
                <w:color w:val="auto"/>
              </w:rPr>
            </w:pPr>
          </w:p>
        </w:tc>
      </w:tr>
      <w:tr>
        <w:trPr>
          <w:trHeight w:val="168"/>
        </w:trPr>
        <w:tc>
          <w:tcPr>
            <w:tcW w:w="79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0" w:type="dxa"/>
            <w:vAlign w:val="bottom"/>
          </w:tcPr>
          <w:p>
            <w:pPr>
              <w:spacing w:after="0"/>
              <w:rPr>
                <w:sz w:val="1"/>
                <w:szCs w:val="1"/>
                <w:color w:val="auto"/>
              </w:rPr>
            </w:pPr>
          </w:p>
        </w:tc>
      </w:tr>
      <w:tr>
        <w:trPr>
          <w:trHeight w:val="219"/>
        </w:trPr>
        <w:tc>
          <w:tcPr>
            <w:tcW w:w="7980" w:type="dxa"/>
            <w:vAlign w:val="bottom"/>
          </w:tcPr>
          <w:p>
            <w:pPr>
              <w:spacing w:after="0"/>
              <w:rPr>
                <w:sz w:val="19"/>
                <w:szCs w:val="19"/>
                <w:color w:val="auto"/>
              </w:rPr>
            </w:pPr>
          </w:p>
        </w:tc>
        <w:tc>
          <w:tcPr>
            <w:tcW w:w="15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Restricted Shares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3,611,774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3,464,911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(898,310)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0" w:type="dxa"/>
            <w:vAlign w:val="bottom"/>
          </w:tcPr>
          <w:p>
            <w:pPr>
              <w:spacing w:after="0"/>
              <w:rPr>
                <w:sz w:val="1"/>
                <w:szCs w:val="1"/>
                <w:color w:val="auto"/>
              </w:rPr>
            </w:pPr>
          </w:p>
        </w:tc>
      </w:tr>
      <w:tr>
        <w:trPr>
          <w:trHeight w:val="21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Cancelled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(515,352)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5,663,023</w:t>
            </w:r>
          </w:p>
        </w:tc>
        <w:tc>
          <w:tcPr>
            <w:tcW w:w="8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As of December 31, 2025, there was $41.5 million of unrecognized compensation cost related to unvested restricted stock units, which is expected to be recognized over a weighted average period of 2.35 years. In addition, unrecognized compensation costs related to performance based awards tied to the achievement of a company milestone account for approximately $4.2 million. The performance based awards will vest upon achievement of the performance milestone.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Net loss per share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 was calculated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160" w:type="dxa"/>
            <w:vAlign w:val="bottom"/>
          </w:tcPr>
          <w:p>
            <w:pPr>
              <w:spacing w:after="0"/>
              <w:rPr>
                <w:sz w:val="19"/>
                <w:szCs w:val="19"/>
                <w:color w:val="auto"/>
              </w:rPr>
            </w:pPr>
          </w:p>
        </w:tc>
        <w:tc>
          <w:tcPr>
            <w:tcW w:w="280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r>
      <w:tr>
        <w:trPr>
          <w:trHeight w:val="212"/>
        </w:trPr>
        <w:tc>
          <w:tcPr>
            <w:tcW w:w="5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(173,167)</w:t>
            </w:r>
          </w:p>
        </w:tc>
      </w:tr>
      <w:tr>
        <w:trPr>
          <w:trHeight w:val="19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 average common shares outstanding, basic and diluted</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92,187,581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83,498,892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91,874,481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77,113,695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14,058,153 shares of the Company's common stock issuable upon exercise of pre-funded warrants described in Note 9 to these condensed consolidated financial statements are included as outstanding common stock in the calculation of basic and diluted net loss per share.</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potentially dilutive securities, which include stock options, unvested restricted and performance stock units and warrants to purchase shares of common stock that resulted from the conversion of warrants to purchase shares of series seed preferred stock existing before the Company's IPO, have been excluded from the computation of diluted net loss per share as the effect would be to reduce the net loss per share. Therefore, the weighted average number of common shares outstanding used to calculate both basic and diluted net loss per share is the same. The Company excluded the following</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potential common shares, presented based on amounts outstanding at each period end, from the computation of diluted net loss per share for the periods indicated because including them would have had an anti-dilutive effect:</w:t>
      </w:r>
    </w:p>
    <w:p>
      <w:pPr>
        <w:spacing w:after="0" w:line="6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Three and Nine Months Ended</w:t>
      </w: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11,927,970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10,213,861</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restricted and performance stock units</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5,663,023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3,491,335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to purchase common stock</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497,344</w:t>
            </w:r>
          </w:p>
        </w:tc>
      </w:tr>
      <w:tr>
        <w:trPr>
          <w:trHeight w:val="212"/>
        </w:trPr>
        <w:tc>
          <w:tcPr>
            <w:tcW w:w="82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17,590,993</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14,202,540</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Significant agreements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Agreement with Bristol-Myers Squibb Company</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February 2018, the Company entered into an agreement with Bristol-Myers Squibb Company (“BMS”). Pursuant to the agreement, BMS will provide to the Company, at no cost, a compound for use in the Company’s ongoing clinical trial of RP1. Under the agreement, the Company will sponsor, fund and conduct the clinical trial in accordance with an agreed-upon protocol. BMS granted the Company a non-exclusive, non-transferrable, royalty-free license (with a right to sublicense) under its intellectual property to its compound in the clinical trial and agreed to supply its compound, at no cost to the Company, for use in the clinical trial. In January 2020, this agreement was expanded to cover an additional cohort of 125 patients with anti-PD-1 failed melanoma.</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 (y) in the event the other party is insolvent or in bankruptcy proceedings or (z) for safety reasons. Upon termination, the licenses granted to the Company to use BMS’s compound in the clinical trial will terminate.</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April 2019, the Company entered into a separate agreement with BMS on terms similar to the terms set forth in the agreement described above, pursuant to which BMS will provide to the Company, at no cost, nivolumab for use in the Company’s Phase 1 clinical trial of RP2 in combination with nivolumab.</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b w:val="1"/>
          <w:bCs w:val="1"/>
          <w:color w:val="auto"/>
        </w:rPr>
        <w:t>Collaboration and other arrangements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Roche</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2022, the Company entered into a Master Clinical Trial Collaboration and Supply Agreement with Roche in relation to the Company's RP2 and RP3 programs in colorectal cancer, or CRC, and hepatocellular carcinoma, or HCC. Under the agreement, the companies intended to collaborate in 30 patient cohort signal finding studies in third-line, or 3L, CRC and in first- and second-line, or 1L and 2L, respectively, HCC. Following the Company's re-prioritization of its product development portfolio in December 2023, the Company agreed with Roche to terminate the CRC collaboration and pursue the 2L cohort in HCC with RP2 only. Roche has continued to supply its currently approved drugs, atezolizumab and bevacizumab for the 2L cohort in HCC but is not sharing costs following the Company's re-prioritization. Under the terms of the agreement the Company retained the responsibility of operating the clinical trials as well as retaining all the rights to the development and commercialization of its product candidates. The agreement may be terminated by either party upon sixty days prior written notice to the other party.</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agreement with Roche is accounted for under ASC 808, Collaborative Arrangements (“ASC 808”), as both parties are active participants and each party pays its own compound costs. The Company accounts for costs incurred as part of the study, including costs to supply compounds for use in the study, as research and development expenses within the consolidated statement of operations. The Company will recognize any amounts received from Roche in connection with this agreement as an offset to research and development expense within the consolidated statement of operations.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three and nine months ended December 31, 2025 and 2024, the Company did not make any payments to Roche under the terms of the agreement. The Company did not record any costs as an offset to research and development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expenses during the three and nine months ended December 31, 2025 and 2024. During the nine months ended December 31, 2025 and 2024, the Company received payments under the terms of the agreement from Roche of $0.0 million and $1.8 million, respectively. As of December 31, 2025 and March 31, 2025, no receivables were recorded from Roche in connection with this agreement.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Amgen</w:t>
      </w:r>
    </w:p>
    <w:p>
      <w:pPr>
        <w:spacing w:after="0" w:line="234" w:lineRule="exact"/>
        <w:rPr>
          <w:sz w:val="20"/>
          <w:szCs w:val="20"/>
          <w:color w:val="auto"/>
        </w:rPr>
      </w:pPr>
    </w:p>
    <w:p>
      <w:pPr>
        <w:jc w:val="both"/>
        <w:ind w:firstLine="619"/>
        <w:spacing w:after="0" w:line="248" w:lineRule="auto"/>
        <w:rPr>
          <w:sz w:val="20"/>
          <w:szCs w:val="20"/>
          <w:color w:val="auto"/>
        </w:rPr>
      </w:pPr>
      <w:r>
        <w:rPr>
          <w:rFonts w:ascii="Times New Roman" w:cs="Times New Roman" w:eastAsia="Times New Roman" w:hAnsi="Times New Roman"/>
          <w:sz w:val="17"/>
          <w:szCs w:val="17"/>
          <w:color w:val="auto"/>
        </w:rPr>
        <w:t>In August 2023 the Company entered into a Settlement Agreement with Amgen and mutually agreed to terminate the Company's challenges to Amgen's patents. In connection with the Settlement Agreement, the Company entered into a License and Covenant Agreement with Amgen in which the Company agreed to pay Amgen low single-digit royalty payments on net sales of its products that, but for the license, could be found to infringe a valid Amgen patent on a country-by-country and product-by-product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b w:val="1"/>
          <w:bCs w:val="1"/>
          <w:color w:val="auto"/>
        </w:rPr>
        <w:t>Commitments and contingencies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the lease-related costs which are included in the consolidated statements of operations for the three and nine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and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60" w:type="dxa"/>
            <w:vAlign w:val="bottom"/>
            <w:gridSpan w:val="10"/>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160" w:type="dxa"/>
            <w:vAlign w:val="bottom"/>
          </w:tcPr>
          <w:p>
            <w:pPr>
              <w:spacing w:after="0"/>
              <w:rPr>
                <w:sz w:val="19"/>
                <w:szCs w:val="19"/>
                <w:color w:val="auto"/>
              </w:rPr>
            </w:pPr>
          </w:p>
        </w:tc>
        <w:tc>
          <w:tcPr>
            <w:tcW w:w="2800" w:type="dxa"/>
            <w:vAlign w:val="bottom"/>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r>
      <w:tr>
        <w:trPr>
          <w:trHeight w:val="212"/>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cost</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19"/>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costs: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4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60" w:type="dxa"/>
            <w:vAlign w:val="bottom"/>
            <w:gridSpan w:val="2"/>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r>
      <w:tr>
        <w:trPr>
          <w:trHeight w:val="219"/>
        </w:trPr>
        <w:tc>
          <w:tcPr>
            <w:tcW w:w="43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w:t>
            </w:r>
          </w:p>
        </w:tc>
      </w:tr>
      <w:tr>
        <w:trPr>
          <w:trHeight w:val="219"/>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costs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r>
      <w:tr>
        <w:trPr>
          <w:trHeight w:val="212"/>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lease cost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1,411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9"/>
              </w:rPr>
              <w:t>1,418</w:t>
            </w:r>
          </w:p>
        </w:tc>
        <w:tc>
          <w:tcPr>
            <w:tcW w:w="10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4,264</w:t>
            </w:r>
          </w:p>
        </w:tc>
      </w:tr>
      <w:tr>
        <w:trPr>
          <w:trHeight w:val="479"/>
        </w:trPr>
        <w:tc>
          <w:tcPr>
            <w:tcW w:w="11240" w:type="dxa"/>
            <w:vAlign w:val="bottom"/>
            <w:gridSpan w:val="20"/>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classification of lease costs in the consolidated statement of operations for the three and nine months ended</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2025 and 2024 as follows: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51"/>
        </w:trPr>
        <w:tc>
          <w:tcPr>
            <w:tcW w:w="4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r>
      <w:tr>
        <w:trPr>
          <w:trHeight w:val="212"/>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 Costs</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2"/>
        </w:trPr>
        <w:tc>
          <w:tcPr>
            <w:tcW w:w="43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480" w:type="dxa"/>
            <w:vAlign w:val="bottom"/>
            <w:gridSpan w:val="3"/>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w:t>
            </w:r>
          </w:p>
        </w:tc>
      </w:tr>
      <w:tr>
        <w:trPr>
          <w:trHeight w:val="219"/>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r>
      <w:tr>
        <w:trPr>
          <w:trHeight w:val="219"/>
        </w:trPr>
        <w:tc>
          <w:tcPr>
            <w:tcW w:w="4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 Costs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2"/>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r>
      <w:tr>
        <w:trPr>
          <w:trHeight w:val="219"/>
        </w:trPr>
        <w:tc>
          <w:tcPr>
            <w:tcW w:w="4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37"/>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-605155</wp:posOffset>
            </wp:positionV>
            <wp:extent cx="2750820" cy="147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0820" cy="147320"/>
                    </a:xfrm>
                    <a:prstGeom prst="rect">
                      <a:avLst/>
                    </a:prstGeom>
                    <a:noFill/>
                  </pic:spPr>
                </pic:pic>
              </a:graphicData>
            </a:graphic>
          </wp:anchor>
        </w:drawing>
      </w:r>
    </w:p>
    <w:p>
      <w:pPr>
        <w:spacing w:after="0" w:line="26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summarizes the maturity of the Company's lease liabilities on an undiscounted cash flow basis by fiscal year and a reconciliation to the operating and financing lease liabilities recognized on its balance sheet as of December 31, 2025:</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2"/>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lease</w:t>
            </w:r>
          </w:p>
        </w:tc>
        <w:tc>
          <w:tcPr>
            <w:tcW w:w="140" w:type="dxa"/>
            <w:vAlign w:val="bottom"/>
          </w:tcPr>
          <w:p>
            <w:pPr>
              <w:spacing w:after="0"/>
              <w:rPr>
                <w:sz w:val="18"/>
                <w:szCs w:val="18"/>
                <w:color w:val="auto"/>
              </w:rPr>
            </w:pPr>
          </w:p>
        </w:tc>
        <w:tc>
          <w:tcPr>
            <w:tcW w:w="130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2"/>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 three months)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4,053</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4,085</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3,690</w:t>
            </w:r>
          </w:p>
        </w:tc>
      </w:tr>
      <w:tr>
        <w:trPr>
          <w:trHeight w:val="21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29,274</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46,196</w:t>
            </w:r>
          </w:p>
        </w:tc>
      </w:tr>
      <w:tr>
        <w:trPr>
          <w:trHeight w:val="21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17,478</w:t>
            </w: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28,718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82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The following table provides lease disclosure as of December 31, 2025 and March 31, 2025:</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2"/>
        </w:trPr>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19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operating lease asset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finance lease asset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34,808</w:t>
            </w:r>
          </w:p>
        </w:tc>
      </w:tr>
      <w:tr>
        <w:trPr>
          <w:trHeight w:val="212"/>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assets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38,806</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liabilities, current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2,799</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liabilities, non-current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22,729</w:t>
            </w:r>
          </w:p>
        </w:tc>
      </w:tr>
      <w:tr>
        <w:trPr>
          <w:trHeight w:val="212"/>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29,788</w:t>
            </w: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lease disclosure for the nine months ended December 31, 2025 and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5"/>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620" w:type="dxa"/>
            <w:vAlign w:val="bottom"/>
            <w:tcBorders>
              <w:bottom w:val="single" w:sz="8" w:color="auto"/>
            </w:tcBorders>
          </w:tcPr>
          <w:p>
            <w:pPr>
              <w:spacing w:after="0"/>
              <w:rPr>
                <w:sz w:val="19"/>
                <w:szCs w:val="19"/>
                <w:color w:val="auto"/>
              </w:rPr>
            </w:pPr>
          </w:p>
        </w:tc>
      </w:tr>
      <w:tr>
        <w:trPr>
          <w:trHeight w:val="212"/>
        </w:trPr>
        <w:tc>
          <w:tcPr>
            <w:tcW w:w="63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8"/>
                <w:szCs w:val="18"/>
                <w:color w:val="auto"/>
              </w:rPr>
            </w:pPr>
          </w:p>
        </w:tc>
      </w:tr>
      <w:tr>
        <w:trPr>
          <w:trHeight w:val="19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5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900</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876</w:t>
            </w:r>
          </w:p>
        </w:tc>
        <w:tc>
          <w:tcPr>
            <w:tcW w:w="620" w:type="dxa"/>
            <w:vAlign w:val="bottom"/>
            <w:shd w:val="clear" w:color="auto" w:fill="CCEEFF"/>
          </w:tcPr>
          <w:p>
            <w:pPr>
              <w:spacing w:after="0"/>
              <w:rPr>
                <w:sz w:val="19"/>
                <w:szCs w:val="19"/>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1,553</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1,594</w:t>
            </w:r>
          </w:p>
        </w:tc>
        <w:tc>
          <w:tcPr>
            <w:tcW w:w="620" w:type="dxa"/>
            <w:vAlign w:val="bottom"/>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538</w:t>
            </w:r>
          </w:p>
        </w:tc>
        <w:tc>
          <w:tcPr>
            <w:tcW w:w="12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436</w:t>
            </w:r>
          </w:p>
        </w:tc>
        <w:tc>
          <w:tcPr>
            <w:tcW w:w="620" w:type="dxa"/>
            <w:vAlign w:val="bottom"/>
            <w:shd w:val="clear" w:color="auto" w:fill="CCEEFF"/>
          </w:tcPr>
          <w:p>
            <w:pPr>
              <w:spacing w:after="0"/>
              <w:rPr>
                <w:sz w:val="19"/>
                <w:szCs w:val="19"/>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 obtained in exchange for new operating lease liabilities</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4.0</w:t>
            </w:r>
          </w:p>
        </w:tc>
        <w:tc>
          <w:tcPr>
            <w:tcW w:w="12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7"/>
                <w:szCs w:val="17"/>
                <w:color w:val="auto"/>
              </w:rPr>
              <w:t>years</w:t>
            </w: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4.9</w:t>
            </w:r>
          </w:p>
        </w:tc>
        <w:tc>
          <w:tcPr>
            <w:tcW w:w="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years</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financing leases</w:t>
            </w:r>
          </w:p>
        </w:tc>
        <w:tc>
          <w:tcPr>
            <w:tcW w:w="52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13.6</w:t>
            </w:r>
          </w:p>
        </w:tc>
        <w:tc>
          <w:tcPr>
            <w:tcW w:w="1260" w:type="dxa"/>
            <w:vAlign w:val="bottom"/>
            <w:gridSpan w:val="3"/>
          </w:tcPr>
          <w:p>
            <w:pPr>
              <w:jc w:val="right"/>
              <w:ind w:right="640"/>
              <w:spacing w:after="0"/>
              <w:rPr>
                <w:sz w:val="20"/>
                <w:szCs w:val="20"/>
                <w:color w:val="auto"/>
              </w:rPr>
            </w:pPr>
            <w:r>
              <w:rPr>
                <w:rFonts w:ascii="Times New Roman" w:cs="Times New Roman" w:eastAsia="Times New Roman" w:hAnsi="Times New Roman"/>
                <w:sz w:val="17"/>
                <w:szCs w:val="17"/>
                <w:color w:val="auto"/>
              </w:rPr>
              <w:t>years</w:t>
            </w: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14.6</w:t>
            </w:r>
          </w:p>
        </w:tc>
        <w:tc>
          <w:tcPr>
            <w:tcW w:w="6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years</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10.4 %</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10.3 %</w:t>
            </w:r>
          </w:p>
        </w:tc>
        <w:tc>
          <w:tcPr>
            <w:tcW w:w="620" w:type="dxa"/>
            <w:vAlign w:val="bottom"/>
            <w:shd w:val="clear" w:color="auto" w:fill="CCEEFF"/>
          </w:tcPr>
          <w:p>
            <w:pPr>
              <w:spacing w:after="0"/>
              <w:rPr>
                <w:sz w:val="19"/>
                <w:szCs w:val="19"/>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financing leases</w:t>
            </w:r>
          </w:p>
        </w:tc>
        <w:tc>
          <w:tcPr>
            <w:tcW w:w="52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8.3 %</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8.3 %</w:t>
            </w:r>
          </w:p>
        </w:tc>
        <w:tc>
          <w:tcPr>
            <w:tcW w:w="620" w:type="dxa"/>
            <w:vAlign w:val="bottom"/>
          </w:tcPr>
          <w:p>
            <w:pPr>
              <w:spacing w:after="0"/>
              <w:rPr>
                <w:sz w:val="19"/>
                <w:szCs w:val="19"/>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variable lease costs and short-term lease costs were insignificant for the three and nine months ended December 31, 2025 and 2024.</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Manufacturing commitments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entered into an agreement with a contract manufacturing organization to provide clinical trial products. As of December 31, 2025 and March 31, 2025, the Company had committed to minimum payments under these arrangements totaling $0.8 million and $0.8 million, respectively.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agreements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executive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therefore it has not accrued any liabilities related to such obligations in its condensed consolidated financial statements as of December 31, 2025 or March 31, 2025.</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arising in the ordinary course of business. The Company records a liability for such matters when it is probable that future losses will be incurred and that such losses can be reasonably estimated. Significant judgment is required to determine both probability and the estimated amount.</w:t>
      </w:r>
    </w:p>
    <w:p>
      <w:pPr>
        <w:spacing w:after="0" w:line="178"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17"/>
          <w:szCs w:val="17"/>
          <w:color w:val="auto"/>
        </w:rPr>
        <w:t xml:space="preserve">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w:t>
      </w:r>
      <w:r>
        <w:rPr>
          <w:rFonts w:ascii="Times New Roman" w:cs="Times New Roman" w:eastAsia="Times New Roman" w:hAnsi="Times New Roman"/>
          <w:sz w:val="17"/>
          <w:szCs w:val="17"/>
          <w:i w:val="1"/>
          <w:iCs w:val="1"/>
          <w:color w:val="auto"/>
        </w:rPr>
        <w:t>Jboor v. Replimune 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 et al.</w:t>
      </w:r>
      <w:r>
        <w:rPr>
          <w:rFonts w:ascii="Times New Roman" w:cs="Times New Roman" w:eastAsia="Times New Roman" w:hAnsi="Times New Roman"/>
          <w:sz w:val="17"/>
          <w:szCs w:val="17"/>
          <w:color w:val="auto"/>
        </w:rPr>
        <w:t>, Case No. 1:25-cv-12085-JEK, was filed shortly after the Company announced it received a complete response letter, or CRL, from the FDA for its RP1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BLA for the treatment of advanced melanoma on July 22, 2025 and the subsequent decline in the trading price of the Company's common stock. The Court has appointed a lead plaintiff, or the Lead Plaintiff. On January 13, 2026, Lead Plaintiff filed an amended complaint. The Company and the other defendants deny any wrongdoing and will vigorously defend this action.</w:t>
      </w:r>
    </w:p>
    <w:p>
      <w:pPr>
        <w:spacing w:after="0" w:line="200" w:lineRule="exact"/>
        <w:rPr>
          <w:sz w:val="20"/>
          <w:szCs w:val="20"/>
          <w:color w:val="auto"/>
        </w:rPr>
      </w:pPr>
    </w:p>
    <w:p>
      <w:pPr>
        <w:ind w:right="180" w:firstLine="619"/>
        <w:spacing w:after="0" w:line="243" w:lineRule="auto"/>
        <w:rPr>
          <w:sz w:val="20"/>
          <w:szCs w:val="20"/>
          <w:color w:val="auto"/>
        </w:rPr>
      </w:pPr>
      <w:r>
        <w:rPr>
          <w:rFonts w:ascii="Times New Roman" w:cs="Times New Roman" w:eastAsia="Times New Roman" w:hAnsi="Times New Roman"/>
          <w:sz w:val="17"/>
          <w:szCs w:val="17"/>
          <w:color w:val="auto"/>
        </w:rPr>
        <w:t xml:space="preserve">Following the class action complaint, three shareholders filed separate derivative actions on behalf of the Company in the District of Massachusetts captioned </w:t>
      </w:r>
      <w:r>
        <w:rPr>
          <w:rFonts w:ascii="Times New Roman" w:cs="Times New Roman" w:eastAsia="Times New Roman" w:hAnsi="Times New Roman"/>
          <w:sz w:val="17"/>
          <w:szCs w:val="17"/>
          <w:i w:val="1"/>
          <w:iCs w:val="1"/>
          <w:color w:val="auto"/>
        </w:rPr>
        <w:t>Chea v. Patel et al.</w:t>
      </w:r>
      <w:r>
        <w:rPr>
          <w:rFonts w:ascii="Times New Roman" w:cs="Times New Roman" w:eastAsia="Times New Roman" w:hAnsi="Times New Roman"/>
          <w:sz w:val="17"/>
          <w:szCs w:val="17"/>
          <w:color w:val="auto"/>
        </w:rPr>
        <w:t xml:space="preserve">, Case No. 1:25-cv-12316-JEK, </w:t>
      </w:r>
      <w:r>
        <w:rPr>
          <w:rFonts w:ascii="Times New Roman" w:cs="Times New Roman" w:eastAsia="Times New Roman" w:hAnsi="Times New Roman"/>
          <w:sz w:val="17"/>
          <w:szCs w:val="17"/>
          <w:i w:val="1"/>
          <w:iCs w:val="1"/>
          <w:color w:val="auto"/>
        </w:rPr>
        <w:t>Wright v. Patel et al.</w:t>
      </w:r>
      <w:r>
        <w:rPr>
          <w:rFonts w:ascii="Times New Roman" w:cs="Times New Roman" w:eastAsia="Times New Roman" w:hAnsi="Times New Roman"/>
          <w:sz w:val="17"/>
          <w:szCs w:val="17"/>
          <w:color w:val="auto"/>
        </w:rPr>
        <w:t xml:space="preserve">, Case No. 1:25-cv-12401-WGY, and </w:t>
      </w:r>
      <w:r>
        <w:rPr>
          <w:rFonts w:ascii="Times New Roman" w:cs="Times New Roman" w:eastAsia="Times New Roman" w:hAnsi="Times New Roman"/>
          <w:sz w:val="17"/>
          <w:szCs w:val="17"/>
          <w:i w:val="1"/>
          <w:iCs w:val="1"/>
          <w:color w:val="auto"/>
        </w:rPr>
        <w:t>Vochten v. Patel et al.</w:t>
      </w:r>
      <w:r>
        <w:rPr>
          <w:rFonts w:ascii="Times New Roman" w:cs="Times New Roman" w:eastAsia="Times New Roman" w:hAnsi="Times New Roman"/>
          <w:sz w:val="17"/>
          <w:szCs w:val="17"/>
          <w:color w:val="auto"/>
        </w:rPr>
        <w:t>,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spacing w:after="0" w:line="20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spacing w:after="0" w:line="192"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On September 29, 2025, the SEC informed the Company that it is conducting an investigation and requested that the Company produce certain documents and communications connected with the RP1 BLA. The investigation is reviewing essentially the same subject matter raised in the litigation following the CRL. The Company is cooperating with the SEC’s investigation and providing the requested materials.</w:t>
      </w:r>
    </w:p>
    <w:p>
      <w:pPr>
        <w:spacing w:after="0" w:line="192" w:lineRule="exact"/>
        <w:rPr>
          <w:sz w:val="20"/>
          <w:szCs w:val="20"/>
          <w:color w:val="auto"/>
        </w:rPr>
      </w:pPr>
    </w:p>
    <w:p>
      <w:pPr>
        <w:jc w:val="both"/>
        <w:ind w:right="220" w:firstLine="619"/>
        <w:spacing w:after="0" w:line="254" w:lineRule="auto"/>
        <w:rPr>
          <w:sz w:val="20"/>
          <w:szCs w:val="20"/>
          <w:color w:val="auto"/>
        </w:rPr>
      </w:pPr>
      <w:r>
        <w:rPr>
          <w:rFonts w:ascii="Times New Roman" w:cs="Times New Roman" w:eastAsia="Times New Roman" w:hAnsi="Times New Roman"/>
          <w:sz w:val="17"/>
          <w:szCs w:val="17"/>
          <w:color w:val="auto"/>
        </w:rPr>
        <w:t>As the matters noted above are preliminary, the Company is unable to determine whether any loss will ultimately occur and cannot reasonably estimate the range of expected exposure. Therefore, the Company has not recorded any liability in the condensed consolidated financial statements as of and for the three and nine months ended December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b w:val="1"/>
          <w:bCs w:val="1"/>
          <w:color w:val="auto"/>
        </w:rPr>
        <w:t>Income taxes</w:t>
      </w:r>
    </w:p>
    <w:p>
      <w:pPr>
        <w:spacing w:after="0" w:line="247"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17"/>
          <w:szCs w:val="17"/>
          <w:color w:val="auto"/>
        </w:rPr>
        <w:t>During the three and nine months ended December 31, 2025 and 2024, the Company recorded no income tax benefits for the net operating losses incurred in the United Kingdom in each period due to its uncertainty of realizing a benefit from those items. During the three and nine months ended December 31, 2025, the Company recorded $0.3 million of an income tax benefit in the United States related to a provision to return adjustment. For the three and nine months ended December 31, 2024, the Company recorded an income tax provision of $0.6 million which was primarily due to forecasted U.S. taxable income for the year that was not fully offset by available net operating loss and tax credit carryforwards, as well as a provision to return adjustment.</w:t>
      </w:r>
    </w:p>
    <w:p>
      <w:pPr>
        <w:spacing w:after="0" w:line="211" w:lineRule="exact"/>
        <w:rPr>
          <w:sz w:val="20"/>
          <w:szCs w:val="20"/>
          <w:color w:val="auto"/>
        </w:rPr>
      </w:pPr>
    </w:p>
    <w:p>
      <w:pPr>
        <w:ind w:right="40" w:firstLine="619"/>
        <w:spacing w:after="0" w:line="262" w:lineRule="auto"/>
        <w:rPr>
          <w:sz w:val="20"/>
          <w:szCs w:val="20"/>
          <w:color w:val="auto"/>
        </w:rPr>
      </w:pPr>
      <w:r>
        <w:rPr>
          <w:rFonts w:ascii="Times New Roman" w:cs="Times New Roman" w:eastAsia="Times New Roman" w:hAnsi="Times New Roman"/>
          <w:sz w:val="17"/>
          <w:szCs w:val="17"/>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actual earnings or losses versus annual projections. In each quarter, the Company updates its estimate of the annual effective tax rate, and if the estimated annual tax rate changes, a cumulative adjustment is made in that quarter.</w:t>
      </w:r>
    </w:p>
    <w:p>
      <w:pPr>
        <w:spacing w:after="0" w:line="190"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both in the United States and United Kingdom, which primarily consist of net operating loss carryforwards. The Company has considered its history of cumulative net losses, future reversals of existing taxable temporary differences, estimated future taxable income and prudent feasible tax planning strategies and has concluded that it is more likely than not that the Company will not realize the benefits of its deferred tax assets. As a result, as of December 31, 2025 and March 31, 2025, the Company has recorded a full valuation allowance against its net deferred tax assets.</w:t>
      </w:r>
    </w:p>
    <w:p>
      <w:pPr>
        <w:spacing w:after="0" w:line="181" w:lineRule="exact"/>
        <w:rPr>
          <w:sz w:val="20"/>
          <w:szCs w:val="20"/>
          <w:color w:val="auto"/>
        </w:rPr>
      </w:pPr>
    </w:p>
    <w:p>
      <w:pPr>
        <w:ind w:right="180" w:firstLine="619"/>
        <w:spacing w:after="0" w:line="245" w:lineRule="auto"/>
        <w:rPr>
          <w:sz w:val="20"/>
          <w:szCs w:val="20"/>
          <w:color w:val="auto"/>
        </w:rPr>
      </w:pPr>
      <w:r>
        <w:rPr>
          <w:rFonts w:ascii="Times New Roman" w:cs="Times New Roman" w:eastAsia="Times New Roman" w:hAnsi="Times New Roman"/>
          <w:sz w:val="17"/>
          <w:szCs w:val="17"/>
          <w:color w:val="auto"/>
        </w:rPr>
        <w:t>On July 4, 2025, the One Big Beautiful Bill Act ("OBBBA") was signed into law. The OBBBA introduced multiple U.S. federal income tax changes, including the deductibility of domestic research and development expenses, deductibility of certain property additions and limitations on interest expense deduction. The Company has evaluated the enactment of the OBBBA and continues to assess the detailed impacts of its provision. Based on its current analysis, the Company does not expect the legislation to have a material impact on the Company’s consolidated financial statements while the Company maintains a full valuation allowance on all domestic net deferred tax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b w:val="1"/>
          <w:bCs w:val="1"/>
          <w:color w:val="auto"/>
        </w:rPr>
        <w:t>Geographic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operates in two geographic regions: the United States (Massachusetts) and the United Kingdom (Oxfordshire). Information about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long-lived assets held in different geographic regions is presented in the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 w:type="dxa"/>
            <w:vAlign w:val="bottom"/>
          </w:tcPr>
          <w:p>
            <w:pPr>
              <w:spacing w:after="0"/>
              <w:rPr>
                <w:sz w:val="17"/>
                <w:szCs w:val="17"/>
                <w:color w:val="auto"/>
              </w:rPr>
            </w:pPr>
          </w:p>
        </w:tc>
        <w:tc>
          <w:tcPr>
            <w:tcW w:w="132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w:t>
            </w:r>
          </w:p>
        </w:tc>
        <w:tc>
          <w:tcPr>
            <w:tcW w:w="0" w:type="dxa"/>
            <w:vAlign w:val="bottom"/>
          </w:tcPr>
          <w:p>
            <w:pPr>
              <w:spacing w:after="0"/>
              <w:rPr>
                <w:sz w:val="1"/>
                <w:szCs w:val="1"/>
                <w:color w:val="auto"/>
              </w:rPr>
            </w:pPr>
          </w:p>
        </w:tc>
      </w:tr>
      <w:tr>
        <w:trPr>
          <w:trHeight w:val="21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b w:val="1"/>
          <w:bCs w:val="1"/>
          <w:color w:val="auto"/>
        </w:rPr>
        <w:t>Segment information</w:t>
      </w:r>
    </w:p>
    <w:p>
      <w:pPr>
        <w:spacing w:after="0" w:line="221"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7"/>
          <w:szCs w:val="17"/>
          <w:color w:val="auto"/>
        </w:rPr>
        <w:t>The Company manages its operations as a single operating and reportable segment with a focus on developing and commercializing novel oncolytic immunotherapies in order to treat cancer. The Company defines its segments on the basis of the way in which internally reported financial information is regularly reviewed to analyze financial performance and make operating decisions. The Company’s Chief Operating Decision Maker ("CODM") is the Chief Executive Officer. The CODM reviews consolidated operating results, and uses the Company's loss from operations and consolidated net income (loss), in order to monitor actual results as compared to the budget, and to determine how best to allocate the Company's operating and capital resources, specifically as it relates to the Company's development programs.</w:t>
      </w:r>
    </w:p>
    <w:p>
      <w:pPr>
        <w:spacing w:after="0" w:line="17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 including significant segment expenses by program, for the three and nine months ended December 31, 2025 and 2024:</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Pr>
          <w:p>
            <w:pPr>
              <w:spacing w:after="0"/>
              <w:rPr>
                <w:sz w:val="19"/>
                <w:szCs w:val="19"/>
                <w:color w:val="auto"/>
              </w:rPr>
            </w:pPr>
          </w:p>
        </w:tc>
        <w:tc>
          <w:tcPr>
            <w:tcW w:w="2260" w:type="dxa"/>
            <w:vAlign w:val="bottom"/>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5"/>
        </w:trPr>
        <w:tc>
          <w:tcPr>
            <w:tcW w:w="60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4"/>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9"/>
        </w:trPr>
        <w:tc>
          <w:tcPr>
            <w:tcW w:w="6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RP1 program costs by study: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IGNYTE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8,073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10,831</w:t>
            </w:r>
          </w:p>
        </w:tc>
      </w:tr>
      <w:tr>
        <w:trPr>
          <w:trHeight w:val="219"/>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ARTACUS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4,898</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5,211</w:t>
            </w:r>
          </w:p>
        </w:tc>
      </w:tr>
      <w:tr>
        <w:trPr>
          <w:trHeight w:val="219"/>
        </w:trPr>
        <w:tc>
          <w:tcPr>
            <w:tcW w:w="6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CERPASS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3,653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5,573</w:t>
            </w:r>
          </w:p>
        </w:tc>
      </w:tr>
      <w:tr>
        <w:trPr>
          <w:trHeight w:val="219"/>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IGNYTE-3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15,554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w:t>
            </w:r>
          </w:p>
        </w:tc>
      </w:tr>
      <w:tr>
        <w:trPr>
          <w:trHeight w:val="219"/>
        </w:trPr>
        <w:tc>
          <w:tcPr>
            <w:tcW w:w="6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RP1 study costs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15,162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7,075</w:t>
            </w: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RP2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16,857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8,322</w:t>
            </w:r>
          </w:p>
        </w:tc>
      </w:tr>
      <w:tr>
        <w:trPr>
          <w:trHeight w:val="219"/>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RP3</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2,262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w:t>
            </w:r>
          </w:p>
        </w:tc>
      </w:tr>
      <w:tr>
        <w:trPr>
          <w:trHeight w:val="21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Unallocated research and development expenses¹:</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30,432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102,401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89,695</w:t>
            </w:r>
          </w:p>
        </w:tc>
      </w:tr>
      <w:tr>
        <w:trPr>
          <w:trHeight w:val="219"/>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18,728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77,721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46,827</w:t>
            </w:r>
          </w:p>
        </w:tc>
      </w:tr>
      <w:tr>
        <w:trPr>
          <w:trHeight w:val="212"/>
        </w:trPr>
        <w:tc>
          <w:tcPr>
            <w:tcW w:w="6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66,019</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246,581</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182,299</w:t>
            </w:r>
          </w:p>
        </w:tc>
      </w:tr>
      <w:tr>
        <w:trPr>
          <w:trHeight w:val="21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(246,581)</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(182,299)</w:t>
            </w: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5,547</w:t>
            </w:r>
          </w:p>
        </w:tc>
        <w:tc>
          <w:tcPr>
            <w:tcW w:w="32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9,707</w:t>
            </w:r>
          </w:p>
        </w:tc>
      </w:tr>
      <w:tr>
        <w:trPr>
          <w:trHeight w:val="212"/>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(71,241)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(65,765)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(241,034)</w:t>
            </w:r>
          </w:p>
        </w:tc>
        <w:tc>
          <w:tcPr>
            <w:tcW w:w="3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(172,592)</w:t>
            </w:r>
          </w:p>
        </w:tc>
      </w:tr>
      <w:tr>
        <w:trPr>
          <w:trHeight w:val="212"/>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12"/>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(70,930)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(66,340)</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(240,723)</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(173,167)</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Includes personnel-related costs and other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b w:val="1"/>
          <w:bCs w:val="1"/>
          <w:color w:val="auto"/>
        </w:rPr>
        <w:t>Subsequent Events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of Common Stock Pursuant to At-The-Market Facility</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January 2026, pursuant to the 2023 Sales Agreement, the Company issued and sold an aggregate of 2,940,452 shares of its common stock, resulting in net proceeds of $20.8 million.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Debt Amendment</w:t>
      </w:r>
    </w:p>
    <w:p>
      <w:pPr>
        <w:spacing w:after="0" w:line="236"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In January 2026, a third amendment was made to the Company's Loan Agreement (the "Third Amendment") with Hercules on January 29, 2026 pursuant to which the Company drew down the tranche 3 loan advance amount of $35.0 million. The Third Amendment maintained a $200.0 million maximum principal amount and re-allocated the future tranches extending through December 2027, subject to the terms and conditions of the Loan Agreement.</w:t>
      </w:r>
    </w:p>
    <w:p>
      <w:pPr>
        <w:spacing w:after="0" w:line="166" w:lineRule="exact"/>
        <w:rPr>
          <w:sz w:val="20"/>
          <w:szCs w:val="20"/>
          <w:color w:val="auto"/>
        </w:rPr>
      </w:pPr>
    </w:p>
    <w:p>
      <w:pPr>
        <w:ind w:right="40" w:firstLine="619"/>
        <w:spacing w:after="0" w:line="260" w:lineRule="auto"/>
        <w:rPr>
          <w:sz w:val="20"/>
          <w:szCs w:val="20"/>
          <w:color w:val="auto"/>
        </w:rPr>
      </w:pPr>
      <w:r>
        <w:rPr>
          <w:rFonts w:ascii="Times New Roman" w:cs="Times New Roman" w:eastAsia="Times New Roman" w:hAnsi="Times New Roman"/>
          <w:sz w:val="17"/>
          <w:szCs w:val="17"/>
          <w:color w:val="auto"/>
        </w:rPr>
        <w:t>In addition, the Third Amendment extended the amortization date, with a balloon payment, inclusive of accrued interest and principal due on the maturity date of October 1, 2027. The Amendment provides that if the Company receives FDA approval prior to October 1, 2027, the amortization and maturity date shall be extended to October 1, 2029. Borrowings under the Loan Agreement are repayable in monthly interest-only payments through September 2027, with the outstanding principal balance of the Term Loan Facility bearing interest payable in cash at a rate per annum equal to the greater of (i) 8.50% and (ii) the Prime Rate plus 1.75%. In addition, the Third Amendment extended the financial covenant date to be the later of (i) July 1, 2026 and (ii) the date on which the aggregate outstanding principal amount of the Term Loan Facility is equal to or greater than $100.0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1637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567055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related notes appearing in Part I, Item 1 of this Quarterly Report on Form 10-Q, or this Quarterly Report, and with our audited consolidated financial statements and notes thereto for the year ended March 31, 2025, included in our Annual Report on Form 10-K for the fiscal year ended March 31, 2025.</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 addition to historical information, some of the statements contained in this discussion and analysis or set forth elsewhere in this Quarterly Report, including information with respect to our plans and strategy for our business, constitute forward-looking statements within the meaning of Section 27A of the Securities Act of 1933, as amended, and Section 21E of the Securities Exchange Act of 1934, as amended, or the Exchange Act. We have based these forward-looking statements on our current expectations and projections about future events. The following information and any forward-looking statements should be considered in light of factors discussed elsewhere in this Quarterly Report, particularly including those risks identified in Part II, Item 1A “Risk Factors” and our other filings with the Securities Exchange Commission, or the SEC.</w:t>
      </w:r>
    </w:p>
    <w:p>
      <w:pPr>
        <w:spacing w:after="0" w:line="1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Statements made herein are as of the date of the filing of this Quarterly Report with the SEC and should not be relied upon as of any subsequent date.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a clinical-stage biotechnology company committed to applying our leading expertise in the field of oncolytic immunotherapy to transform the lives of cancer patients through our novel oncolytic immunotherapies. Our proprietary oncolytic immunotherapy product candidates are intended to maximally activate the immune system against cancer.</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Oncolytic immunotherapy is an emerging drug class, which we intend to establish as the second cornerstone of immune-based cancer treatments, alongside checkpoint blockade. Oncolytic immunotherapy exploits the ability of certain viruses to selectively replicate in and directly kill tumors, as well as induce a potent, patient-specific, anti-tumor immune response. Our product candidates incorporate multiple mechanisms of action into a practical “off-the-shelf” approach that is intended to maximize the immune response against a patient’s cancer and to offer significant advantages over other approaches to inducing anti-tumor immunity, including personalized vaccine approaches. We believe that the bundling of multiple approaches for the treatment of cancer into single therapies will increase clinical efficacy and simplify the development path of our product candidates, while also improving patient outcomes.</w:t>
      </w:r>
    </w:p>
    <w:p>
      <w:pPr>
        <w:spacing w:after="0" w:line="173"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Our proprietary RPx platform is based on a novel, engineered strain of herpes simplex virus 1, or HSV-1, backbone with added payloads intended to maximize immunogenic cell death and induce a systemic anti-tumor immune response. The RPx platform is intended to ignite local activity consisting of direct selective virus-mediated killing of the tumor resulting in the release of tumor-derived antigens and altering of the tumor microenvironment to then activate a strong and durable systemic response. Our product candidates are expected to be synergistic with most established and experimental cancer treatment modalities, and with an attractive safety profile, the RPx platform is expected to have the versatility to be developed alone or combined with a variety of other treatment options. We currently have three RPx product candidates in our development pipeline, RP1 (vusolimogene oderparepvec), our lead product candidate, RP2 and RP3. Although our fiscal year ends March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our programs and program updates are reported on a calendar year basis.</w:t>
      </w:r>
    </w:p>
    <w:p>
      <w:pPr>
        <w:spacing w:after="0" w:line="119" w:lineRule="exact"/>
        <w:rPr>
          <w:sz w:val="20"/>
          <w:szCs w:val="20"/>
          <w:color w:val="auto"/>
        </w:rPr>
      </w:pPr>
    </w:p>
    <w:p>
      <w:pPr>
        <w:jc w:val="both"/>
        <w:ind w:right="180" w:firstLine="619"/>
        <w:spacing w:after="0" w:line="254" w:lineRule="auto"/>
        <w:rPr>
          <w:sz w:val="20"/>
          <w:szCs w:val="20"/>
          <w:color w:val="auto"/>
        </w:rPr>
      </w:pPr>
      <w:r>
        <w:rPr>
          <w:rFonts w:ascii="Times New Roman" w:cs="Times New Roman" w:eastAsia="Times New Roman" w:hAnsi="Times New Roman"/>
          <w:sz w:val="17"/>
          <w:szCs w:val="17"/>
          <w:color w:val="auto"/>
        </w:rPr>
        <w:t>We are conducting a number of clinical trials of RP1, both as a monotherapy and in combination with anti-PD-1 therapy, with a focus on establishing a major skin cancer franchise, assuming approval of our product candidates by the U.S. Food and Drug Administration, or the FDA, and similar applicable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659765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340" w:firstLine="619"/>
        <w:spacing w:after="0" w:line="262" w:lineRule="auto"/>
        <w:rPr>
          <w:sz w:val="20"/>
          <w:szCs w:val="20"/>
          <w:color w:val="auto"/>
        </w:rPr>
      </w:pPr>
      <w:r>
        <w:rPr>
          <w:rFonts w:ascii="Times New Roman" w:cs="Times New Roman" w:eastAsia="Times New Roman" w:hAnsi="Times New Roman"/>
          <w:sz w:val="17"/>
          <w:szCs w:val="17"/>
          <w:color w:val="auto"/>
        </w:rPr>
        <w:t>Our leading clinical trial of RP1 is referred to as the IGNYTE trial, which is a multi-cohort clinical trial being conducted in collaboration with Bristol Myers Squibb Company, or BMS, under which BMS has granted us a non-exclusive, royalty-free license to, and is supplying at no cost, its anti-PD-1 therapy, nivolumab, for use in combination with RP1.</w:t>
      </w:r>
    </w:p>
    <w:p>
      <w:pPr>
        <w:spacing w:after="0" w:line="185" w:lineRule="exact"/>
        <w:rPr>
          <w:sz w:val="20"/>
          <w:szCs w:val="20"/>
          <w:color w:val="auto"/>
        </w:rPr>
      </w:pPr>
    </w:p>
    <w:p>
      <w:pPr>
        <w:ind w:right="40" w:firstLine="619"/>
        <w:spacing w:after="0" w:line="250" w:lineRule="auto"/>
        <w:rPr>
          <w:sz w:val="20"/>
          <w:szCs w:val="20"/>
          <w:color w:val="auto"/>
        </w:rPr>
      </w:pPr>
      <w:r>
        <w:rPr>
          <w:rFonts w:ascii="Times New Roman" w:cs="Times New Roman" w:eastAsia="Times New Roman" w:hAnsi="Times New Roman"/>
          <w:sz w:val="17"/>
          <w:szCs w:val="17"/>
          <w:color w:val="auto"/>
        </w:rPr>
        <w:t>The leading tumor specific cohort in the IGNYTE trial is our registration directed Phase 2 expansion cohort in anti-PD-1 failed cutaneous melanoma. The anti-PD-1 failed melanoma cohort from the IGNYTE trial includes 140 patients who received RP1 in combination with nivolumab. The primary analysis by independent central review was triggered once all patients had been followed for at least 12 months. As reported in the Journal of Clinical Oncology 43(33):p</w:t>
      </w:r>
    </w:p>
    <w:p>
      <w:pPr>
        <w:ind w:right="100"/>
        <w:spacing w:after="0" w:line="244" w:lineRule="auto"/>
        <w:rPr>
          <w:sz w:val="20"/>
          <w:szCs w:val="20"/>
          <w:color w:val="auto"/>
        </w:rPr>
      </w:pPr>
      <w:r>
        <w:rPr>
          <w:rFonts w:ascii="Times New Roman" w:cs="Times New Roman" w:eastAsia="Times New Roman" w:hAnsi="Times New Roman"/>
          <w:sz w:val="17"/>
          <w:szCs w:val="17"/>
          <w:color w:val="auto"/>
        </w:rPr>
        <w:t>3589-3599, of the 140 patients enrolled, 48.6% had stage IVM1b/c/d disease, 65.7% had primary anti–PD-1 resistance, 56.4% were PD-L1 negative, and 46.4% received prior anti–PD-1 and anti–cytotoxic T-lymphocyte antigen-4, or anti-CTLA-4, therapy. The confirmed ORR was 32.9% (15.0% complete response) and the responses occurred with similar frequency, depth, duration, and kinetics for injected and non-injected lesions, including visceral lesions. The median duration of response was 33.7 months and overall survival rates at 1 and 2 years were 75.3% and 63.3%, respectively. RP1 combined with nivolumab continues to be well-tolerated, with mainly Grade 1-2 "on target" side effects, observed.</w:t>
      </w:r>
    </w:p>
    <w:p>
      <w:pPr>
        <w:spacing w:after="0" w:line="213"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In November 2024, we announced submission of our first Biologics License Application, or BLA, to the U.S. Food and Drug Administration, or the FDA, for RP1 (vusolimogene oderparepvec) in combination with nivolumab for the treatment of adult patients with advanced melanoma who have previously received an anti-PD-1 containing regimen, and that the FDA has granted Breakthrough Therapy designation for RP1 in combination with nivolumab in the same setting. The submission was made under the accelerated approval pathway. The FDA accepted our BLA and granted priority review with a Prescription Drug User Fee Act, or PDUFA, goal date of July 22, 2025. On July 21, 2025 the FDA issued a complete response letter, or CRL, for the RP1 BLA for the treatment of advanced melanoma. The FDA stated in the CRL that it was unable to approve the application in its present form and that the IGNYTE trial was not considered to be an adequate and well-controlled clinical investigation that provided substantial evidence of effectiveness, including contribution of components. Furthermore, the FDA said the trial could not be adequately interpreted due to the heterogeneity of the patient population. On September 2, 2025 we announced a type A meeting with the FDA had been scheduled to discuss the CRL following our submission of a briefing book addressing the points raised in the CRL, highlighting prior agreements related to the patient population, criteria for PD-1 resistance, and use of literature to support contribution of components. The briefing book also included an additional analysis of data from the BLA and addressed comments about the phase 3 confirmatory trial design raised by the FDA in the CRL. On September 18, 2025 we announced that, following the type A meeting with the FDA to discuss the CRL, which was conducted on September 16, 2025, we were evaluating feedback received during the meeting to determine our next steps and that, at that time, a path forward under the accelerated approval pathway had not been determined. Following the evaluation of FDA feedback and minutes from the type A meeting, we resubmitted the BLA on October 9, 2025. On October 20, 2025 we announced that the FDA had accepted the resubmission of the BLA for RP1 in combination with nivolumab for the treatment of advanced melanoma in patients who progress on an anti-PD-1 containing regimen. The resubmission included additional information, data and analyses that will be part of the BLA review. The FDA indicated that the resubmission is considered to be a complete response to the CRL and set a PDUFA date of April 10, 2026 based on a Class II resubmission timeline.</w:t>
      </w:r>
    </w:p>
    <w:p>
      <w:pPr>
        <w:spacing w:after="0" w:line="200" w:lineRule="exact"/>
        <w:rPr>
          <w:sz w:val="20"/>
          <w:szCs w:val="20"/>
          <w:color w:val="auto"/>
        </w:rPr>
      </w:pPr>
    </w:p>
    <w:p>
      <w:pPr>
        <w:ind w:right="120" w:firstLine="619"/>
        <w:spacing w:after="0" w:line="243" w:lineRule="auto"/>
        <w:rPr>
          <w:sz w:val="20"/>
          <w:szCs w:val="20"/>
          <w:color w:val="auto"/>
        </w:rPr>
      </w:pPr>
      <w:r>
        <w:rPr>
          <w:rFonts w:ascii="Times New Roman" w:cs="Times New Roman" w:eastAsia="Times New Roman" w:hAnsi="Times New Roman"/>
          <w:sz w:val="17"/>
          <w:szCs w:val="17"/>
          <w:color w:val="auto"/>
        </w:rPr>
        <w:t>We are interacting with the FDA during the review of the resubmitted BLA and, if approved, intend to bring RP1 to adult patients with advanced melanoma who have previously received an anti-PD-1 containing regimen who otherwise have limited treatment options. Without an approval of RP1 from this resubmitted BLA we might not be able to continue the development of RP1 for this indication, if at all, and we may be required to implement a restructuring plan and review our priorities across the RPx portfolio.</w:t>
      </w:r>
    </w:p>
    <w:p>
      <w:pPr>
        <w:spacing w:after="0" w:line="214" w:lineRule="exact"/>
        <w:rPr>
          <w:sz w:val="20"/>
          <w:szCs w:val="20"/>
          <w:color w:val="auto"/>
        </w:rPr>
      </w:pPr>
    </w:p>
    <w:p>
      <w:pPr>
        <w:ind w:right="20" w:firstLine="619"/>
        <w:spacing w:after="0" w:line="237" w:lineRule="auto"/>
        <w:rPr>
          <w:sz w:val="20"/>
          <w:szCs w:val="20"/>
          <w:color w:val="auto"/>
        </w:rPr>
      </w:pPr>
      <w:r>
        <w:rPr>
          <w:rFonts w:ascii="Times New Roman" w:cs="Times New Roman" w:eastAsia="Times New Roman" w:hAnsi="Times New Roman"/>
          <w:sz w:val="17"/>
          <w:szCs w:val="17"/>
          <w:color w:val="auto"/>
        </w:rPr>
        <w:t>In August 2024, we announced the dosing of the first patient in the IGNYTE-3 trial, or the I-3 trial, a confirmatory study design concept consisting of a 2-arm randomized Phase 3 clinical trial with physician's choice of treatment as a comparator arm in anti-PD-1 failed melanoma patients. With approximately 80 sites planned globally and an expectation to enroll 400 patients, the I-3 trial will assess RP1 in combination with nivolumab in patients with advanced melanoma who have progressed on anti-PD-1 and anti-CTLA-4 therapies or are ineligible for anti-CTLA-4 treatment. In the type A meeting minutes following the CRL, the FDA stated a control arm of nivolumab in combination with relatlimab (Opdualag</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may be an acceptable comparator for the I-3 randomized controlled trial. We continue to enroll patients in the I-3 trial. We are also planning for an interim overall survival, or OS, analysis in the second half of 2027.</w:t>
      </w:r>
    </w:p>
    <w:p>
      <w:pPr>
        <w:spacing w:after="0" w:line="203"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17"/>
          <w:szCs w:val="17"/>
          <w:color w:val="auto"/>
        </w:rPr>
        <w:t>On October 19, 2025 we announced data from a new ad hoc analysis from the IGNYTE phase 2 cohort of RP1 plus nivolumab, which was released at the European Society for Medical Oncology (ESMO) Congress 2025 held in Berlin. This ad hoc analysis focused on acral melanoma data from patients in the IGNYTE anti-PD-1 failed melanoma cohort and showed treatment with RP1 combined with nivolumab resulted in an objective response rate of 44% (8/18) with a median duration of response of 11.9 months. The safety profile was favorable with generally transient grade 1 and 2 treatment related adverse events, similar to those of the full IGNYTE patient population previously reported. Acral melanoma is a rare and aggressive type of cutaneous melanoma (2-3% of all melanoma cases) that frequently occurs on the palms of the hands, soles of the feet, and nailbeds, and often has poor outcomes with many patients presenting with in-transit metastases. Acral melanoma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typically respond well to available therapies, such as immune checkpoint inhibitors. Following progression on first-line therapy, aside from targeted therapy for a subset of patients with BRAF mutation-positive tumors, few viable treatment options exist for these patients.</w:t>
      </w:r>
    </w:p>
    <w:p>
      <w:pPr>
        <w:spacing w:after="0" w:line="19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17"/>
          <w:szCs w:val="17"/>
          <w:color w:val="auto"/>
        </w:rPr>
        <w:t>In our non-melanoma skin cancer, or NMSC, cohort of the IGNYTE trial, we provided a data update in December 2023 from the first 30 patients with at least 6 months of follow up including patients with cutaneous squamous cell carcinoma, or CSCC, Merkel cell carcinoma, or MCC, basal cell carcinoma, or BCC, and angiosarcoma in this cohort. The data showed that treatment with RP1 in combination with nivolumab led to an ORR of 30% which is consistent with data from the anti-PD-1 failed melanoma cohort with approximately one-third of patients responding and 60% demonstrating clinical benefit. The combination of RP1 and nivolumab was well tolerated in this patient population with a safety profile consistent with the overall experience seen with this treatment regimen to date. We provided updated data from the NMSC cohort in our June 2025 Investor Day and in October 2025 at ESMO. Responses to RP1 plus nivolumab occurred across the NMSC tumor types enrolled, with confirmed responses seen in patients with both anti–PD-1 naïve and anti-PD-1 failed disease, as well as both in locally advanced and metastatic disease. The ORR by NMSC tumor type for anti-PD-1 naïve patients was 100.0% (n=4) in MCC, 33.3% (n=3) in BCC, 66.7% (n=6) in angiosarcoma, and 56.3% (n=16) in CSCC. The ORR by NMSC tumor type for anti-PD-1 failed patients was 26.3% (n=19) in MCC, 30.0% (n=10) in BCC, 37.5% (n=8) in angiosarcoma, and 15.2% (n=33) in CSCC. We have closed enrollment in this cohort in the fourth quarter of 2025.</w:t>
      </w:r>
    </w:p>
    <w:p>
      <w:pPr>
        <w:spacing w:after="0" w:line="188" w:lineRule="exact"/>
        <w:rPr>
          <w:sz w:val="20"/>
          <w:szCs w:val="20"/>
          <w:color w:val="auto"/>
        </w:rPr>
      </w:pPr>
    </w:p>
    <w:p>
      <w:pPr>
        <w:ind w:right="100" w:firstLine="619"/>
        <w:spacing w:after="0" w:line="238" w:lineRule="auto"/>
        <w:rPr>
          <w:sz w:val="20"/>
          <w:szCs w:val="20"/>
          <w:color w:val="auto"/>
        </w:rPr>
      </w:pPr>
      <w:r>
        <w:rPr>
          <w:rFonts w:ascii="Times New Roman" w:cs="Times New Roman" w:eastAsia="Times New Roman" w:hAnsi="Times New Roman"/>
          <w:sz w:val="17"/>
          <w:szCs w:val="17"/>
          <w:color w:val="auto"/>
        </w:rPr>
        <w:t>Furthering development of RP1, we have open for enrollment a Phase 1b/2 clinical trial of single agent RP1 in solid organ transplant recipients with skin cancers, including CSCC, which we refer to as the ARTACUS trial. We believe that the ARTACUS trial may be potentially registrational (in its own right or, subject to discussion with regulatory authorities, following enrollment of additional patients, including as a potential label expansion after an initial approval of RP1 in a different indication). We are currently planning to enroll up to 65 patients in the ARTACUS trial to assess the safety and efficacy of RP1 in liver, kidney, heart, lung, and hematopoietic cell transplant patients with skin cancers. In November 2023 we presented initial data from the ARTACUS trial of RP1 monotherapy in solid organ transplant recipients with skin cancers at the Society for Immunotherapy of Cancer’s, or SITC, 38th Annual Meeting. The data included 23 evaluable patients with CSCC (n=20) and MCC (n=3), demonstrating an ORR of 34.5% and a complete response, or CR, of 21%. RP1 monotherapy was well tolerated in these patients and the safety profile was similar to that observed in our other RP1 clinical trials in patients who are not immune suppressed. No immune-mediated adverse events or evidence of allograft rejection were observed to result from RP1. This data was also presented during oral presentation at the American Association of Cancer Research 2024 Annual Meeting in April 2024. More recently, Dr. Michael R. Migden presented updated data from the ARTACUS trial at the Society for Melanoma Research 22nd International Congress in October 2025. This updated data showed anti-tumor activity in locally advanced CSCC with an ORR of 34.6% (CR rate of 23.1%) and 2-year duration of response of 61.0%. RP1 monotherapy continues to be well tolerated, and the safety profile continues to be similar to that observed in non-immunocompromised patients with advanced skin cancers. We are planning a publication of the ARTACUS data in 2026.</w:t>
      </w:r>
    </w:p>
    <w:p>
      <w:pPr>
        <w:spacing w:after="0" w:line="225" w:lineRule="exact"/>
        <w:rPr>
          <w:sz w:val="20"/>
          <w:szCs w:val="20"/>
          <w:color w:val="auto"/>
        </w:rPr>
      </w:pPr>
    </w:p>
    <w:p>
      <w:pPr>
        <w:ind w:right="160" w:firstLine="619"/>
        <w:spacing w:after="0" w:line="271" w:lineRule="auto"/>
        <w:rPr>
          <w:sz w:val="20"/>
          <w:szCs w:val="20"/>
          <w:color w:val="auto"/>
        </w:rPr>
      </w:pPr>
      <w:r>
        <w:rPr>
          <w:rFonts w:ascii="Times New Roman" w:cs="Times New Roman" w:eastAsia="Times New Roman" w:hAnsi="Times New Roman"/>
          <w:sz w:val="17"/>
          <w:szCs w:val="17"/>
          <w:color w:val="auto"/>
        </w:rPr>
        <w:t>As previously reported, our clinical trial of RP1 in patients with CSCC, which we refer to as the CERPASS trial, continues as planned to follow patients that were dosed in the trial.</w:t>
      </w:r>
    </w:p>
    <w:p>
      <w:pPr>
        <w:spacing w:after="0" w:line="190"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17"/>
          <w:szCs w:val="17"/>
          <w:color w:val="auto"/>
        </w:rPr>
        <w:t>We are also developing or are continuing to develop additional product candidates, RP2 and RP3, that have been further engineered to enhance anti-tumor immune responses and are intended to address additional tumor types, including traditionally less immune responsive tumor types. In addition to the expression of GALV-GP R(-) and human GM-CSF as in RP1, RP2 has been engineered to express an antibody-like molecule intended to block the activity of CTLA-4, a protein that inhibits the full activation of an immune response, including to tumors. RP3 has been engineered with the intent to further stimulate an anti-tumor immune response through activation of immune co-stimulatory pathways through the additional expression of the ligands for CD40 and 4-1BBL, as well as anti-CTLA-4 and GALV-GP R(-), but without the expression of GM-CSF.</w:t>
      </w:r>
    </w:p>
    <w:p>
      <w:pPr>
        <w:spacing w:after="0" w:line="198"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17"/>
          <w:szCs w:val="17"/>
          <w:color w:val="auto"/>
        </w:rPr>
        <w:t>We continue the development of our product candidate RP2 with the goal of moving beyond skin cancers and aiming to treat the more prevalent tumor types commonly found in liver and lung metastasis and including those involving primary liver cancer. Notably, as previously reported, from our Phase-1 clinical trial of RP2 alone and in combination with nivolumab, we have seen durable responses from a monotherapy cohort in a variety of difficult to treat tumors as well as in combination with anti-PD-1 and in particular in patients with metastatic uveal melanoma, or mUM. In November 2023, we presented updated data from a cohort of mUM patients during a Plenary Session at the 20th Annual International Society for Melanoma Research Congress. The updated data showed RP2 led to an ORR of 29.4% (5 of 17 patients; one of the responding patients was treated with RP2 monotherapy and four of the responding patients were treated with RP2 combined with nivolumab), including responses in patients with liver, lung, and bone metastases. The median DOR at the data cutoff was 11.47 months (range of 2.78 to 21.22 with responses ongoing). Nearly all patients (15 of 17, 88.2%) in the study had progressed on or after immunotherapy with 12 of 17 patients (70.6%) having previously received both anti-PD-1 and anti-CTLA-4 therapies, including four of the responding patients. RP2 was generally well tolerated both as monotherapy and in combination with nivolumab with no additive adverse events observed. The most common grade 1 or 2 treatment related adverse events, or TRAEs, overall in both cohorts were pyrexia, chills, fatigue, hypotension and pruritis. Six patients had grade 3 TRAEs,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508000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including two cases of hypotension. There were no grade 4 or 5 TRAEs. In June 2024, we presented that the disease control rate for this cohort of mUM patients was 58.8%.</w:t>
      </w:r>
    </w:p>
    <w:p>
      <w:pPr>
        <w:spacing w:after="0" w:line="19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17"/>
          <w:szCs w:val="17"/>
          <w:color w:val="auto"/>
        </w:rPr>
        <w:t>We are enrolling patients in a registration-directed study, or the REVEAL study, of RP2 in mUM patients who are immune checkpoint inhibitor-naïve. The REVEAL study is a randomized, phase 2/3 open label study expected to enroll approximately 280 patients to investigate the efficacy and safety of RP2 in combination with nivolumab vs. ipilimumab in combination with nivolumab in immune checkpoint inhibitor naïve adult patients with metastatic uveal melanoma. The primary endpoints of the trial are overall survival and progression free survival, and key secondary endpoints are overall response rate and disease control rate. In January 2026 we announced the expansion of the REVEAL trial outside the United States with roughly 50 sites engaged and the Phase 2/3 transition is expected in the first quarter of 2027.</w:t>
      </w:r>
    </w:p>
    <w:p>
      <w:pPr>
        <w:spacing w:after="0" w:line="211" w:lineRule="exact"/>
        <w:rPr>
          <w:sz w:val="20"/>
          <w:szCs w:val="20"/>
          <w:color w:val="auto"/>
        </w:rPr>
      </w:pPr>
    </w:p>
    <w:p>
      <w:pPr>
        <w:ind w:right="480" w:firstLine="619"/>
        <w:spacing w:after="0" w:line="254" w:lineRule="auto"/>
        <w:rPr>
          <w:sz w:val="20"/>
          <w:szCs w:val="20"/>
          <w:color w:val="auto"/>
        </w:rPr>
      </w:pPr>
      <w:r>
        <w:rPr>
          <w:rFonts w:ascii="Times New Roman" w:cs="Times New Roman" w:eastAsia="Times New Roman" w:hAnsi="Times New Roman"/>
          <w:sz w:val="17"/>
          <w:szCs w:val="17"/>
          <w:color w:val="auto"/>
        </w:rPr>
        <w:t>We continue our signal finding trial of RP2 in combination with atezolizumab and bevacizumab in the 2L setting of patients with hepatocellular carcinoma, or HCC, in collaboration with Roche. This Phase 2 clinical trial is currently open and enrollment is underway. The protocol has been amended to include RP2 as monotherapy and we plan to release preliminary HCC data by the end of 2026.</w:t>
      </w:r>
    </w:p>
    <w:p>
      <w:pPr>
        <w:spacing w:after="0" w:line="204" w:lineRule="exact"/>
        <w:rPr>
          <w:sz w:val="20"/>
          <w:szCs w:val="20"/>
          <w:color w:val="auto"/>
        </w:rPr>
      </w:pPr>
    </w:p>
    <w:p>
      <w:pPr>
        <w:ind w:right="180" w:firstLine="619"/>
        <w:spacing w:after="0" w:line="271" w:lineRule="auto"/>
        <w:rPr>
          <w:sz w:val="20"/>
          <w:szCs w:val="20"/>
          <w:color w:val="auto"/>
        </w:rPr>
      </w:pPr>
      <w:r>
        <w:rPr>
          <w:rFonts w:ascii="Times New Roman" w:cs="Times New Roman" w:eastAsia="Times New Roman" w:hAnsi="Times New Roman"/>
          <w:sz w:val="17"/>
          <w:szCs w:val="17"/>
          <w:color w:val="auto"/>
        </w:rPr>
        <w:t>We have also opened a cohort in our RP2 study to enroll patients with biliary tract cancer, or BTC, and dose RP2 in combination with durvalumab. This cohort enrolled the first patients in the fourth quarter of 2025.</w:t>
      </w:r>
    </w:p>
    <w:p>
      <w:pPr>
        <w:spacing w:after="0" w:line="177" w:lineRule="exact"/>
        <w:rPr>
          <w:sz w:val="20"/>
          <w:szCs w:val="20"/>
          <w:color w:val="auto"/>
        </w:rPr>
      </w:pPr>
    </w:p>
    <w:p>
      <w:pPr>
        <w:ind w:right="400" w:firstLine="619"/>
        <w:spacing w:after="0" w:line="253" w:lineRule="auto"/>
        <w:rPr>
          <w:sz w:val="20"/>
          <w:szCs w:val="20"/>
          <w:color w:val="auto"/>
        </w:rPr>
      </w:pPr>
      <w:r>
        <w:rPr>
          <w:rFonts w:ascii="Times New Roman" w:cs="Times New Roman" w:eastAsia="Times New Roman" w:hAnsi="Times New Roman"/>
          <w:sz w:val="17"/>
          <w:szCs w:val="17"/>
          <w:color w:val="auto"/>
        </w:rPr>
        <w:t>RP1, RP2 and RP3 are administered by direct injection into solid tumors, guided either visually or by ultrasound, computerized tomography or other imaging methods.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is intended to lead to the induction of anti-tumor immune responses leading to clinical response of tumors that have not themselves been injected.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Financial</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Since our inception, we have devoted substantially all of our resources to developing our proprietary RPx platform, building our intellectual property portfolio, conducting research and development of our product candidates, business planning, raising capital and providing general and administrative support for our operations. To date, we have incurred significant operating losses and we have financed our operations primarily with proceeds from the sale of equity securities and to a lesser extent, proceeds from borrowing under secured loan facilities. Our ability to generate product revenue sufficient to achieve profitability will depend on the successful development and eventual commercialization of one or more of our product candidates. We do not have any products approved for sale and have not generated any revenue from product sales.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Since our initial public offering, or IPO, on July 20, 2018, we have raised an aggregate of approximately $1,112.1 million in net proceeds to fund our operations, of which $101.2 million was from our IPO, $862.0 million was from four separate follow-on offerings, or the Public Offerings, that we closed in November 2019, June 2020, October 2020, December 2022, and November 2024, respectively, $96.7 million was from our private investment in public equity offering in June 2024, and $52.2 million was from at-the-market offerings. We sold 7,407,936 shares of common stock in our IPO, an aggregate of 28,968,857 shares of our common stock and pre-funded warrants to purchase 13,330,422 shares of common stock in the Public Offerings, 5,668,937 shares of our common stock and pre-funded warrants to purchase 5,669,578 shares of common stock through our private investment in public equity in June 2024, and 3,393,520 shares of common stock through our at-the-market facilities.</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net losses were $70.9 million and $66.3 million for the three months ended December 31, 2025 and 2024, respectively, and $240.7 million and $173.2 million for the nine months ended December 31, 2025 and 2024, respectively. As of December 31, 2025, we had an accumulated deficit of $1,189.3 million. These losses have resulted primarily from costs incurred in connection with research and development activities and general and administrative costs associated with our operations. We expect to continue to incur significant expenses and increasing operating losses for at least the next several years.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anticipate that our expenses and capital requirements will fluctuate from period to period depending upon the Company's development programs and priorities. We expect to continue to incur costs and expenses in the future and our expenses may increase if and as we:</w:t>
      </w:r>
    </w:p>
    <w:p>
      <w:pPr>
        <w:spacing w:after="0" w:line="151" w:lineRule="exact"/>
        <w:rPr>
          <w:sz w:val="20"/>
          <w:szCs w:val="20"/>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conduct our current and future clinical trials;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preclinical development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our in-house manufacturing facility;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and develop additional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of our product candidates that successfully complete clinical trials, if any;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products for which we may obtain marketing approval;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protect and defend our intellectual property portfolio;</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additional clinical, quality control, scientific and general and administration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drugs, technologies or intellectual property rights;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research and development programs, any future commercialization efforts and operations as a public company.</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2025, we had cash and cash equivalents and short-term investments of $269.1 million. Based on our current operating plan including the commercialization of RP1 in the near term, we believe that our existing cash and cash equivalents and short-term investments, in addition to the additional draw down of debt from the third amendment of the loan agreement with Hercules and the cash raised from our ATM during the subsequent event period, will enable us to fund our operating expenses and capital expenditure requirements through at least 12 months from the issuance of the condensed consolidated financial statements included in this Quarterly Report.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“—Liquidity and capital resources” and “Risk factors—Risks related to our financial position and need for additional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as we do not have any approved products and we can not be certain we will generate any revenue from the sale of products in the future. If our development efforts for RP1 or any other product candidates that we may develop in the future are successful and result in regulatory approval, or if we enter into collaboration or license agreements with third parties, we may generate revenue in the future from a combination of product sales or payments from those collaborations or license agreements.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expenses since inception have consisted solely of research and development costs and general and administrative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activities, including our discovery efforts and the development of our product candidates, and include:</w:t>
      </w:r>
    </w:p>
    <w:p>
      <w:pPr>
        <w:spacing w:after="0" w:line="151" w:lineRule="exact"/>
        <w:rPr>
          <w:sz w:val="20"/>
          <w:szCs w:val="20"/>
          <w:color w:val="auto"/>
        </w:rPr>
      </w:pPr>
    </w:p>
    <w:p>
      <w:pPr>
        <w:jc w:val="both"/>
        <w:ind w:left="940" w:hanging="318"/>
        <w:spacing w:after="0" w:line="270"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third parties, including clinical research organizations, or CROs, that conduct research, preclinical activities and clinical trials on our behalf as well as contract manufacturing organizations, or CMOs, that manufacture raw materials and supplies for our product candidates and their manufacturing, packaging and labeling;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other related costs, including stock-based compensation expense, for personnel engaged in research and development functions;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outside consultants engaged in research and development functions, including their fees, stock-based compensation and related travel expenses;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laboratory supplies and acquiring, developing and manufacturing preclinical study and clinical trial materials;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 in connection with the development of our product candidates;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facility-related expenses, which include direct depreciation costs and allocated expenses for rent and maintenance of facilities and other operating costs.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costs may be partially offset by cost-sharing arrangements under collaboration agreements that we may enter from time to time.</w:t>
      </w:r>
    </w:p>
    <w:p>
      <w:pPr>
        <w:spacing w:after="0" w:line="21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366" w:lineRule="exact"/>
        <w:rPr>
          <w:sz w:val="20"/>
          <w:szCs w:val="20"/>
          <w:color w:val="auto"/>
        </w:rPr>
      </w:pPr>
    </w:p>
    <w:p>
      <w:pPr>
        <w:jc w:val="both"/>
        <w:ind w:firstLine="619"/>
        <w:spacing w:after="0" w:line="232" w:lineRule="auto"/>
        <w:rPr>
          <w:sz w:val="20"/>
          <w:szCs w:val="20"/>
          <w:color w:val="auto"/>
        </w:rPr>
      </w:pPr>
      <w:r>
        <w:rPr>
          <w:rFonts w:ascii="Times New Roman" w:cs="Times New Roman" w:eastAsia="Times New Roman" w:hAnsi="Times New Roman"/>
          <w:sz w:val="17"/>
          <w:szCs w:val="17"/>
          <w:color w:val="auto"/>
        </w:rPr>
        <w:t>Direct research and development costs, consisting of costs, such as fees paid to consultants, contractors, CMOs and CROs in connection with our preclinical and clinical development activities, are tracked by study. Additional costs, consisting primarily of our initial manufacturing costs, including materials, supplies, depreciation and facility costs, are allocated at a program level, based upon manufacturing runs, as the drug product can be utilized across multiple studies for any particular program. Additional costs to label, package and distribute the drug product is then directly allocated to the specific studies when incurred, as that drug product has then been assigned to a particular study. In the event our additional future or ongoing study costs become meaningful to investors, we will present those costs by study.</w:t>
      </w:r>
    </w:p>
    <w:p>
      <w:pPr>
        <w:spacing w:after="0" w:line="19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do not allocate personnel costs, costs associated with our discovery efforts, laboratory supplies or other indirect costs, to specific product development programs because these costs are deployed across multiple product development programs and, as such, are not separately classified.</w:t>
      </w:r>
    </w:p>
    <w:p>
      <w:pPr>
        <w:spacing w:after="0" w:line="164"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enrollment in, and the initiation of, additional clinical trials, as well as the continued discovery and development of additional product candidates. However, if we determine that the continued development of RP1 is not viable, our outlook and plans may be uncertain and the impact on our research and development expenses will also be uncertain. At this time the ability to fund and successfully develop, and commercialize, if approved, our product candidates is highly uncertain. This is due to the numerous risks and uncertainties associated with product development and commercialization, including the following:</w:t>
      </w:r>
    </w:p>
    <w:p>
      <w:pPr>
        <w:spacing w:after="0" w:line="204" w:lineRule="exact"/>
        <w:rPr>
          <w:sz w:val="20"/>
          <w:szCs w:val="20"/>
          <w:color w:val="auto"/>
        </w:rPr>
      </w:pPr>
    </w:p>
    <w:p>
      <w:pPr>
        <w:ind w:left="940" w:right="120" w:hanging="318"/>
        <w:spacing w:after="0" w:line="248"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what extent we are able to reach a mutually agreeable path forward with the FDA with respect to the scope, design, implementation and timing of an approval for RP1 (vusolimogene oderparepvec) in combination with nivolumab for the treatment of adult patients with advanced melanoma who have previously received an anti-PD-1 containing regimen the scope, rate of progress, expense and results of our ongoing clinical trials, as well as future clinical trials or other product candidates and other research and development activities that we may conduct;</w:t>
      </w:r>
    </w:p>
    <w:p>
      <w:pPr>
        <w:spacing w:after="0" w:line="184"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preclinical and clinical programs we decide to pursue;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current research and development programs and to establish new ones;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 clinical trial design;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enrollment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hanging="318"/>
        <w:spacing w:after="0" w:line="28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completion of clinical trials with safety, tolerability, and efficacy profiles that are satisfactory to the FDA or any comparable foreign regulatory authority;</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regulatory approvals from applicable regulatory authorities;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in operating our manufacturing facility, or securing manufacturing supply through relationships with third parties;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patents, trade secret protection, and regulatory exclusivity, both in the United States and internationally;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protect and defend our rights in our intellectual property portfolio;</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commercialization of our product candidates, if and when approved and the timing of such approval;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acceptance of our product candidates, if approved, by patients, the medical community, and third-party payors;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our product candidates for use in combination with third-party products or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developments in the field of immuno-oncology;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other products; and</w:t>
      </w:r>
    </w:p>
    <w:p>
      <w:pPr>
        <w:spacing w:after="0" w:line="229" w:lineRule="exact"/>
        <w:rPr>
          <w:rFonts w:ascii="Times New Roman" w:cs="Times New Roman" w:eastAsia="Times New Roman" w:hAnsi="Times New Roman"/>
          <w:sz w:val="17"/>
          <w:szCs w:val="17"/>
          <w:color w:val="auto"/>
        </w:rPr>
      </w:pPr>
    </w:p>
    <w:p>
      <w:pPr>
        <w:ind w:left="940" w:right="40" w:hanging="318"/>
        <w:spacing w:after="0" w:line="271"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and changing government regulation and regulatory guidance and the views and implementation of such regulation and guidance from the leadership of the applicable regulatory agencies.</w:t>
      </w:r>
    </w:p>
    <w:p>
      <w:pPr>
        <w:spacing w:after="0" w:line="177"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to modify the clinical design of any of our clinical trials as contemplated in the CRL or otherwise, if we experience significant trial delays due to patient enrollment or other reasons, we could be required to expend significant additional financial resources and time on the completion of clinical development. We may never succeed in obtaining regulatory approval for any of our product candidates.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primarily of salaries and other related costs, including stock-based compensation, for personnel in our executive, finance, corporate, commercial and business development and administrative functions. Selling, general and administrative expenses also include professional fees for legal, patent, accounting, auditing, tax and consulting services, pre-commercial planning, travel expenses, and facility-related expenses, which include direct depreciation costs and allocated expenses for rent and maintenance of facilities and other operating costs.</w:t>
      </w:r>
    </w:p>
    <w:p>
      <w:pPr>
        <w:spacing w:after="0" w:line="184"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17"/>
          <w:szCs w:val="17"/>
          <w:color w:val="auto"/>
        </w:rPr>
        <w:t>We expect that our selling, general and administrative expenses will continue to increase in the future as we increase our selling, general and administrative headcount to support our continued research and development and pre-launch activities to prepare for potential commercialization of our product candidates. We also expect to continue to incur increased expenses, including accounting, audit, legal, regulatory and tax-related services associated with maintaining compliance with exchange listing and SEC requirements; director and officer insurance costs; and investor and public relations costs. If we determine that the continued development of RP1 is not viable, we expect that our selling, general and administrative expenses will decrease but to what extent we are uncertain.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incentives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Research and development incentives consists of reimbursements of research and development expenditures. We participate, through our subsidiary in the United Kingdom, in the research and development program provided by the United Kingdom tax relief program, such that a percentage of up to 16.2% of our qualifying research and development expenditures are reimbursed by the United Kingdom government, and such incentives are reflected as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income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Investment income consists of income earned on our cash and cash equivalents and short-term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on debt obligations</w:t>
      </w:r>
    </w:p>
    <w:p>
      <w:pPr>
        <w:spacing w:after="0" w:line="221" w:lineRule="exact"/>
        <w:rPr>
          <w:sz w:val="20"/>
          <w:szCs w:val="20"/>
          <w:color w:val="auto"/>
        </w:rPr>
      </w:pPr>
    </w:p>
    <w:p>
      <w:pPr>
        <w:ind w:left="620"/>
        <w:spacing w:after="0"/>
        <w:tabs>
          <w:tab w:leader="none" w:pos="8840" w:val="left"/>
        </w:tabs>
        <w:rPr>
          <w:sz w:val="20"/>
          <w:szCs w:val="20"/>
          <w:color w:val="auto"/>
        </w:rPr>
      </w:pPr>
      <w:r>
        <w:rPr>
          <w:rFonts w:ascii="Times New Roman" w:cs="Times New Roman" w:eastAsia="Times New Roman" w:hAnsi="Times New Roman"/>
          <w:sz w:val="17"/>
          <w:szCs w:val="17"/>
          <w:color w:val="auto"/>
        </w:rPr>
        <w:t>Interest expense on debt obligations consists of the amortization of debt discount and cash paid for interest under the</w:t>
        <w:tab/>
        <w:t>loan agreement with Hercules.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on finance lease liability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on finance lease liability consists of amortization of finance charges under our financing 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 income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(expense) income consists primarily of realized and unrealized foreign currency transaction gains and losses.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0"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 For the three and nine months ended December 31, 2025 and 2024, the Company excluded the United States and the United Kingdom from the calculation of the AETR as the Company anticipates an ordinary loss in this jurisdiction for which no tax benefit can be recognized.</w:t>
      </w:r>
    </w:p>
    <w:p>
      <w:pPr>
        <w:spacing w:after="0" w:line="161"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both in the United States and United Kingdom,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December 31, 2025 and March 31, 2025, the Company has recorded a full valuation allowance against its net deferred tax assets.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December 31, 2025 and 2024</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 summarizes our results of operations for the three months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31"/>
        </w:trPr>
        <w:tc>
          <w:tcPr>
            <w:tcW w:w="1220" w:type="dxa"/>
            <w:vAlign w:val="bottom"/>
            <w:tcBorders>
              <w:top w:val="single" w:sz="8" w:color="0000FF"/>
            </w:tcBorders>
          </w:tcPr>
          <w:p>
            <w:pPr>
              <w:spacing w:after="0"/>
              <w:rPr>
                <w:sz w:val="24"/>
                <w:szCs w:val="24"/>
                <w:color w:val="auto"/>
              </w:rPr>
            </w:pPr>
          </w:p>
        </w:tc>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1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5"/>
        </w:trPr>
        <w:tc>
          <w:tcPr>
            <w:tcW w:w="1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2"/>
        </w:trPr>
        <w:tc>
          <w:tcPr>
            <w:tcW w:w="1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1160" w:type="dxa"/>
            <w:vAlign w:val="bottom"/>
          </w:tcPr>
          <w:p>
            <w:pPr>
              <w:spacing w:after="0"/>
              <w:rPr>
                <w:sz w:val="18"/>
                <w:szCs w:val="18"/>
                <w:color w:val="auto"/>
              </w:rPr>
            </w:pPr>
          </w:p>
        </w:tc>
      </w:tr>
      <w:tr>
        <w:trPr>
          <w:trHeight w:val="21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72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48,004</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5,136</w:t>
            </w:r>
          </w:p>
        </w:tc>
      </w:tr>
      <w:tr>
        <w:trPr>
          <w:trHeight w:val="219"/>
        </w:trPr>
        <w:tc>
          <w:tcPr>
            <w:tcW w:w="6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12"/>
        </w:trPr>
        <w:tc>
          <w:tcPr>
            <w:tcW w:w="67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5,849</w:t>
            </w:r>
          </w:p>
        </w:tc>
      </w:tr>
      <w:tr>
        <w:trPr>
          <w:trHeight w:val="21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(5,849)</w:t>
            </w:r>
          </w:p>
        </w:tc>
      </w:tr>
      <w:tr>
        <w:trPr>
          <w:trHeight w:val="21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6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w:t>
            </w:r>
          </w:p>
        </w:tc>
      </w:tr>
      <w:tr>
        <w:trPr>
          <w:trHeight w:val="219"/>
        </w:trPr>
        <w:tc>
          <w:tcPr>
            <w:tcW w:w="6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on finance lease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expense on debt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6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2,701</w:t>
            </w:r>
          </w:p>
        </w:tc>
      </w:tr>
      <w:tr>
        <w:trPr>
          <w:trHeight w:val="212"/>
        </w:trPr>
        <w:tc>
          <w:tcPr>
            <w:tcW w:w="67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12"/>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(5,476)</w:t>
            </w:r>
          </w:p>
        </w:tc>
      </w:tr>
      <w:tr>
        <w:trPr>
          <w:trHeight w:val="219"/>
        </w:trPr>
        <w:tc>
          <w:tcPr>
            <w:tcW w:w="67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237"/>
        </w:trPr>
        <w:tc>
          <w:tcPr>
            <w:tcW w:w="6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three months ended December 31, 2025 were $53.1 million, compared to $48.0 million for the three months ended December 31, 2024. The following table summarizes our research and development expenses for the three months ended December 31,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9"/>
        </w:trPr>
        <w:tc>
          <w:tcPr>
            <w:tcW w:w="67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RP1 program costs by study:</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IGNYTE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ARTACUS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219"/>
        </w:trPr>
        <w:tc>
          <w:tcPr>
            <w:tcW w:w="6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CERPASS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IGNYTE-3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1,844</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RP1 study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3,610</w:t>
            </w:r>
          </w:p>
        </w:tc>
        <w:tc>
          <w:tcPr>
            <w:tcW w:w="0" w:type="dxa"/>
            <w:vAlign w:val="bottom"/>
          </w:tcPr>
          <w:p>
            <w:pPr>
              <w:spacing w:after="0"/>
              <w:rPr>
                <w:sz w:val="1"/>
                <w:szCs w:val="1"/>
                <w:color w:val="auto"/>
              </w:rPr>
            </w:pPr>
          </w:p>
        </w:tc>
      </w:tr>
      <w:tr>
        <w:trPr>
          <w:trHeight w:val="212"/>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RP1 costs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0" w:type="dxa"/>
            <w:vAlign w:val="bottom"/>
          </w:tcPr>
          <w:p>
            <w:pPr>
              <w:spacing w:after="0"/>
              <w:rPr>
                <w:sz w:val="1"/>
                <w:szCs w:val="1"/>
                <w:color w:val="auto"/>
              </w:rPr>
            </w:pPr>
          </w:p>
        </w:tc>
      </w:tr>
      <w:tr>
        <w:trPr>
          <w:trHeight w:val="219"/>
        </w:trPr>
        <w:tc>
          <w:tcPr>
            <w:tcW w:w="6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RP2</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RP3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0" w:type="dxa"/>
            <w:vAlign w:val="bottom"/>
          </w:tcPr>
          <w:p>
            <w:pPr>
              <w:spacing w:after="0"/>
              <w:rPr>
                <w:sz w:val="1"/>
                <w:szCs w:val="1"/>
                <w:color w:val="auto"/>
              </w:rPr>
            </w:pPr>
          </w:p>
        </w:tc>
      </w:tr>
      <w:tr>
        <w:trPr>
          <w:trHeight w:val="219"/>
        </w:trPr>
        <w:tc>
          <w:tcPr>
            <w:tcW w:w="6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Unallocated research and development expenses: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Personnel related (including stock-based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23,679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53,140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overall increase of $5.1 million in total research and development expenses was driven by an increase of approximately $6.3 million in direct research costs, which includes an increase of $3.6 million in RP1 costs, as well as an increase of $3.3 million in spending on RP2. The increase in RP1 includes $3.6 million of other study costs including lab and operating supplies to support the Company's anticipated commercial and clinical demand. In addition, there was an increase of $1.8 million in costs related to the IGNYTE-3 confirmatory study, which ramped up activity and enrollment in this current fiscal year. These increases are somewhat offset by a decrease of approximately $1.2 million in the IGNYTE study as a result of the completion of enrollment in the IGNYTE advanced melanoma cohort during the year. In addition to the increases in RP1,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508635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there was an increase of $3.3 million in spending on RP2 as a result of increased enrollment in the REVEAL study as compared to the same quarter in the prior year.</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0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Selling, general and administrative expenses were $18.7 million for the three months ended December 31, 2025, compared to $18.0 million for the three months ended December 31, 2024. The increase of $0.7 million is primarily the result of the $3.8 million in personnel related costs in the sales and marketing and G&amp;A functions as the Company continues to prepare for its first potential commercial launch of RP1, that included pre-launch planning and continued building of the Company's commercial infrastructure. The increase in personnel related costs is partially offset by a decrease of $3.4 million in external sales and marketing costs, as spending in this area decreased during this quarter while the Company worked with the FDA regarding the resubmission of the BLA for RP1.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other income (expense), net</w:t>
      </w:r>
    </w:p>
    <w:p>
      <w:pPr>
        <w:spacing w:after="0" w:line="20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Other income (expense), net was $0.6 million for the three months ended December 31, 2025, compared to income of $0.3 million for the three months ended December 31, 2024. The net change of $0.4 million is primarily attributable to a decrease in expense of $2.7 million in the current quarter compared to the prior year due to exchange rate fluctuations related to the changes in foreign exchange rates of the British Pound Sterling to the United States Dollar, specifically on intercompany and other non-functional currency transactions. The decrease in expense was partially offset by a decrease in investment income of $2.3 million as a result of a lower investment balance year over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December 31, 2025 and 2024</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chart summarizes our results of operations for the nine months ended December 31,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5"/>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2"/>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c>
          <w:tcPr>
            <w:tcW w:w="1160" w:type="dxa"/>
            <w:vAlign w:val="bottom"/>
          </w:tcPr>
          <w:p>
            <w:pPr>
              <w:spacing w:after="0"/>
              <w:rPr>
                <w:sz w:val="18"/>
                <w:szCs w:val="18"/>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67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135,472</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33,388</w:t>
            </w:r>
          </w:p>
        </w:tc>
      </w:tr>
      <w:tr>
        <w:trPr>
          <w:trHeight w:val="219"/>
        </w:trPr>
        <w:tc>
          <w:tcPr>
            <w:tcW w:w="6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30,894</w:t>
            </w:r>
          </w:p>
        </w:tc>
      </w:tr>
      <w:tr>
        <w:trPr>
          <w:trHeight w:val="212"/>
        </w:trPr>
        <w:tc>
          <w:tcPr>
            <w:tcW w:w="67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246,581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182,299</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64,282</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(246,581)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(64,282)</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Research and development incentives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19"/>
        </w:trPr>
        <w:tc>
          <w:tcPr>
            <w:tcW w:w="6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w:t>
            </w: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expense on finance lease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67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Interest expense on debt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9"/>
        </w:trPr>
        <w:tc>
          <w:tcPr>
            <w:tcW w:w="6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67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(4,160)</w:t>
            </w:r>
          </w:p>
        </w:tc>
      </w:tr>
      <w:tr>
        <w:trPr>
          <w:trHeight w:val="21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(172,592)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(68,442)</w:t>
            </w:r>
          </w:p>
        </w:tc>
      </w:tr>
      <w:tr>
        <w:trPr>
          <w:trHeight w:val="212"/>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w:t>
            </w: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(67,556)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for the nine months ended December 31, 2025 were $168.9 million, compared to $135.5 million for the nine months ended December 31, 2024. The following table summarizes our research and development expenses for the nine months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6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2"/>
        </w:trPr>
        <w:tc>
          <w:tcPr>
            <w:tcW w:w="1220" w:type="dxa"/>
            <w:vAlign w:val="bottom"/>
            <w:tcBorders>
              <w:top w:val="single" w:sz="8" w:color="0000FF"/>
            </w:tcBorders>
          </w:tcPr>
          <w:p>
            <w:pPr>
              <w:spacing w:after="0"/>
              <w:rPr>
                <w:sz w:val="24"/>
                <w:szCs w:val="24"/>
                <w:color w:val="auto"/>
              </w:rPr>
            </w:pPr>
          </w:p>
        </w:tc>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c>
          <w:tcPr>
            <w:tcW w:w="0" w:type="dxa"/>
            <w:vAlign w:val="bottom"/>
          </w:tcPr>
          <w:p>
            <w:pPr>
              <w:spacing w:after="0"/>
              <w:rPr>
                <w:sz w:val="1"/>
                <w:szCs w:val="1"/>
                <w:color w:val="auto"/>
              </w:rPr>
            </w:pPr>
          </w:p>
        </w:tc>
      </w:tr>
      <w:tr>
        <w:trPr>
          <w:trHeight w:val="212"/>
        </w:trPr>
        <w:tc>
          <w:tcPr>
            <w:tcW w:w="6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99"/>
        </w:trPr>
        <w:tc>
          <w:tcPr>
            <w:tcW w:w="67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RP1 program costs by study: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IGNYTE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ARTACUS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0" w:type="dxa"/>
            <w:vAlign w:val="bottom"/>
          </w:tcPr>
          <w:p>
            <w:pPr>
              <w:spacing w:after="0"/>
              <w:rPr>
                <w:sz w:val="1"/>
                <w:szCs w:val="1"/>
                <w:color w:val="auto"/>
              </w:rPr>
            </w:pPr>
          </w:p>
        </w:tc>
      </w:tr>
      <w:tr>
        <w:trPr>
          <w:trHeight w:val="219"/>
        </w:trPr>
        <w:tc>
          <w:tcPr>
            <w:tcW w:w="67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CERPASS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IGNYTE-3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10,645</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RP1 study costs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8,087</w:t>
            </w:r>
          </w:p>
        </w:tc>
        <w:tc>
          <w:tcPr>
            <w:tcW w:w="0" w:type="dxa"/>
            <w:vAlign w:val="bottom"/>
          </w:tcPr>
          <w:p>
            <w:pPr>
              <w:spacing w:after="0"/>
              <w:rPr>
                <w:sz w:val="1"/>
                <w:szCs w:val="1"/>
                <w:color w:val="auto"/>
              </w:rPr>
            </w:pPr>
          </w:p>
        </w:tc>
      </w:tr>
      <w:tr>
        <w:trPr>
          <w:trHeight w:val="212"/>
        </w:trPr>
        <w:tc>
          <w:tcPr>
            <w:tcW w:w="6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Total RP1 costs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13,741</w:t>
            </w:r>
          </w:p>
        </w:tc>
        <w:tc>
          <w:tcPr>
            <w:tcW w:w="0" w:type="dxa"/>
            <w:vAlign w:val="bottom"/>
          </w:tcPr>
          <w:p>
            <w:pPr>
              <w:spacing w:after="0"/>
              <w:rPr>
                <w:sz w:val="1"/>
                <w:szCs w:val="1"/>
                <w:color w:val="auto"/>
              </w:rPr>
            </w:pPr>
          </w:p>
        </w:tc>
      </w:tr>
      <w:tr>
        <w:trPr>
          <w:trHeight w:val="219"/>
        </w:trPr>
        <w:tc>
          <w:tcPr>
            <w:tcW w:w="67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RP2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8,535</w:t>
            </w: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RP3</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w:t>
            </w:r>
          </w:p>
        </w:tc>
        <w:tc>
          <w:tcPr>
            <w:tcW w:w="0" w:type="dxa"/>
            <w:vAlign w:val="bottom"/>
          </w:tcPr>
          <w:p>
            <w:pPr>
              <w:spacing w:after="0"/>
              <w:rPr>
                <w:sz w:val="1"/>
                <w:szCs w:val="1"/>
                <w:color w:val="auto"/>
              </w:rPr>
            </w:pPr>
          </w:p>
        </w:tc>
      </w:tr>
      <w:tr>
        <w:trPr>
          <w:trHeight w:val="219"/>
        </w:trPr>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Unallocated research and development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Personnel related (including stock-based compensation)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9,933</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0" w:type="dxa"/>
            <w:vAlign w:val="bottom"/>
          </w:tcPr>
          <w:p>
            <w:pPr>
              <w:spacing w:after="0"/>
              <w:rPr>
                <w:sz w:val="1"/>
                <w:szCs w:val="1"/>
                <w:color w:val="auto"/>
              </w:rPr>
            </w:pPr>
          </w:p>
        </w:tc>
      </w:tr>
      <w:tr>
        <w:trPr>
          <w:trHeight w:val="237"/>
        </w:trPr>
        <w:tc>
          <w:tcPr>
            <w:tcW w:w="67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33,388</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total increase of $33.4 million in research and development expenses was attributable to an increase of $20.7 million in our direct research and development costs, as well as an increase of $12.7 million in unallocated expenses. The increase of approximately $20.7 million in our direct research and development costs primarily relates to an increase of $13.7 million in RP1 as a result of an increase of $10.6 million in spending related to the confirmatory study, which ramped up activity and enrollment in this current fiscal year, as well as $8.1 million in other RP1 study costs, specifically operating and lab supplies, and facility costs. These increases were slightly offset by decreases in the IGNYTE and CERPASS studies as a result of the completion of enrollment in the IGNYTE advanced melanoma cohort and declining enrollment and the wind down of the CERPASS study. In addition to the increases in RP1, there was an $8.5 million increase in spending on RP2 as a result of increased enrollment as compared to the prior year.</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increase in unallocated expenses includes $9.9 million in personnel-related costs and $2.8 million in other costs. The increase in personnel-related costs is primarily attributable to a $12.3 million increase in payroll and fringe benefits which largely reflected the increase in personnel in our research and development functions year over year as we expanded the development plan in multiple indications. The increase in other costs is driven primarily by an increase in medical affairs and facility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208"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Selling, general and administrative expenses were $77.7 million for the nine months ended December 31, 2025, compared to $46.8 million for the nine months ended December 31, 2024. The increase of approximately $30.9 million in sales, general and administrative costs is driven by an increase of $18.4 million in personnel-related costs, as well as $7.7 million in sales and marketing costs related to promotional materials, market access and insights and analytics, as the Company prepares for a potential commercial launch of RP1. In addition, the year over year increase includes approximately $2.9 million in professional fees and consulting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other income (expense), net</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Other income (expense), net was $5.5 million for the nine months ended December 31, 2025, compared to income of $9.7 million for the nine months ended December 31, 2024. The net change of $4.2 million is primarily attributable to a decrease in investment income of $4.0 million as a result of the cash and investment balance being lower throughout the year as compared to the prior year due to normal cash burn.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Since our inception, we have not generated any revenue from product sales and have incurred significant operating losses and negative cash flows from our operations. We have not yet commercialized any of our product candidates, which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various phases of preclinical and clinical development, and we cannot predict when we may generate revenue from sales of any products, if at all.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23" w:lineRule="exact"/>
        <w:rPr>
          <w:sz w:val="20"/>
          <w:szCs w:val="20"/>
          <w:color w:val="auto"/>
        </w:rPr>
      </w:pPr>
    </w:p>
    <w:p>
      <w:pPr>
        <w:jc w:val="both"/>
        <w:ind w:firstLine="619"/>
        <w:spacing w:after="0" w:line="277" w:lineRule="auto"/>
        <w:rPr>
          <w:sz w:val="20"/>
          <w:szCs w:val="20"/>
          <w:color w:val="auto"/>
        </w:rPr>
      </w:pPr>
      <w:r>
        <w:rPr>
          <w:rFonts w:ascii="Times New Roman" w:cs="Times New Roman" w:eastAsia="Times New Roman" w:hAnsi="Times New Roman"/>
          <w:sz w:val="17"/>
          <w:szCs w:val="17"/>
          <w:color w:val="auto"/>
        </w:rPr>
        <w:t>To date, we have financed our operations primarily with proceeds from the sale of equity securities and, to a lesser extent, proceeds from borrowing under a secured loan facility. Through December 31, 2025, we had received net proceeds of $1,112.1 million through the sale of shares of common stock and pre-funded warrants exercisable for common stock in public offerings, a private investment in a public entity, and at-the-market offerings, as well as net $42.8 million from our incurrence of debt under the term loan agreement with Hercules. As of December 31, 2025, we had cash and cash equivalents and short-term investments of $269.1 million.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00"/>
        </w:trPr>
        <w:tc>
          <w:tcPr>
            <w:tcW w:w="82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each of the periods presented:</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5"/>
        </w:trPr>
        <w:tc>
          <w:tcPr>
            <w:tcW w:w="8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Nine Months Ended December 31,</w:t>
            </w:r>
          </w:p>
        </w:tc>
      </w:tr>
      <w:tr>
        <w:trPr>
          <w:trHeight w:val="212"/>
        </w:trPr>
        <w:tc>
          <w:tcPr>
            <w:tcW w:w="8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(Amounts in thousands)</w:t>
            </w:r>
          </w:p>
        </w:tc>
      </w:tr>
      <w:tr>
        <w:trPr>
          <w:trHeight w:val="219"/>
        </w:trPr>
        <w:tc>
          <w:tcPr>
            <w:tcW w:w="82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(224,183)</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(138,519)</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224,337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(16,096)</w:t>
            </w:r>
          </w:p>
        </w:tc>
      </w:tr>
      <w:tr>
        <w:trPr>
          <w:trHeight w:val="219"/>
        </w:trPr>
        <w:tc>
          <w:tcPr>
            <w:tcW w:w="828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60" w:type="dxa"/>
            <w:vAlign w:val="bottom"/>
            <w:shd w:val="clear" w:color="auto" w:fill="BFE4FF"/>
          </w:tcPr>
          <w:p>
            <w:pPr>
              <w:spacing w:after="0"/>
              <w:rPr>
                <w:sz w:val="19"/>
                <w:szCs w:val="19"/>
                <w:color w:val="auto"/>
              </w:rPr>
            </w:pPr>
          </w:p>
        </w:tc>
        <w:tc>
          <w:tcPr>
            <w:tcW w:w="12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10,617</w:t>
            </w:r>
          </w:p>
        </w:tc>
        <w:tc>
          <w:tcPr>
            <w:tcW w:w="100" w:type="dxa"/>
            <w:vAlign w:val="bottom"/>
            <w:shd w:val="clear" w:color="auto" w:fill="BFE4FF"/>
          </w:tcPr>
          <w:p>
            <w:pPr>
              <w:spacing w:after="0"/>
              <w:rPr>
                <w:sz w:val="19"/>
                <w:szCs w:val="19"/>
                <w:color w:val="auto"/>
              </w:rPr>
            </w:pPr>
          </w:p>
        </w:tc>
        <w:tc>
          <w:tcPr>
            <w:tcW w:w="320" w:type="dxa"/>
            <w:vAlign w:val="bottom"/>
            <w:shd w:val="clear" w:color="auto" w:fill="BFE4FF"/>
          </w:tcPr>
          <w:p>
            <w:pPr>
              <w:spacing w:after="0"/>
              <w:rPr>
                <w:sz w:val="19"/>
                <w:szCs w:val="19"/>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252,528</w:t>
            </w:r>
          </w:p>
        </w:tc>
      </w:tr>
      <w:tr>
        <w:trPr>
          <w:trHeight w:val="219"/>
        </w:trPr>
        <w:tc>
          <w:tcPr>
            <w:tcW w:w="828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100" w:type="dxa"/>
            <w:vAlign w:val="bottom"/>
            <w:tcBorders>
              <w:bottom w:val="single" w:sz="8" w:color="BFE4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7"/>
        </w:trPr>
        <w:tc>
          <w:tcPr>
            <w:tcW w:w="8280" w:type="dxa"/>
            <w:vAlign w:val="bottom"/>
            <w:tcBorders>
              <w:bottom w:val="single" w:sz="8" w:color="BFE4FF"/>
            </w:tcBorders>
            <w:shd w:val="clear" w:color="auto" w:fill="BFE4FF"/>
          </w:tcPr>
          <w:p>
            <w:pPr>
              <w:ind w:left="3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11,833</w:t>
            </w:r>
          </w:p>
        </w:tc>
        <w:tc>
          <w:tcPr>
            <w:tcW w:w="100" w:type="dxa"/>
            <w:vAlign w:val="bottom"/>
            <w:tcBorders>
              <w:bottom w:val="single" w:sz="8" w:color="BFE4FF"/>
            </w:tcBorders>
            <w:shd w:val="clear" w:color="auto" w:fill="BFE4FF"/>
          </w:tcPr>
          <w:p>
            <w:pPr>
              <w:spacing w:after="0"/>
              <w:rPr>
                <w:sz w:val="20"/>
                <w:szCs w:val="20"/>
                <w:color w:val="auto"/>
              </w:rPr>
            </w:pPr>
          </w:p>
        </w:tc>
        <w:tc>
          <w:tcPr>
            <w:tcW w:w="320" w:type="dxa"/>
            <w:vAlign w:val="bottom"/>
            <w:tcBorders>
              <w:bottom w:val="single" w:sz="8" w:color="auto"/>
            </w:tcBorders>
            <w:shd w:val="clear" w:color="auto" w:fill="BFE4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97,788</w:t>
            </w:r>
          </w:p>
        </w:tc>
      </w:tr>
      <w:tr>
        <w:trPr>
          <w:trHeight w:val="20"/>
        </w:trPr>
        <w:tc>
          <w:tcPr>
            <w:tcW w:w="828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2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100" w:type="dxa"/>
            <w:vAlign w:val="bottom"/>
            <w:tcBorders>
              <w:top w:val="single" w:sz="8" w:color="BFE4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2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During the nine months ended December 31, 2025, net cash used in operating activities was $224.2 million, primarily resulting from our net loss of $240.7 million partially offset by non-cash charges of $27.3 million, which primarily consist of stock-based compensation expense of $24.1 million and depreciation and amortization of $5.0 million, somewhat offset by net amortization of premiums and discounts on short-term investments of $2.2 million, and a decrease in cash of $10.7 million related to changes in our operating assets and liabilities. Changes in our operating assets and liabilities for the nine months ended December 31, 2025 consisted primarily of a $5.9 million decrease in accounts payable, a $4.7 million decrease in accrued expenses and other current liabilities, and a $0.9 million decrease in research and development incentives receivable from the United Kingdom government due to the timing and amount of our qualifying expenditures.</w:t>
      </w:r>
    </w:p>
    <w:p>
      <w:pPr>
        <w:spacing w:after="0" w:line="38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the nine months ended December 31, 2024, net cash used in operating activities was $138.5 million, primarily resulting from our net loss of $173.2 million partially offset by non-cash charges of $26.7 million, which primarily consist of stock-based compensation expense of $26.8 million, somewhat offset by net amortization of premiums and discounts on short-term investments of $7.0 million, and an increase in cash of $7.9 million related to changes in our operating assets and liabilities. Changes in our operating assets and liabilities for the nine months ended December 31, 2024 consisted primarily of a $4.7 million increase in accounts payable, a $2.5 million increase in accrued expenses and other current liabilities, a $1.9 million decrease in research and development incentives receivable from the United Kingdom government due to the timing and amount of our qualifying expenditures, and a net $1.8 million change in operating and financing right-of-use assets and lease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nine months ended December 31, 2025, net cash provided by investing activities was $224.3 million, consisting of $302.5 million in proceeds from sales and maturities of short-term investments, partially offset by $73.9 million in purchases of available for sale securities and $4.2 million in purchases of property, plant and equipment and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nine months ended December 31, 2024, net cash used in investing activities was $16.1 million, consisting of $332.0 million in purchases of available for sale securities and $5.6 million in purchases of property, plant and equipment and capitalized software, partially offset by $321.4 million in proceeds from sales and maturities of short-term investments.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nine months ended December 31, 2025, net cash provided by financing activities was $10.6 million, relating primarily to $10.4 million from the issuance of common stock through ATM sales, as well as approximately $0.8 million in proceeds from the exercise of stock options and pre-funded warrants, somewhat offset by principal payments of the Company's financing lease obligation.</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nine months ended December 31, 2024, net cash provided by financing activities was $252.5 million, consisting primarily of $252.7 million in proceeds from the Company's private investment in a public entity in June 2024 as well as the Company's November 2024 public offering.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plan of operation is to continue implementing our business strategy, continue research and development of RP1 and our other product candidates and continue to expand our research pipeline and our internal research and development capabilities. We expect our expenses to increase substantially in connection with our ongoing activities, particularly as we advance the preclinical activities and clinical trials of our product candidates and if and as we:</w:t>
      </w:r>
    </w:p>
    <w:p>
      <w:pPr>
        <w:spacing w:after="0" w:line="165" w:lineRule="exact"/>
        <w:rPr>
          <w:sz w:val="20"/>
          <w:szCs w:val="20"/>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our current and future clinical trials with RP1, RP2 and RP3;</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preclinical development of our RPx platform;</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qualify and maintain our in-house manufacturing facility and qualify and maintain our product candidates made therein for use in our clinical trials;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and develop additional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approvals for any of our product candidates that successfully complete clinical trials, if any;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to commercialize any products for which we may obtain marketing approval;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our planned manufacturing facility is fully validated, continued limited manufacturing by third parties for clinical development.</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protect and defend our intellectual property portfolio;</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additional clinical, quality control, scientific and general and administration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drugs, technologies or third-party intellectual property;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including personnel to support our research and development programs, any future commercialization efforts and operations as a public company.</w:t>
      </w:r>
    </w:p>
    <w:p>
      <w:pPr>
        <w:spacing w:after="0" w:line="164"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Following discussions with the FDA related to the CRL, we may determine that the continued development of RP1 is not viable. If we determine that the continued development of RP1 is not viable, our outlook and plans may be uncertain and the impact on our research and development expenses will also be uncertain.</w:t>
      </w:r>
    </w:p>
    <w:p>
      <w:pPr>
        <w:spacing w:after="0" w:line="192" w:lineRule="exact"/>
        <w:rPr>
          <w:sz w:val="20"/>
          <w:szCs w:val="20"/>
          <w:color w:val="auto"/>
        </w:rPr>
      </w:pPr>
    </w:p>
    <w:p>
      <w:pPr>
        <w:ind w:right="20" w:firstLine="619"/>
        <w:spacing w:after="0" w:line="241" w:lineRule="auto"/>
        <w:rPr>
          <w:sz w:val="20"/>
          <w:szCs w:val="20"/>
          <w:color w:val="auto"/>
        </w:rPr>
      </w:pPr>
      <w:r>
        <w:rPr>
          <w:rFonts w:ascii="Times New Roman" w:cs="Times New Roman" w:eastAsia="Times New Roman" w:hAnsi="Times New Roman"/>
          <w:sz w:val="17"/>
          <w:szCs w:val="17"/>
          <w:color w:val="auto"/>
        </w:rPr>
        <w:t>As of December 31, 2025, we had cash and cash equivalents and short-term investments of $269.1 million. Based on our current operating plan, we believe that our existing cash, cash equivalents and short-term investments as of December 31, 2025, in addition to the additional draw down of debt from the third amendment to the loan agreement with Hercules and the cash raised from our ATM during the subsequent event period, will enable us to fund operations late into the first quarter of calendar 2027. This includes the potential commercialization of RP1 in skin cancers and for working capital and general corporate purposes and excludes any potential revenue. We have based these estimates on assumptions that may prove to be wrong, and we could exhaust our available capital resources sooner than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518795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the development of RP1 and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 those described in this section and above under “—Operating expenses—Research and development expenses.”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Developing novel biopharmaceutical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therapies that we can not be certain will become commercially available. Accordingly, we will need to obtain substantial additional funds to achieve our business objectives.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Adequate additional funds may not be available to us on acceptable terms, or at all. We do not currently have any committed external source of funds. To the extent that we raise additional capital through the sale of our equity or convertible debt securities, our shareholders’ interest may be diluted, and the terms of these securities may include liquidation or other preferences and anti-dilution protections that could adversely affect the rights of our common stockholder. Additional debt or preferred equity financing, if available, may involve agreements that include restrictive covenants that may limit our ability to take specific actions, such as incurring debt adversely impact our ability to conduct our business, and may require the issuance of warrants, which could potentially dilute your ownership interest.</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nine months ended December 31, 2025, there were no material changes to our contractual obligations and commitments from those described under the heading “Management’s Discussion and Analysis of Financial Condition and Results of Operations—Contractual Obligations and Commitments” in our Annual Report on Form 10-K for the year ended March 31, 2025, which was filed with the SEC on May 22,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BMS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February 2018, we entered into a Clinical Trial Collaboration and Supply Agreement with BMS. Pursuant to the agreement, BMS is providing to us, at no cost, nivolumab, its anti-PD-1 therapy, for use in combination with RP1 in our ongoing Phase 1/2 clinical trial. Under the agreement, we will sponsor, fund and conduct the clinical trial in accordance with an agreed-upon protocol. BMS granted us a non-exclusive, non-transferrable, royalty-free license (with a right to sublicense) under its intellectual property to use nivolumab in the clinical trial and has agreed to supply nivolumab, at no cost to us, for use in the clinical trial. Both parties will own the study data produced in the clinical trial, other than study data related solely to nivolumab, which will belong solely to BMS, or study data related solely to RP1, which will belong solely to us. In January 2020, this agreement was expanded to cover an additional cohort of 125 patients with anti-PD-1 failed melanoma.</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Unless earlier terminated, the agreement will remain in effect until (i) the completion of the clinical trial, (ii) all related clinical trial data have been delivered to both parties and (iii) the completion of any statistical analyses and bioanalyses contemplated by the clinical trial protocol or any analysis otherwise agreed upon by the parties. The agreement may be terminated by either party (x) in the event of an uncured material breach by the other party, (y) in the event the other party is insolvent or in bankruptcy proceedings or (z) for safety reasons. Upon termination, the licenses granted to us to use nivolumab in the clinical trial will terminate. The agreement contains representations, warranties, undertakings and indemnities customary for a transaction of this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509905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April 2019, we entered into a separate agreement with BMS on terms similar to the terms set forth in the agreement described above, pursuant to which BMS will provide, at no cost to us, nivolumab for use in our Phase 1 clinical trial of RP2 in combination with nivolumab.</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Roche</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2022, we entered into a Master Clinical Trial Collaboration and Supply Agreement with Roche in relation to our RP2 and RP3 programs in colorectal cancer, or CRC, and HCC. Under the agreement, the companies intended to collaborate in 30 patient cohort signal finding studies in third-line, or 3L, CRC and in first- and second-line, or 1L and 2L, respectively, HCC. Following our re-prioritization of our product development portfolio in December 2023, we have agreed with Roche to terminate the CRC collaboration and pursue the 2L cohort in HCC with RP2 only. Roche has continued to supply its currently approved drugs, atezolizumab and bevacizumab for the 2L cohort in HCC but is not sharing costs following our re-prioritization. Under the terms of the initial agreement we retained the responsibility of operating the clinical trials as well as retaining all the rights to the development and commercialization of our product candidates. The agreement may be terminated by either party upon sixty days prior written notice to the other party.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1" w:lineRule="exact"/>
        <w:rPr>
          <w:sz w:val="20"/>
          <w:szCs w:val="20"/>
          <w:color w:val="auto"/>
        </w:rPr>
      </w:pPr>
    </w:p>
    <w:p>
      <w:pPr>
        <w:ind w:right="80" w:firstLine="619"/>
        <w:spacing w:after="0" w:line="258"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is based on our condensed consolidated financial statements, which have been prepared in accordance with generally accepted accounting principles in the United States.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9" w:lineRule="exact"/>
        <w:rPr>
          <w:sz w:val="20"/>
          <w:szCs w:val="20"/>
          <w:color w:val="auto"/>
        </w:rPr>
      </w:pPr>
    </w:p>
    <w:p>
      <w:pPr>
        <w:ind w:right="40" w:firstLine="619"/>
        <w:spacing w:after="0" w:line="270"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greater detail in Note 2 to our condensed consolidated financial statements appearing elsewhere in this Quarterly Report, we believe that the following accounting policies are those most critical to the judgments and estimates used in the preparation of our condensed consolidated financial statements.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pacing w:after="0" w:line="223" w:lineRule="exact"/>
        <w:rPr>
          <w:sz w:val="20"/>
          <w:szCs w:val="20"/>
          <w:color w:val="auto"/>
        </w:rPr>
      </w:pPr>
    </w:p>
    <w:p>
      <w:pPr>
        <w:ind w:firstLine="619"/>
        <w:spacing w:after="0" w:line="260" w:lineRule="auto"/>
        <w:rPr>
          <w:sz w:val="20"/>
          <w:szCs w:val="20"/>
          <w:color w:val="auto"/>
        </w:rPr>
      </w:pPr>
      <w:r>
        <w:rPr>
          <w:rFonts w:ascii="Times New Roman" w:cs="Times New Roman" w:eastAsia="Times New Roman" w:hAnsi="Times New Roman"/>
          <w:sz w:val="17"/>
          <w:szCs w:val="17"/>
          <w:color w:val="auto"/>
        </w:rPr>
        <w:t>As part of the process of preparing our condensed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condensed consolidated financial statements based on facts and circumstances known to us at that time. Examples of estimated accrued research and development expenses include fees paid to:</w:t>
      </w:r>
    </w:p>
    <w:p>
      <w:pPr>
        <w:spacing w:after="0" w:line="173" w:lineRule="exact"/>
        <w:rPr>
          <w:sz w:val="20"/>
          <w:szCs w:val="20"/>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 in connection with performing research activities and conducting preclinical studies and clinical trials on our behalf;</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CMOs in connection with the production of preclinical and clinical trial materials;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investigative sites or other service providers in connection with clinical trials;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in connection with preclinical and clinical development activities;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related to product manufacturing and development and distribution of preclinical and clinical supplies.</w:t>
      </w:r>
    </w:p>
    <w:p>
      <w:pPr>
        <w:spacing w:after="0" w:line="217"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17"/>
          <w:szCs w:val="17"/>
          <w:color w:val="auto"/>
        </w:rPr>
        <w:t>We base our expenses related to preclinical studies and clinical trials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10"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We issue stock-based awards to employees, directors, consultants and non-employees in the form of stock options and restricted stock units. We measure such stock-based awards in accordance with ASC 718, Compensation — Stock Compensation, which requires all stock-based awards to be recognized in the consolidated statements of operations and comprehensive loss based on their fair value on the date of the grant and the related compensation expense for those awards is recognized over the requisite service period, which is generally the vesting period of the respective award. We have, to date, only issued stock-based awards with service-based vesting conditions and record the expense for these awards using the straight-line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See Note 10 to our condensed consolidated financial statements appearing elsewhere in this Quarterly Report for more information. Forfeitures are accounted for as they occur. The fair value of each stock-based award is estimated on the date of grant based on the fair value of our common stock on that same date.</w:t>
      </w:r>
    </w:p>
    <w:p>
      <w:pPr>
        <w:spacing w:after="0" w:line="193" w:lineRule="exact"/>
        <w:rPr>
          <w:sz w:val="20"/>
          <w:szCs w:val="20"/>
          <w:color w:val="auto"/>
        </w:rPr>
      </w:pPr>
    </w:p>
    <w:p>
      <w:pPr>
        <w:ind w:right="280" w:firstLine="619"/>
        <w:spacing w:after="0" w:line="287" w:lineRule="auto"/>
        <w:rPr>
          <w:sz w:val="20"/>
          <w:szCs w:val="20"/>
          <w:color w:val="auto"/>
        </w:rPr>
      </w:pPr>
      <w:r>
        <w:rPr>
          <w:rFonts w:ascii="Times New Roman" w:cs="Times New Roman" w:eastAsia="Times New Roman" w:hAnsi="Times New Roman"/>
          <w:sz w:val="17"/>
          <w:szCs w:val="17"/>
          <w:color w:val="auto"/>
        </w:rPr>
        <w:t>We classify stock-based compensation expense in our consolidated statements of operations in the same manner in which the award recipient’s payroll costs are classified or in which the award recipient’s service payments are classified.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our financial position and results of operations is disclosed in Note 2 to our condensed consolidated financial statements appearing elsewhere in this Quarterly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 Under the supervision and with the participation of our management, including our Chief Executive Officer, Chief Financial Officer and Chief Accounting Officer, we conducted an evaluation of the effectiveness of our disclosure controls and procedures as of December 31, 2025. Based on this evaluation, our Chief Executive Officer, Chief Financial Officer and Chief Accounting Officer concluded that, as of December 31, 2025, our disclosure controls and procedures were ineffective due to material weaknesses in internal control over financial reporting as described below.</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the audit of our consolidated financial statements as of and for the year ended March 31, 2025, we identified material weaknesses in our internal control over financial reporting whereby we did not design and maintain effective information technology (“IT”) general controls for information systems that are relevant to the preparation of our financial statements. Specifically, we did not design and maintain effective: (i) program change management controls to ensure that information technology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17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material weaknesses identified did not result in any material misstatements in our interim condensed or annual consolidated financial statements or disclosures; however, they could result in misstatements impacting substantially all accounts or disclosures in the annual consolidated or interim condensed consolidated financial statements that would result in a material misstatement to the annual consolidated or interim consolidated financial statements that would not be prevented or detected. Our management concluded that the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or U.S. GAAP.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Remediation activities</w:t>
      </w:r>
    </w:p>
    <w:p>
      <w:pPr>
        <w:spacing w:after="0" w:line="3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Management, with the oversight of the audit committee of the board of directors, is committed to maintaining a strong internal control environment. Management has expended, and will continue to expend, a substantial amount of effort and resources for the remediation of the previously identified material weaknesses. Although our remediation measures are ongoing, we believe the actions described below will contribute towards the remediation of the previously identified material weaknesses. During the nine months ended December 31, 2025, our remediation measures included the following:</w:t>
      </w:r>
    </w:p>
    <w:p>
      <w:pPr>
        <w:spacing w:after="0" w:line="177" w:lineRule="exact"/>
        <w:rPr>
          <w:sz w:val="20"/>
          <w:szCs w:val="20"/>
          <w:color w:val="auto"/>
        </w:rPr>
      </w:pPr>
    </w:p>
    <w:p>
      <w:pPr>
        <w:ind w:firstLine="3"/>
        <w:spacing w:after="0" w:line="287" w:lineRule="auto"/>
        <w:tabs>
          <w:tab w:leader="none" w:pos="30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an external advisor to assist with documenting and testing the design and operating effectiveness of internal control over financial reporting and assist with the remediation efforts, as necessary;</w:t>
      </w:r>
    </w:p>
    <w:p>
      <w:pPr>
        <w:spacing w:after="0" w:line="151" w:lineRule="exact"/>
        <w:rPr>
          <w:rFonts w:ascii="Times New Roman" w:cs="Times New Roman" w:eastAsia="Times New Roman" w:hAnsi="Times New Roman"/>
          <w:sz w:val="17"/>
          <w:szCs w:val="17"/>
          <w:color w:val="auto"/>
        </w:rPr>
      </w:pPr>
    </w:p>
    <w:p>
      <w:pPr>
        <w:ind w:firstLine="3"/>
        <w:spacing w:after="0" w:line="287" w:lineRule="auto"/>
        <w:tabs>
          <w:tab w:leader="none" w:pos="30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Redesigned, enhanced, and implemented certain IT general controls, including controls over the provisioning and monitoring of user access rights for certain systems;</w:t>
      </w:r>
    </w:p>
    <w:p>
      <w:pPr>
        <w:spacing w:after="0" w:line="151"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and implemented controls to formalize roles and review responsibilities over segregation of duties across key financial systems; and</w:t>
      </w:r>
    </w:p>
    <w:p>
      <w:pPr>
        <w:spacing w:after="0" w:line="21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and implemented program change management computer operation and program development controls.</w:t>
      </w:r>
    </w:p>
    <w:p>
      <w:pPr>
        <w:spacing w:after="0" w:line="243" w:lineRule="exact"/>
        <w:rPr>
          <w:sz w:val="20"/>
          <w:szCs w:val="20"/>
          <w:color w:val="auto"/>
        </w:rPr>
      </w:pPr>
    </w:p>
    <w:p>
      <w:pPr>
        <w:ind w:right="40" w:firstLine="619"/>
        <w:spacing w:after="0" w:line="264" w:lineRule="auto"/>
        <w:rPr>
          <w:sz w:val="20"/>
          <w:szCs w:val="20"/>
          <w:color w:val="auto"/>
        </w:rPr>
      </w:pPr>
      <w:r>
        <w:rPr>
          <w:rFonts w:ascii="Times New Roman" w:cs="Times New Roman" w:eastAsia="Times New Roman" w:hAnsi="Times New Roman"/>
          <w:sz w:val="17"/>
          <w:szCs w:val="17"/>
          <w:color w:val="auto"/>
        </w:rPr>
        <w:t>We believe that these actions will remediate the material weaknesses. However, the material weaknesses will not be considered fully remediated until the controls operate for a sufficient period of time and management has concluded, through testing, that these controls are effective. As we continue to evaluate operating effectiveness and monitor improvements to our internal control over financial reporting, we may take additional measures to address control deficiencies or modify the remediation plan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As discussed above, there have been changes in our internal control over financial reporting during the three months ended December 31, 2025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08"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 xml:space="preserve">On July 24, 2025, a class action complaint alleging violations of the federal securities laws was filed against the Company and its directors and certain officers in the United States District Court for the District of Massachusetts, or the District of Massachusetts. The complaint, captioned </w:t>
      </w:r>
      <w:r>
        <w:rPr>
          <w:rFonts w:ascii="Times New Roman" w:cs="Times New Roman" w:eastAsia="Times New Roman" w:hAnsi="Times New Roman"/>
          <w:sz w:val="17"/>
          <w:szCs w:val="17"/>
          <w:i w:val="1"/>
          <w:iCs w:val="1"/>
          <w:color w:val="auto"/>
        </w:rPr>
        <w:t>Jboor v. Replimune 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 et al.</w:t>
      </w:r>
      <w:r>
        <w:rPr>
          <w:rFonts w:ascii="Times New Roman" w:cs="Times New Roman" w:eastAsia="Times New Roman" w:hAnsi="Times New Roman"/>
          <w:sz w:val="17"/>
          <w:szCs w:val="17"/>
          <w:color w:val="auto"/>
        </w:rPr>
        <w:t>, Case No. 1:25-cv-12085-JEK, was filed shortly after the Company announced it received a complete response letter, or CRL, from the FDA for its RP1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BLA for the treatment of advanced melanoma on July 22, 2025 and the subsequent decline in the trading price of the Company's common stock. The Court has appointed a lead plaintiff, or the Lead Plaintiff. </w:t>
      </w:r>
      <w:r>
        <w:rPr>
          <w:rFonts w:ascii="Times New Roman" w:cs="Times New Roman" w:eastAsia="Times New Roman" w:hAnsi="Times New Roman"/>
          <w:sz w:val="17"/>
          <w:szCs w:val="17"/>
          <w:color w:val="FF0000"/>
        </w:rPr>
        <w:t>O</w:t>
      </w:r>
      <w:r>
        <w:rPr>
          <w:rFonts w:ascii="Times New Roman" w:cs="Times New Roman" w:eastAsia="Times New Roman" w:hAnsi="Times New Roman"/>
          <w:sz w:val="17"/>
          <w:szCs w:val="17"/>
          <w:color w:val="auto"/>
        </w:rPr>
        <w:t>n January 13, 2026, Lead Plaintiff filed an amended complaint. The Company and the other defendants deny any wrongdoing and will vigorously defend this action.</w:t>
      </w:r>
    </w:p>
    <w:p>
      <w:pPr>
        <w:spacing w:after="0" w:line="200" w:lineRule="exact"/>
        <w:rPr>
          <w:sz w:val="20"/>
          <w:szCs w:val="20"/>
          <w:color w:val="auto"/>
        </w:rPr>
      </w:pPr>
    </w:p>
    <w:p>
      <w:pPr>
        <w:ind w:right="180" w:firstLine="619"/>
        <w:spacing w:after="0" w:line="243" w:lineRule="auto"/>
        <w:rPr>
          <w:sz w:val="20"/>
          <w:szCs w:val="20"/>
          <w:color w:val="auto"/>
        </w:rPr>
      </w:pPr>
      <w:r>
        <w:rPr>
          <w:rFonts w:ascii="Times New Roman" w:cs="Times New Roman" w:eastAsia="Times New Roman" w:hAnsi="Times New Roman"/>
          <w:sz w:val="17"/>
          <w:szCs w:val="17"/>
          <w:color w:val="auto"/>
        </w:rPr>
        <w:t xml:space="preserve">Following the class action complaint, three shareholders filed separate derivative actions on behalf of the Company in the District of Massachusetts captioned </w:t>
      </w:r>
      <w:r>
        <w:rPr>
          <w:rFonts w:ascii="Times New Roman" w:cs="Times New Roman" w:eastAsia="Times New Roman" w:hAnsi="Times New Roman"/>
          <w:sz w:val="17"/>
          <w:szCs w:val="17"/>
          <w:i w:val="1"/>
          <w:iCs w:val="1"/>
          <w:color w:val="auto"/>
        </w:rPr>
        <w:t>Chea v. Patel et al.</w:t>
      </w:r>
      <w:r>
        <w:rPr>
          <w:rFonts w:ascii="Times New Roman" w:cs="Times New Roman" w:eastAsia="Times New Roman" w:hAnsi="Times New Roman"/>
          <w:sz w:val="17"/>
          <w:szCs w:val="17"/>
          <w:color w:val="auto"/>
        </w:rPr>
        <w:t xml:space="preserve">, Case No. 1:25-cv-12316-JEK, </w:t>
      </w:r>
      <w:r>
        <w:rPr>
          <w:rFonts w:ascii="Times New Roman" w:cs="Times New Roman" w:eastAsia="Times New Roman" w:hAnsi="Times New Roman"/>
          <w:sz w:val="17"/>
          <w:szCs w:val="17"/>
          <w:i w:val="1"/>
          <w:iCs w:val="1"/>
          <w:color w:val="auto"/>
        </w:rPr>
        <w:t>Wright v. Patel et al.</w:t>
      </w:r>
      <w:r>
        <w:rPr>
          <w:rFonts w:ascii="Times New Roman" w:cs="Times New Roman" w:eastAsia="Times New Roman" w:hAnsi="Times New Roman"/>
          <w:sz w:val="17"/>
          <w:szCs w:val="17"/>
          <w:color w:val="auto"/>
        </w:rPr>
        <w:t xml:space="preserve">, Case No. 1:25-cv-12401-WGY, and </w:t>
      </w:r>
      <w:r>
        <w:rPr>
          <w:rFonts w:ascii="Times New Roman" w:cs="Times New Roman" w:eastAsia="Times New Roman" w:hAnsi="Times New Roman"/>
          <w:sz w:val="17"/>
          <w:szCs w:val="17"/>
          <w:i w:val="1"/>
          <w:iCs w:val="1"/>
          <w:color w:val="auto"/>
        </w:rPr>
        <w:t>Vochten v. Patel et al.</w:t>
      </w:r>
      <w:r>
        <w:rPr>
          <w:rFonts w:ascii="Times New Roman" w:cs="Times New Roman" w:eastAsia="Times New Roman" w:hAnsi="Times New Roman"/>
          <w:sz w:val="17"/>
          <w:szCs w:val="17"/>
          <w:color w:val="auto"/>
        </w:rPr>
        <w:t>, Case No. 1:25-cv-12484-JEK. The plaintiffs allege substantially similar facts as the class action complaint and assert that the Company’s directors and officers breached their fiduciary duties. The parties have consolidated the derivative actions and agreed to a stay pending further developments in the class action.</w:t>
      </w:r>
    </w:p>
    <w:p>
      <w:pPr>
        <w:spacing w:after="0" w:line="201"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7"/>
          <w:szCs w:val="17"/>
          <w:color w:val="auto"/>
        </w:rPr>
        <w:t>On September 10, 2025, the Company received a letter from a shareholder demanding that the Company's board of directors take action to address alleged wrongdoing by certain directors and officers. The demand letter alleged substantially similar facts as the class action and derivative action complaints. The board of directors determined to defer action on the demand pending further developments in the class action.</w:t>
      </w:r>
    </w:p>
    <w:p>
      <w:pPr>
        <w:spacing w:after="0" w:line="192" w:lineRule="exact"/>
        <w:rPr>
          <w:sz w:val="20"/>
          <w:szCs w:val="20"/>
          <w:color w:val="auto"/>
        </w:rPr>
      </w:pPr>
    </w:p>
    <w:p>
      <w:pPr>
        <w:jc w:val="both"/>
        <w:ind w:right="300" w:firstLine="619"/>
        <w:spacing w:after="0" w:line="254" w:lineRule="auto"/>
        <w:rPr>
          <w:sz w:val="20"/>
          <w:szCs w:val="20"/>
          <w:color w:val="auto"/>
        </w:rPr>
      </w:pPr>
      <w:r>
        <w:rPr>
          <w:rFonts w:ascii="Times New Roman" w:cs="Times New Roman" w:eastAsia="Times New Roman" w:hAnsi="Times New Roman"/>
          <w:sz w:val="17"/>
          <w:szCs w:val="17"/>
          <w:color w:val="auto"/>
        </w:rPr>
        <w:t>On September 29, 2025, the U.S. Securities and Exchange Commission, or the SEC, informed the Company that it is conducting an investigation and requested that the Company produce certain documents and communications connected with the RP1 BLA. The investigation is reviewing essentially the same subject matter raised in the litigation following the CRL. The Company is cooperating with the SEC’s investigation and providing the requested materials.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7" w:lineRule="exact"/>
        <w:rPr>
          <w:sz w:val="20"/>
          <w:szCs w:val="20"/>
          <w:color w:val="auto"/>
        </w:rPr>
      </w:pPr>
    </w:p>
    <w:p>
      <w:pPr>
        <w:ind w:right="6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and uncertainties described below, together with all of the other information in this Quarterly Report on Form 10-Q, including our condensed consolidated financial statements and related notes and “Management’s discussion and analysis of results of operations and financial condition.” If any of the following risks are realized, our business, financial condition, operating results and prospects could be materially and adversely affected. In that event, the price of our common stock could decline, and you could lose part or all of your investment. The risks and uncertainties described below are not the only ones we face. Additional risks and uncertainties not presently known to us or that we currently believe to be immaterial may also adversely affect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Material risks that may affect our business, operating results and financial condition include, but are not necessarily limited to, those relating to:</w:t>
      </w:r>
    </w:p>
    <w:p>
      <w:pPr>
        <w:spacing w:after="0" w:line="217" w:lineRule="exact"/>
        <w:rPr>
          <w:sz w:val="20"/>
          <w:szCs w:val="20"/>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our preclinical studies and clinical trials for our product candidates, and the timing, scope or likelihood of regulatory filings and approvals for any of our product candidates;</w:t>
      </w:r>
    </w:p>
    <w:p>
      <w:pPr>
        <w:spacing w:after="0" w:line="189" w:lineRule="exact"/>
        <w:rPr>
          <w:rFonts w:ascii="Times New Roman" w:cs="Times New Roman" w:eastAsia="Times New Roman" w:hAnsi="Times New Roman"/>
          <w:sz w:val="17"/>
          <w:szCs w:val="17"/>
          <w:color w:val="auto"/>
        </w:rPr>
      </w:pPr>
    </w:p>
    <w:p>
      <w:pPr>
        <w:ind w:left="620" w:hanging="307"/>
        <w:spacing w:after="0" w:line="235"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develop and advance any future product candidates based on our novel and proprietary RPx platform and successfully complete clinical trials and prepare for and successfully complete inspections, submissions and reviews of licensing applications;</w:t>
      </w:r>
    </w:p>
    <w:p>
      <w:pPr>
        <w:spacing w:after="0" w:line="190" w:lineRule="exact"/>
        <w:rPr>
          <w:rFonts w:ascii="Arial" w:cs="Arial" w:eastAsia="Arial" w:hAnsi="Arial"/>
          <w:sz w:val="21"/>
          <w:szCs w:val="21"/>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our product candidates for use in combination with other checkpoint blockade therapies, including anti-PD-1;</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any product candidate for which we receive regulatory approval and our expectations regarding the size of the patient populations or the market acceptance of our product candidates if approved for commercial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other biopharmaceutical companies, biotechnology companies and other third parties and risks associated with such third parties developing or commercializing products more quickly or marketing them more successfully than us;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developments in the field of immuno-oncology including clinical or commercial developments that may be attributed to our product candidates;</w:t>
      </w:r>
    </w:p>
    <w:p>
      <w:pPr>
        <w:spacing w:after="0" w:line="217"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losses, the likelihood that we will continue to incur substantial and increasing net losses in the future, and/or the likelihood that we will require additional financing to achieve our goals;</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or alleged violation of any third-party intellectual property rights;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qualify, obtain approval for, and maintain successful operation, approval and qualification of our in-house manufacturing operations;</w:t>
      </w:r>
    </w:p>
    <w:p>
      <w:pPr>
        <w:spacing w:after="0" w:line="15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sufficient quantities of raw material supplies to build or maintain our product candidate supplies or otherwise operate our in-house manufacturing facility;</w:t>
      </w:r>
    </w:p>
    <w:p>
      <w:pPr>
        <w:spacing w:after="0" w:line="15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sufficient quantities of materials and supplies to conduct our clinical trials, such as comparative, control and/or standard of care therapies including chemotherapeutic agents that are currently in short supply in the industry;</w:t>
      </w:r>
    </w:p>
    <w:p>
      <w:pPr>
        <w:spacing w:after="0" w:line="15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operating our in-house manufacturing facility and our reliance on third-party collaborators and clinical trial service providers, which may be single or of limited source;</w:t>
      </w:r>
    </w:p>
    <w:p>
      <w:pPr>
        <w:spacing w:after="0" w:line="151"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domestic and foreign laws, rules and regulations and the consequences in the event that we fail to comply with such laws, rules and regulations;</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the continued service of our key professionals and to identify, hire, train and retain additional qualified professionals;</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 and developments and projections relating to our competitors and our industry;</w:t>
      </w:r>
    </w:p>
    <w:p>
      <w:pPr>
        <w:spacing w:after="0" w:line="229" w:lineRule="exact"/>
        <w:rPr>
          <w:rFonts w:ascii="Times New Roman" w:cs="Times New Roman" w:eastAsia="Times New Roman" w:hAnsi="Times New Roman"/>
          <w:sz w:val="17"/>
          <w:szCs w:val="17"/>
          <w:color w:val="auto"/>
        </w:rPr>
      </w:pPr>
    </w:p>
    <w:p>
      <w:pPr>
        <w:ind w:left="620" w:right="440" w:hanging="307"/>
        <w:spacing w:after="0" w:line="271"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increased costs associated with tariffs imposed or threatened by the current U.S. administration on pharmaceuticals and pharmaceutical ingredients where there is no available exception; and</w:t>
      </w:r>
    </w:p>
    <w:p>
      <w:pPr>
        <w:spacing w:after="0" w:line="177" w:lineRule="exact"/>
        <w:rPr>
          <w:rFonts w:ascii="Times New Roman" w:cs="Times New Roman" w:eastAsia="Times New Roman" w:hAnsi="Times New Roman"/>
          <w:sz w:val="17"/>
          <w:szCs w:val="17"/>
          <w:color w:val="auto"/>
        </w:rPr>
      </w:pPr>
    </w:p>
    <w:p>
      <w:pPr>
        <w:ind w:left="620" w:right="60" w:hanging="307"/>
        <w:spacing w:after="0" w:line="25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trade and military conflicts between Russia-Ukraine and Israel-Hamas and U.S.-China, including imposed and threatened tariffs, and other international hostilities and conflicts, and their impact on the global economy and related governmental imposed sanctions and potential material supplies and supply chain disruptions and global or national economic impacts such as inflation.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product development</w:t>
      </w:r>
    </w:p>
    <w:p>
      <w:pPr>
        <w:spacing w:after="0" w:line="2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in various stages of development, are not approved for commercial sale and might never receive regulatory approval or become commercially viable. We have never generated any revenue from product sales and may never be profitable.</w:t>
      </w:r>
    </w:p>
    <w:p>
      <w:pPr>
        <w:ind w:right="100" w:firstLine="619"/>
        <w:spacing w:after="0" w:line="237" w:lineRule="auto"/>
        <w:rPr>
          <w:sz w:val="20"/>
          <w:szCs w:val="20"/>
          <w:color w:val="auto"/>
        </w:rPr>
      </w:pPr>
      <w:r>
        <w:rPr>
          <w:rFonts w:ascii="Times New Roman" w:cs="Times New Roman" w:eastAsia="Times New Roman" w:hAnsi="Times New Roman"/>
          <w:sz w:val="17"/>
          <w:szCs w:val="17"/>
          <w:color w:val="auto"/>
        </w:rPr>
        <w:t>All of our product candidates are in research or development. We have not generated any revenues from the sale of any product. Our lead product candidate, RP1, and any other product candidates will require extensive preclinical and/or clinical testing and regulatory review prior to approval and commercial use. We received a CRL from the FDA in respect of our BLA for RP1 in combination with nivolumab for the treatment of advanced melanoma in July 2025. Following discussions with the agency, in October 2025, the FDA accepted our resubmission of the BLA for RP1. There can be no assurance, however, that our resubmitted BLA will result in approval. In the event of a negative outcome, we may determine that the development of RP1 is no longer viable. Any of our other research and development efforts may not be successful. Furthermore, even if our clinical development efforts result in what we believe to be positive data, our product candidates, including RP1, may not receive regulatory approval or be successfully introduced and marketed at prices that would permit us to operate profitably.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520065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not be able to commercialize our product candidates if our preclinical studies do not produce successful results and/or our clinical trials do not demonstrate the safety and efficacy of our product candidates.</w:t>
      </w:r>
    </w:p>
    <w:p>
      <w:pPr>
        <w:spacing w:after="0" w:line="1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product candidates are susceptible to the risks of failure inherent at any stage of product development, including the occurrence of unexpected or unacceptable adverse events or the failure to demonstrate efficacy in clinical trials. Clinical development is expensive and can take many years to complete, and its outcome is inherently uncertain.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results of preclinical studies, preliminary study results, and early clinical trials of our product candidates may not be predictive of the results of later stage clinical trials. Our product candidates may not perform as we expect, may ultimately have a different or no impact on tumors, may have a different mechanism of action than we expect in humans, and may not ultimately prove to be safe and effective.</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Preliminary and final results from preclinical studies and early stage trials, and trials in compounds that we believe are similar to ours, may not be representative of results that are found in larger, controlled, blinded, and longer-term studies. Product candidates may fail at any stage of preclinical or clinical development. Product candidates may fail to show the desired safety and efficacy traits even if they have progressed through preclinical studies or initial clinical trials. Preclinical studies and clinical trials may also reveal unfavorable product candidate characteristics, including safety concerns. A number of companies in the biopharmaceutical industry have suffered significant setbacks in clinical trials, notwithstanding promising results in earlier preclinical studies or clinical trials or promising mechanisms of action.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Moreover, should there be an issue with the design of a clinical trial, our results may be impacted. We may not discover such a flaw until the clinical trial is at an advanced stage, the data is being reviewed or during the license application process.</w:t>
      </w:r>
    </w:p>
    <w:p>
      <w:pPr>
        <w:spacing w:after="0" w:line="17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51" w:lineRule="exact"/>
        <w:rPr>
          <w:sz w:val="20"/>
          <w:szCs w:val="20"/>
          <w:color w:val="auto"/>
        </w:rPr>
      </w:pPr>
    </w:p>
    <w:p>
      <w:pPr>
        <w:jc w:val="both"/>
        <w:ind w:left="940" w:hanging="318"/>
        <w:spacing w:after="0" w:line="270"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16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may not authorize us or our investigators to commence a clinical trial, conduct a clinical trial at a prospective trial site, or amend trial protocols, or may require that we modify or amend our clinical trial protocols;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fail to reach, agreement on acceptable clinical trial contracts or clinical trial protocols with prospective trial sites and/or contract research organizations, or CROs;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51" w:lineRule="exact"/>
        <w:rPr>
          <w:rFonts w:ascii="Times New Roman" w:cs="Times New Roman" w:eastAsia="Times New Roman" w:hAnsi="Times New Roman"/>
          <w:sz w:val="17"/>
          <w:szCs w:val="17"/>
          <w:color w:val="auto"/>
        </w:rPr>
      </w:pPr>
    </w:p>
    <w:p>
      <w:pPr>
        <w:jc w:val="both"/>
        <w:ind w:left="940" w:hanging="318"/>
        <w:spacing w:after="0" w:line="264"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7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manufacturing facilities or the manufacturing process for our product candidates may impact how our product candidates perform in clinical trials;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could be adopted in marketing approval policies during the development period, rendering our data insufficient to obtain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statutes or regulations could be amended or new ones could be adopted;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could be adopted in the regulatory review process for submitted product applications;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our product candidates may be greater than we anticipate or we may have insufficient funds for a clinical trial or to pay the substantial user fees required by the FDA upon the filing of a BLA or equivalent authorizations from comparable foreign regulatory authorities;</w:t>
      </w:r>
    </w:p>
    <w:p>
      <w:pPr>
        <w:spacing w:after="0" w:line="151"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or quality of our product candidates or other materials necessary to conduct clinical trials of our product candidates may be insufficient or inadequate or we may not be able to obtain them on favorable terms due to reasons such as international trade policies and supply chain disruptions, including the imposition of tariffs;</w:t>
      </w:r>
    </w:p>
    <w:p>
      <w:pPr>
        <w:spacing w:after="0" w:line="165" w:lineRule="exact"/>
        <w:rPr>
          <w:rFonts w:ascii="Times New Roman" w:cs="Times New Roman" w:eastAsia="Times New Roman" w:hAnsi="Times New Roman"/>
          <w:sz w:val="17"/>
          <w:szCs w:val="17"/>
          <w:color w:val="auto"/>
        </w:rPr>
      </w:pPr>
    </w:p>
    <w:p>
      <w:pPr>
        <w:jc w:val="both"/>
        <w:ind w:left="940" w:hanging="318"/>
        <w:spacing w:after="0" w:line="264"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may require us, to conduct or gather, as applicable, additional clinical trials, analyses, reports, data, or preclinical trials, or we may abandon product development programs. For example, the FDA may determine that larger trials, Phase 3 trials, randomized and controlled clinical trials, or clinical trials designed to replicate results found in our registrational or pivotal trials are required before we may file a BLA or before the FDA will approve or maintain a marketing application;</w:t>
      </w:r>
    </w:p>
    <w:p>
      <w:pPr>
        <w:spacing w:after="0" w:line="171"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reach an agreement with regulators or IRBs regarding the scope, design, or implementation of our clinical trials, and the FDA or comparable foreign regulatory authorities may require changes to our study designs or study data analysis that may make further study impractical or not financially prudent;</w:t>
      </w:r>
    </w:p>
    <w:p>
      <w:pPr>
        <w:spacing w:after="0" w:line="16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may ultimately disagree with the design or our conduct of our preclinical studies or clinical trials, finding that they do not support product candidate approval;</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delays in adding new investigators or clinical trial sites, or we may experience a withdrawal of clinical trial sites;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regulatory questions or disagreements regarding interpretations of data and results;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not accept data from studies with clinical trial sites in foreign countries or may find that such data is not sufficiently representative;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intended indications;</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or subsequently find fault with the manufacturing, testing, comparability or quality processes or our manufacturing facilities for clinical and future commercial supplies and may delay approval, refuse to approve or rescind approval of a product candidate;</w:t>
      </w:r>
    </w:p>
    <w:p>
      <w:pPr>
        <w:spacing w:after="0" w:line="165"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including our registration directed or registration intended trials,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78" w:lineRule="exact"/>
        <w:rPr>
          <w:rFonts w:ascii="Times New Roman" w:cs="Times New Roman" w:eastAsia="Times New Roman" w:hAnsi="Times New Roman"/>
          <w:sz w:val="17"/>
          <w:szCs w:val="17"/>
          <w:color w:val="auto"/>
        </w:rPr>
      </w:pPr>
    </w:p>
    <w:p>
      <w:pPr>
        <w:ind w:left="940" w:right="20" w:hanging="318"/>
        <w:spacing w:after="0" w:line="244"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decide that our intended pathways, including accelerated approval, are not appropriate for our product candidates, requiring that we conduct additional studies. For example, in recent years the accelerated approval pathway has come under significant FDA and public scrutiny. Accordingly, depending on the results of our studies, the FDA may be more conservative in granting accelerated approval or, if granted, may be more apt to withdrawal approval if clinical benefit is not confirmed. For instance, our confirmatory studies may not confirm a product’s clinical benefit, in which case, the FDA could withdraw the product from the market, we may choose to voluntarily withdraw the product from the market, or we may need to conduct further studies to determine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left="940" w:right="360"/>
        <w:spacing w:after="0" w:line="271" w:lineRule="auto"/>
        <w:rPr>
          <w:sz w:val="20"/>
          <w:szCs w:val="20"/>
          <w:color w:val="auto"/>
        </w:rPr>
      </w:pPr>
      <w:r>
        <w:rPr>
          <w:rFonts w:ascii="Times New Roman" w:cs="Times New Roman" w:eastAsia="Times New Roman" w:hAnsi="Times New Roman"/>
          <w:sz w:val="17"/>
          <w:szCs w:val="17"/>
          <w:color w:val="auto"/>
        </w:rPr>
        <w:t>the product has a clinical benefit. Even if accelerated approval is granted, payors, including governmental payors, may be less welling to provide sufficient reimbursement for products approved via accelerated approval;</w:t>
      </w:r>
    </w:p>
    <w:p>
      <w:pPr>
        <w:spacing w:after="0" w:line="177" w:lineRule="exact"/>
        <w:rPr>
          <w:sz w:val="20"/>
          <w:szCs w:val="20"/>
          <w:color w:val="auto"/>
        </w:rPr>
      </w:pPr>
    </w:p>
    <w:p>
      <w:pPr>
        <w:ind w:left="940" w:right="20" w:hanging="318"/>
        <w:spacing w:after="0" w:line="248"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or maintain any special designations that our product candidates have received, including breakthrough designation. For instance, the FDA may find that, following designation, our product candidates no longer qualify for the designation due to changed circumstances or study results. This may result in the FDA rescinding a designation that we previously received. Any such designation also may not expedite or otherwise facilitate product development;</w:t>
      </w:r>
    </w:p>
    <w:p>
      <w:pPr>
        <w:spacing w:after="0" w:line="184"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take longer than we anticipate to make a decision on our product candidates or necessary inspections before an approval can be issued may be delayed;</w:t>
      </w:r>
    </w:p>
    <w:p>
      <w:pPr>
        <w:spacing w:after="0" w:line="177" w:lineRule="exact"/>
        <w:rPr>
          <w:rFonts w:ascii="Times New Roman" w:cs="Times New Roman" w:eastAsia="Times New Roman" w:hAnsi="Times New Roman"/>
          <w:sz w:val="17"/>
          <w:szCs w:val="17"/>
          <w:color w:val="auto"/>
        </w:rPr>
      </w:pPr>
    </w:p>
    <w:p>
      <w:pPr>
        <w:ind w:left="940" w:right="100" w:hanging="318"/>
        <w:spacing w:after="0" w:line="260"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events outside of our control, including, with respect to the budget, staffing, and funding of the U.S. Federal government, the FDA’s ability to hire, train and retain key personnel, the FDA’s ability to accept user fees, and other regulatory and policy changes. Disruptions at the FDA may slow the time to approval of a new drug or may otherwise impact our ability to obtain guidance from and interact with the agency. For instance, in recent years, the U.S. Federal government has experienced shutdowns. Should there be a full or partial prolonged government shutdown, it could significantly impact the ability of the FDA to review or slow the FDA in its review of any of our submissions or applications, which could have a materially adverse impact on our business; and</w:t>
      </w:r>
    </w:p>
    <w:p>
      <w:pPr>
        <w:spacing w:after="0" w:line="173"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demonstrate that a product candidate provides an advantage over current standards of care or current or future competitive therapies in development.</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development costs will also increase if we experience delays in testing or approvals, and we may not have sufficient funding to complete the testing and approval process for any of our product candidates. We will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these occur, our business, financial condition, results of operations, stock price and prospects may be materially harmed.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Topline data may not accurately reflect the complete results of a particular study or trial.</w:t>
      </w:r>
    </w:p>
    <w:p>
      <w:pPr>
        <w:spacing w:after="0" w:line="223" w:lineRule="exact"/>
        <w:rPr>
          <w:sz w:val="20"/>
          <w:szCs w:val="20"/>
          <w:color w:val="auto"/>
        </w:rPr>
      </w:pPr>
    </w:p>
    <w:p>
      <w:pPr>
        <w:jc w:val="both"/>
        <w:ind w:firstLine="619"/>
        <w:spacing w:after="0" w:line="238" w:lineRule="auto"/>
        <w:rPr>
          <w:sz w:val="20"/>
          <w:szCs w:val="20"/>
          <w:color w:val="auto"/>
        </w:rPr>
      </w:pPr>
      <w:r>
        <w:rPr>
          <w:rFonts w:ascii="Times New Roman" w:cs="Times New Roman" w:eastAsia="Times New Roman" w:hAnsi="Times New Roman"/>
          <w:sz w:val="17"/>
          <w:szCs w:val="17"/>
          <w:color w:val="auto"/>
        </w:rPr>
        <w:t>We may publicly disclose topline or interim data from time to time, which is based on a preliminary analysis of then-available efficacy and safety data. As topline or interim data,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and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and interim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and interim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9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anticipate that our product candidates will be used in combination with third-party drugs, some of which are still in development, and we have limited or no control over the supply, regulatory status, or regulatory approval of such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491490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product candidates may be administered in combination with checkpoint blockade drugs, a class of drugs that are intended to stop tumor cells from “switching off” an immune system attack against themselves. We have entered into agreements with BMS for the supply of nivolumab, its anti-PD-1 therapy, for use in connection with our ongoing IGNYTE Phase 1/2 trials with RP1, our Phase 1/2 clinical trial with RP2 and our Phase 1 and Phase 2 clinical trials with RP3 where we decide to use nivolumab. We have also entered into a clinical collaboration agreement with Regeneron, which includes the supply of cemiplimab, its anti-PD-1 therapy, for clinical trials conducted thereunder. Additionally, our signal finding study in HCC is being developed in combination with atezolizumab and bevacizumb under a supply and clinical collaboration agreement with Roche. We may enter into additional agreements for the supply of anti-PD-1 products for use in combination with and for the continued development of one or more of our product candidates. Although we have entered into such collaboration and supply agreements, and may continue to do so, our partners may remain in control of the supply and other decisions relating to their products or product candidates and we rely on their adherence to the terms of such agreements for the proper execution of their obligations. Our ability to develop and ultimately commercialize our product candidates used in combination with nivolumab, cemiplimab, atezolizumab, bevacizumab or any other checkpoint blockade therapy will depend on our ability to access such drugs on commercially reasonable terms for the clinical trials and their availability for use with the commercialized product, if approved. We cannot be certain that current or potential future commercial relationships will provide us with a steady supply of such drugs on commercially reasonable terms or at all.</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failure to maintain or enter into new successful commercial relationships, or the availability and expense of purchasing checkpoint blockade therapies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spacing w:after="0" w:line="152"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Moreover, the development of our product candidates for use in combination with another product or product candidate may present challenges that are not faced for single agent product candidates. While we have opened a clinical trial for use of RP1 as a monotherapy, we are generally developing RP1 and our other product candidates for use in combination with anti-PD-1 or potentially anti-PD(L)-1 therapies, and may develop RP1 or our other product candidates for use with other therapies. Although we intend for some of our trials to support registrational filings, the FDA may require us to use more complex clinical trial designs in order to evaluate the contribution of each product and product candidate to any observed effects. It is possible that the results of these trials could show that any positive previous trial results are attributable to the therapy with which our products were combined and not our product candidates. Moreover, following product approval, the FDA may require that products used in conjunction with each other be cross-labeled for combined use or the FDA may pull back a previously granted marketing license if a confirmational trial does not result in data supporting an earlier approval. To the extent that we do not have rights to the other product, this may require us to work with a third party to satisfy such a requirement. Developments related to the other product may further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19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event that BMS or Roche or any future collaborator or supplier cannot continue to supply their products on commercially reasonable terms or at all, we would need to identify alternatives for accessing an anti-PD-1 therapy. Additionally, should the supply of products from BMS or Roche or any of our current or future collaborators or suppliers be interrupted, delayed or otherwise be unavailable to us, our clinical trials may be delayed, interrupted or halted. In the event we are unable to source a supply of an acceptable alternative anti-PD-1 therapy, or are unable to do so on commercially reasonable terms, our business, financial condition, results of operations, stock price and prospects may be materially harmed.</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 underlying problem with our proprietary RPx platform would adversely affect our business and may require us to discontinue development of product candidates based on the same or similar therapeutic approaches.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invested, and we expect to continue to invest, significant efforts and financial resources in the development of product candidates based on our RPx platform. Our ability to generate any revenues from the sale of our product candidates will depend heavily on the successful development, regulatory approval and commercialization of one or more of these product candidates using our RPx platform. Since all of the product candidates in our current pipeline are based on our proprietary RPx platform, if any of our product candidates fail in development as a result of any underlying problem with our proprietary RPx platform, then we may be required to discontinue development of all product candidates that are based on our RPx platform. If we were required to discontinue development of our product candidates that are based on our RPx platform, or if any of them were to fail to receive regulatory approval or achieve sufficient market acceptance, we could be prevented from or significantly delayed in achieving profitability. We can provide no assurance that we would be successful at developing other product candidates based on an alternative therapeutic approach from our RPx platform.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additional product candidates, our commercial opportunity could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540385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While our lead product candidate is RP1, we intend to continue to pursue clinical development of additional product candidates, including RP2 and, in the future potentially reinitiating development plans with RP3. Developing, obtaining marketing approval for, and commercializing additional product candidates will require substantial additional funding and will be subject to the risks of failure inherent in medical product development. We cannot assure our shareholders that we will be able to successfully advance any of these additional product candidates through the development process.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Even if we obtain approval from the FDA or comparable foreign regulatory authorities to market additional product candidates for the treatment of solid tumors, we cannot assure our shareholders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regulatory approval</w:t>
      </w:r>
    </w:p>
    <w:p>
      <w:pPr>
        <w:spacing w:after="0" w:line="2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Even if our development efforts are successful, we may not obtain regulatory approval for any of our product candidates in the United States or other jurisdictions, which would prevent us from commercializing our product candidates. 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6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not permitted to market or promote or sell any of our product candidates before we receive regulatory approval from the FDA or comparable foreign regulatory authorities, and we may never receive such regulatory approval for any of our product candidates.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or remote regulatory assessment of manufacturing facilities and clinical trial sites by, the regulatory authorities. If we do not receive approval from the FDA and comparable foreign regulatory authorities for any of our product candidates, we will not be able to commercialize such product candidates in the United States or in other jurisdictions. If significant delays in obtaining approval for and commercializing our product candidates occur in any jurisdiction, our business, financial condition, results of operations, stock price and prospects will be materially harmed. Even if our product candidates are approved, they may:</w:t>
      </w:r>
    </w:p>
    <w:p>
      <w:pPr>
        <w:spacing w:after="0" w:line="388" w:lineRule="exact"/>
        <w:rPr>
          <w:sz w:val="20"/>
          <w:szCs w:val="20"/>
          <w:color w:val="auto"/>
        </w:rPr>
      </w:pPr>
    </w:p>
    <w:p>
      <w:pPr>
        <w:ind w:left="940" w:hanging="318"/>
        <w:spacing w:after="0" w:line="287"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limitations on the indicated uses or patient populations for which they may be marketed, distribution restrictions, or other conditions of approval;</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 significant safety warnings, including boxed warnings, contraindications, and precautions;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approved with label statements necessary or desirable for successful commercialization; or</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contain requirements for costly post-market testing and surveillance, or other requirements, including the submission of a REMS to monitor the safety or efficacy of the products.</w:t>
      </w:r>
    </w:p>
    <w:p>
      <w:pPr>
        <w:spacing w:after="0" w:line="164" w:lineRule="exact"/>
        <w:rPr>
          <w:sz w:val="20"/>
          <w:szCs w:val="20"/>
          <w:color w:val="auto"/>
        </w:rPr>
      </w:pPr>
    </w:p>
    <w:p>
      <w:pPr>
        <w:ind w:firstLine="619"/>
        <w:spacing w:after="0" w:line="248" w:lineRule="auto"/>
        <w:rPr>
          <w:sz w:val="20"/>
          <w:szCs w:val="20"/>
          <w:color w:val="auto"/>
        </w:rPr>
      </w:pPr>
      <w:r>
        <w:rPr>
          <w:rFonts w:ascii="Times New Roman" w:cs="Times New Roman" w:eastAsia="Times New Roman" w:hAnsi="Times New Roman"/>
          <w:sz w:val="17"/>
          <w:szCs w:val="17"/>
          <w:color w:val="auto"/>
        </w:rPr>
        <w:t>We previously submitted a BLA to the FDA for our lead product candidate, RP1. Earlier this year, the FDA accepted our BLA and granted priority review with a PDUFA action date of July 22, 2025. On July 21, 2025 the FDA issued a CRL stating it was not able to approve the BLA for RP1 in its present form. Following discussions with the agency, in October 2025 the FDA accepted our resubmission of the BLA for RP1. There can be no assurance, however, that our resubmitted BLA will result in approval.</w:t>
      </w:r>
    </w:p>
    <w:p>
      <w:pPr>
        <w:spacing w:after="0" w:line="19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Our ability to market, sell, distribute, obtain acceptable reimbursement for, set pricing for, and continue to operate and develop RP1 may be further delayed, adversely affected or prevented altogether. If we discontinue the development of RP1 we may be forced to implement a restructuring plan, which could have an adverse impact on our ability to efficiently commercialize our other product candidates, if and when approved, and it could result in disruptions to our business including potential impairment charges, restructuring costs, or costs that are greater than expected. We may ultimately be prevented from or significantly delayed in achieving profitability and our business, financial condition, results of operations, stock price and prospects may be materially harmed.</w:t>
      </w:r>
    </w:p>
    <w:p>
      <w:pPr>
        <w:spacing w:after="0" w:line="20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The agency retains the right not to approve the BLA or to require additional information, or to raise additional issues to support regulatory approval of RP1, which could further delay or prevent its approval or limit the approved commercial use. The FDA could also require post-market commitments or requirements following an approval that are onerous, costly or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not be feasible in the time require by the FDA that ultimately limit or inhibit the continued development or commercialization of RP1. In addition, either the substance of the items identified by the FDA in the CRL, or the CRL itself, could have an adverse impact on our efforts to obtain marketing authorization for RP1 from other regulatory authorities.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our product candidates as expected, and our ability to generate revenue may be materially impaired.</w:t>
      </w:r>
    </w:p>
    <w:p>
      <w:pPr>
        <w:spacing w:after="0" w:line="177"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These regulatory requirements may require us to amend our clinical trial protocols, conduct additional preclinical studies or clinical trials that may require regulatory or IRB approval, require additional or different analysis of clinical data or otherwise cause delays in the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19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1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FDA or a comparable foreign regulatory authority may determine that our product candidates have undesirable side effects that could delay or prevent their regulatory approval or commercialization.</w:t>
      </w:r>
    </w:p>
    <w:p>
      <w:pPr>
        <w:spacing w:after="0" w:line="1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There can be no assurance that undesirable side effects or serious adverse events will not be caused by or associated with RP1 or our other product candidates as they continue through or enter clinical development. Serious adverse events or 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The FDA or comparable foreign regulatory authority requests for additional data or information could also result in substantial delays in the approval of our product candidates.</w:t>
      </w:r>
    </w:p>
    <w:p>
      <w:pPr>
        <w:spacing w:after="0" w:line="3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Undesirable side effects caused by any of our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our product candidates. Undesirable side effects may limit the potential market for any approved products or could result in the discontinuation of the sales and marketing of the product, or withdrawal of product approvals. Later discovered undesirable side effects may further result in the imposition of a REMS, label revisions, post approval study requirements, or other testing and surveillance.</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any of our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509905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product candidate manufacturing or formulation may result in additional costs or delay.</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product candidates are developed through preclinical studies to later stage clinical trials towards approval and commercialization, it is common that various aspects of the development program, such as manufacturing methods, facilities, equipment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or notification to, or approval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penalties, injunctions, or other enforcement actions, including criminal actions, if we are determined to be promoting the use of our products for unapproved or “off label” uses, resulting in damage to our reputation and business.</w:t>
      </w:r>
    </w:p>
    <w:p>
      <w:pPr>
        <w:spacing w:after="0" w:line="16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 label uses, and our business, financial condition, results of operations, stock price and prospects may be materially harmed. We also must sufficiently substantiate any claims that we make for our products, including claims comparing our products to other companies’ products, and must abide by the FDA’s strict requirements regarding the content of promotion and advertising.</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 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 label use.</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 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 label promotion. The FDA has also requested that companies enter into consent decrees or permanent injunctions under which specified promotional conduct is changed or curtailed.</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the United States, engaging in the impermissible promotion of our products, following approval, for off label uses can also subject us to false claims and other litigation under federal and state statutes. These include fraud and abuse and consumer protection laws, which can lead to civil and criminal penalties and fines and agreements with governmental authorities that materially restrict the manner in which we promote or distribute therapeutic products and conduct our business. These restrictions could include corporate integrity agreements and non- or deferred prosecution agreements and could lead to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In addition, False Claims Act lawsuits may expose manufacturers to follow-on claims by private payers based on fraudulent marketing practices. This growth in litigation has increased the risk that a biopharmaceutical company will have to defend a false claims action, pay civil penalties, criminal fines or restitution,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514350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United States, the promotion of biopharmaceutical products is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Any product candidate for which we obtain marketing approval will be subject to extensive and ongoing requirements of and review by the FDA and comparable foreign regulatory authorities, including requirements related to the manufacturing processes, post approval clinical data, labeling, packaging, distribution, adverse event reporting, shortage reporting, risk management plans, supply chain security,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or cGMP, requirements relating to manufacturing, quality control, quality assurance, and corresponding maintenance of records and documents, and good clinical practices, or GCPs, for any clinical trials that we conduct post approval.</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 approval studies or post-market surveillance. Any such restrictions could limit sales of the product.</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and any of our suppliers or collaborators, including our contract manufacturers, could be subject to periodic unannounced inspections or remote regulatory assessments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165" w:lineRule="exact"/>
        <w:rPr>
          <w:sz w:val="20"/>
          <w:szCs w:val="20"/>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manufacturing, distribution, or marketing of such products;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labeling, including required additional warnings, such as black boxed warnings, contraindications, precautions, and restrictions on the approved indication or use;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modifications to promotional pieces;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corrective information;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post-marketing studies or other clinical trials;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 or termination of clinical trials;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similar strategy;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way the product candidate is administered;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harm caused to patients or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harm;</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becoming less competitive;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untitled, or cyber letters;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marketing or withdrawal of the products from the market;</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authority issuance of safety alerts, Dear Healthcare Provider letters, press releases, or other communications containing warnings or other safety information about the product candidate;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of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debarment, suspension and debarment from government procurement and non-procurement programs, and refusal of orders under existing government contracts, exclusion from federal healthcare programs, consent decrees, corporate integrity agreements, or non- or deferred prosecution agreements; or</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the imposition of civil penalties, criminal fines, or imprisonment.</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Should any of the above actions take place, we could be prevented from or significantly delayed in achieving profitability. Further, the cost of compliance with post approval regulations may have a negative effect on our operations and business and could adversely impact our business, financial condition, results of operations, stock price and prospects.</w:t>
      </w:r>
    </w:p>
    <w:p>
      <w:pPr>
        <w:spacing w:after="0" w:line="14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conduct clinical trials for product candidates outside the United States, and the FDA and comparable foreign regulatory authorities may not accept data from such trials.</w:t>
      </w:r>
    </w:p>
    <w:p>
      <w:pPr>
        <w:spacing w:after="0" w:line="172" w:lineRule="exact"/>
        <w:rPr>
          <w:sz w:val="20"/>
          <w:szCs w:val="20"/>
          <w:color w:val="auto"/>
        </w:rPr>
      </w:pPr>
    </w:p>
    <w:p>
      <w:pPr>
        <w:jc w:val="both"/>
        <w:ind w:firstLine="619"/>
        <w:spacing w:after="0" w:line="231" w:lineRule="auto"/>
        <w:rPr>
          <w:sz w:val="20"/>
          <w:szCs w:val="20"/>
          <w:color w:val="auto"/>
        </w:rPr>
      </w:pPr>
      <w:r>
        <w:rPr>
          <w:rFonts w:ascii="Times New Roman" w:cs="Times New Roman" w:eastAsia="Times New Roman" w:hAnsi="Times New Roman"/>
          <w:sz w:val="17"/>
          <w:szCs w:val="17"/>
          <w:color w:val="auto"/>
        </w:rPr>
        <w:t>We currently conduct clinical trials outside the United States. The acceptance by the FDA or comparable foreign regulatory authority of study data from clinical trials conducted outside the United States or another jurisdiction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520065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authorities have similar approval requirements. In addition, such foreign trials would be subject to the applicable local laws of the foreign jurisdictions where the trials are conducted. Even if the foregoing is complied with,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product candidates that we may develop not receiving approval or clearance for commercialization in the applicable jurisdiction.</w:t>
      </w:r>
    </w:p>
    <w:p>
      <w:pPr>
        <w:spacing w:after="0" w:line="17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RP1 or any of our other product candidates, comparable foreign regulatory authorities must also approve the manufacturing, marketing and promotion of the product candidate in those countries. Approval procedures vary among jurisdictions and can involve requirements and administrative review periods different from and, in some cases,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Additionally, with the full departure of the United Kingdom from the European Union in January 2021, commonly referred to as Brexit, there is continuing regulatory uncertainty. Since a significant proportion of the regulatory framework in the United Kingdom is derived from European Union directives and regulations, and the degree to which the United Kingdom and European Union regulatory regimes align or diverge could materially impact the execution of our clinical trials or approval of our product candidates in the United Kingdom or the European Union.</w:t>
      </w:r>
    </w:p>
    <w:p>
      <w:pPr>
        <w:spacing w:after="0" w:line="38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commercialization</w:t>
      </w:r>
    </w:p>
    <w:p>
      <w:pPr>
        <w:spacing w:after="0" w:line="2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successfully commercialize RP1 or any of our other product candidates for which we receive regulatory approval, or experience significant delays in doing so, our business will be materially harmed.</w:t>
      </w:r>
    </w:p>
    <w:p>
      <w:pPr>
        <w:spacing w:after="0" w:line="14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are successful in obtaining marketing approval from applicable regulatory authorities for RP1 or any of our other product candidates, our ability to generate revenues from our product candidates will depend on our success in:</w:t>
      </w:r>
    </w:p>
    <w:p>
      <w:pPr>
        <w:spacing w:after="0" w:line="151" w:lineRule="exact"/>
        <w:rPr>
          <w:sz w:val="20"/>
          <w:szCs w:val="20"/>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commercial sales of our product candidates, whether alone or in collaboration with others;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an approved label with claims that are necessary or desirable for successful marketing, and that does not contain safety or other limitations that would impede our ability to market the product candidates;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market demand for our product candidates through marketing, sales and promotion activities;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training, and deploying a sales force or contracting with third parties to commercialize product candidates in the United States;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product candidates in sufficient quantities and at acceptable quality and cost to meet commercial demand at launch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agreements with wholesalers, distributors, and group purchasing organizations on commercially reasonable terms;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creating partnerships with, or offering licenses to, third parties to promote and sell product candidates in foreign markets where we receive marketing approval;</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patent and trade secret protection and regulatory exclusivity for our product candidates;</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or alleged violation of any third-party intellectual property rights;</w:t>
      </w:r>
    </w:p>
    <w:p>
      <w:pPr>
        <w:spacing w:after="0" w:line="165"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achieving market acceptance of our product candidates by patients, the medical community, and third- party payors;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achieving appropriate coverage and reimbursement for our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competing with other therapies;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continued acceptable safety and efficacy profile of our product candidates following launch.</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To the extent we are not able to do any of the foregoing, our business, financial condition, results of operations, stock price and prospects will be materially harmed.</w:t>
      </w:r>
    </w:p>
    <w:p>
      <w:pPr>
        <w:spacing w:after="0" w:line="14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16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oncolytic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While our product candidates are intended to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392"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17"/>
          <w:szCs w:val="17"/>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authority approval for their products more rapidly than we may obtain approval for ours, which could result in our competitors establishing a strong market position before we are able to enter the market. Further, depending on the specific competing product, earlier approval of a competitor’s products could block us from receiving approval and could require that we change our development strategy. In addition, our ability to compete may be affected in many cases by insurers or other third-party payors coverage decisions or third-party intellectual property rights that another may allege are violated by our product candidates.</w:t>
      </w:r>
    </w:p>
    <w:p>
      <w:pPr>
        <w:spacing w:after="0" w:line="17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of our competitors. Early stage companies may also prove to be significant competitors, particularly through collaborative arrangements with large and established companies. These third parties compete with us in recruiting, training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and when our product candidates receive marketing approval, we intend to commercialize our product candidates on our own in the United States and potentially with pharmaceutical or biotechnology partners in other geographies. In order to commercialize our products, we must continue to build our marketing, sales, and distribution capabilities or make arrangements with third parties to perform these services, and we may not be successful in doing so. We have incurred and we expect we will continue to incur expenses prior to product launch or even approval in order to recruit a sales force and develop a marketing and sales infrastructure. If a commercial launch is delayed as a result of FDA or comparable foreign regulatory authority requirements or other reasons, we would incur these expenses prior to being able to realize any revenue from sales of our product candidates. Our sales force and marketing teams may not be successful in commercializing our product candidates. This may be costly, and our investment would be lost if we cannot retain or reposition our sales and marketing personnel.</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no prior experience in the marketing, sale, and distribution of biopharmaceutical products, and there are significant risks involved in building, managing, growing and operating a commercial infrastructure. The establishment and development of commercial capabilities, including compliance plans, to market any products we may develop is, and will continue to be expensive and time consuming and could delay any product launch, and we may not be able to successfully develop this capability. We have and will continue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event we are unable to develop an effective marketing and sales infrastructure, we may not be able to commercialize our product candidates in the United States or elsewhere in an effective manner,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165" w:lineRule="exact"/>
        <w:rPr>
          <w:sz w:val="20"/>
          <w:szCs w:val="20"/>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recruit, train, manage, and retain adequate numbers of effective sales and marketing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physicians or persuade adequate numbers of physicians to prescribe our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effectively oversee a geographically dispersed sales and marketing team;</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training sales and marketing personnel on legal and regulatory compliance matters and monitoring their actions;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secure adequate coverage and reimbursement by government and private health plans;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products are approved and the claims that we may make for the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including distribution or use restrictions, contained in the products’ approved labeling;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hanging="318"/>
        <w:spacing w:after="0" w:line="287"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distribution and use restrictions imposed by the FDA or comparable foreign regulatory authorities or to which we agree as part of a mandatory REMS or voluntary risk management plan;</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intellectual property rights that another may allege are violated by our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sales or marketing personnel who fail to comply with the applicable legal and regulatory requirements;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 or engaging a contract sales organization.</w:t>
      </w:r>
    </w:p>
    <w:p>
      <w:pPr>
        <w:spacing w:after="0" w:line="237"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As we continue to evolve from a company primarily involved in research and development to a company also expected to be involved in commercialization, we may encounter difficulties in managing our growth and expanding our operations successfully.</w:t>
      </w:r>
    </w:p>
    <w:p>
      <w:pPr>
        <w:spacing w:after="0" w:line="15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We anticipate that, as our operations expand and, assuming that our development, testing, studies and trials are successful, we will need to expand our internal manufacturing, marketing and sales capabilities. Managing our future growth will impose significant added responsibilities on members of our management team and will be time consuming and costly. We must be able to manage our development efforts effectively; manage our clinical trials effectively; hire, train and integrate additional management, development, administrative and sales and marketing personnel; and improve managerial, development, operational and finance systems, all of which may impose a strain on our administrative and operational infrastructure.</w:t>
      </w:r>
    </w:p>
    <w:p>
      <w:pPr>
        <w:spacing w:after="0" w:line="1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based on a novel approach to the treatment of cancer, which makes it difficult to predict the time and cost of product candidate development.</w:t>
      </w:r>
    </w:p>
    <w:p>
      <w:pPr>
        <w:spacing w:after="0" w:line="14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have concentrated all of our research and development efforts on product candidates based on our proprietary RPx platform, and our future success depends on the successful development of this therapeutic approach. There can be no assurance that any development problems we experience, whether arising from our past work, now or in the future, will not cause significant delays or unanticipated costs, or that such development problems can be solved. Should we encounter development problems, including unfavorable preclinical or clinical trial results, the FDA and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 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17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oncolytic immunotherapies. Limited immunotherapies, particularly oncolytic immunotherapies, have received FDA approval to date. Any product candidates that are approved may be subject to extensive post approval regulatory requirements, including requirements pertaining to manufacturing, distribution, and promotion. We may need to devote significant time and resources to compliance with these requirements.</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product candidates do not achieve broad market acceptance, the revenues that we generate from their sales may be limited, and we may never become profitable.</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could be prevented from or significantly delayed in achieving profitability.</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Additionally, efforts to educate the medical community and third party payors on the benefits of our product candidates may require significant resources and may not be successful. If any of our product candidates is approved but 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achieve an adequate level of market acceptance, we could be prevented from or significantly delayed in achieving profitability.</w:t>
      </w:r>
    </w:p>
    <w:p>
      <w:pPr>
        <w:spacing w:after="0" w:line="21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degree of market acceptance of any of our product candidates will depend on a number of factors, some of which are out of our control, including the following:</w:t>
      </w:r>
    </w:p>
    <w:p>
      <w:pPr>
        <w:spacing w:after="0" w:line="151" w:lineRule="exact"/>
        <w:rPr>
          <w:sz w:val="20"/>
          <w:szCs w:val="20"/>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our product candidates in combination with marketed checkpoint blockade drugs;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the checkpoint blockade drugs with which our products are co-administered;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adverse events associated with our product candidates or those products with which they are co-administered;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products are approved and the approved claims that we may make for the products;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product’s FDA-approved labeling or those of comparable foreign regulatory authorities, including potential limitations or warnings for our product candidates that may be more restrictive than other competitive products;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standard of care for the targeted indications for our product candidates, which could reduce the marketing impact of any claims that we could make following FDA approval or approval by comparable foreign regulatory authorities, if obtained;</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convenience and ease of administration of our product candidates by direct injection into tumors, a less common method for the administration of oncology therapies than systemic administration, which may result in slower adoption of our therapies;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convenience and ease of administration of any products with which our product candidates are co-administered;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compared with the economic and clinical benefit of alternative treatments or therapies;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concessions required by third-party payors to obtain coverage;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and strength of our marketing and distribution of our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safety, efficacy, and other potential advantages over, and availability of, alternative treatments already used or that may later be approved;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and use restrictions imposed by the FDA or comparable foreign regulatory authorities with respect to our product candidates or to which we agree as part of a REMS or voluntary risk management plan;</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our product candidates, as well as competitive products;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 candidates for sale at competitive prices;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and strength of our manufacturing operations and our third-party manufacturer and supplier support;</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companies that market any products with which our product candidates are co-administered;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other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hanging="318"/>
        <w:spacing w:after="0" w:line="287"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about our product candidates or any products with which they are co-administered, or favorable publicity about competitive products;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 liability claims.</w:t>
      </w:r>
    </w:p>
    <w:p>
      <w:pPr>
        <w:spacing w:after="0" w:line="1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172"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Sales of any approved drug candidate will depend in part on the availability of coverage and reimbursement from third-party payers such as government insurance programs, including, but not limited to,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adequate formulary coverage. Additionally, significant uncertainty exists as to the reimbursement status of newly-approved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w:t>
      </w:r>
    </w:p>
    <w:p>
      <w:pPr>
        <w:spacing w:after="0" w:line="202" w:lineRule="exact"/>
        <w:rPr>
          <w:sz w:val="20"/>
          <w:szCs w:val="20"/>
          <w:color w:val="auto"/>
        </w:rPr>
      </w:pPr>
    </w:p>
    <w:p>
      <w:pPr>
        <w:jc w:val="both"/>
        <w:ind w:firstLine="619"/>
        <w:spacing w:after="0" w:line="239" w:lineRule="auto"/>
        <w:rPr>
          <w:sz w:val="20"/>
          <w:szCs w:val="20"/>
          <w:color w:val="auto"/>
        </w:rPr>
      </w:pPr>
      <w:r>
        <w:rPr>
          <w:rFonts w:ascii="Times New Roman" w:cs="Times New Roman" w:eastAsia="Times New Roman" w:hAnsi="Times New Roman"/>
          <w:sz w:val="17"/>
          <w:szCs w:val="17"/>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For example, the Inflation Reduction Act of 2022, or IRA, includes several measures intended to lower the cost of prescription drugs and related healthcare reforms, including limits on price increases, inflation and non-compliance penalties, and subjecting an escalating number of drugs to annual maximum fair price negotiations with CMS. We cannot be sure whether additional legislation related to the IRA will be issued or enacted, or what impact, if any, such changes will have on the profitability of any of our drug candidates, if approved for commercial use, in the future. There also may be future changes unrelated to the IRA that result in reductions in potential coverage and reimbursement levels for our product candidates, if approved and commercialized, and we cannot predict the scope of any future changes or the impact that those changes would have on our operations. Similarly, several states have established prescription drug affordability boards that set upper payment limits (maximum prices that can be charged for specific drugs) for select high-cost drugs. We cannot be sure whether additional state legislation related to price caps will be enacted, or what impact, if any, such changes will have on the profitability of any of our drug candidates, if approved for commercial use, in the future.</w:t>
      </w:r>
    </w:p>
    <w:p>
      <w:pPr>
        <w:spacing w:after="0" w:line="204"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If future reimbursement for approved product candidates, if any, is substantially less than we project, or rebate and/or discount, or fees and obligations associated with them are substantially greater than we expect, our future net revenue and profitability could be materially diminished.</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oncolytic immunotherapies is hard to estimate given that it is an emerging field with only one existing FDA-approved oncolytic immunotherapy, T-Vec (also referred to as Imlygic), which has yet to enjoy broad market acceptance. Our estimates of the potential market opportunities are predicated on many assumptions, which may include industry knowledge and publications, third-party research reports, and surveys of clinics.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developments in the field of immuno-oncology could damage public perception of our product candidates and negatively affect our business.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our product candidates. These events could also result in the suspension, discontinuation, or clinical hold of or modification to our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subjects may be discouraged from enrolling in our clinical trials. As a result, we may not be able to continue or may be delayed in conducting our development programs.</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our product candidates consist of a modified virus, adverse developments in antiviral vaccines or clinical trials of other oncolytic immunotherapy products based on viruses may result in a disproportionately negative effect for our product candidates as compared to other products in the field of immuno-oncology that are not based on viruses. Future negative developments in the field of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2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 clinical stage biopharmaceutical company with a very limited operating history. We have incurred net losses since our inception and anticipate that we will continue to incur substantial and increasing net losses in the foreseeable future. We may never achieve or sustain profitability.</w:t>
      </w:r>
    </w:p>
    <w:p>
      <w:pPr>
        <w:spacing w:after="0" w:line="159" w:lineRule="exact"/>
        <w:rPr>
          <w:sz w:val="20"/>
          <w:szCs w:val="20"/>
          <w:color w:val="auto"/>
        </w:rPr>
      </w:pPr>
    </w:p>
    <w:p>
      <w:pPr>
        <w:ind w:right="40" w:firstLine="619"/>
        <w:spacing w:after="0" w:line="239" w:lineRule="auto"/>
        <w:rPr>
          <w:sz w:val="20"/>
          <w:szCs w:val="20"/>
          <w:color w:val="auto"/>
        </w:rPr>
      </w:pPr>
      <w:r>
        <w:rPr>
          <w:rFonts w:ascii="Times New Roman" w:cs="Times New Roman" w:eastAsia="Times New Roman" w:hAnsi="Times New Roman"/>
          <w:sz w:val="17"/>
          <w:szCs w:val="17"/>
          <w:color w:val="auto"/>
        </w:rPr>
        <w:t>We are a clinical stage biopharmaceutical company with a limited operating history, and we are early in our development efforts. We have no products approved for commercial sale and have not generated any revenue from product sales to date, and we continue to incur significant research and development and other expenses related to our ongoing operations. Investment in biopharmaceutical product development is highly speculative because it entails substantial upfront capital expenditures and significant risk that any potential product candidate will fail to demonstrate adequate efficacy or an acceptable safety profile, gain marketing approval and become commercially viable. We have financed our operations to date primarily through the sale of equity securities, including the sale of our common stock and pre-funded warrants in public and private offerings. Since our inception, most of our resources have been dedicated to the preclinical and clinical development of our proprietary RPx platform, including our lead product candidate, RP1, and our other product candidates. We expect to spend substantial funds to continue the research, development and testing of our products that are in the preclinical and clinical testing stages of development and to prepare to commercialize products in anticipation of FDA approval. The size of our future net losses will depend, in part, on our future expenses and our ability to generate revenue, if any.</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not profitable and have incurred losses in each period since our inception. For the three months ended December 31, 2025 and 2024, we reported a</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net loss of $70.9 million and $66.3 million, respectively. At December 31, 2025, we had an accumulated deficit of $1,189.3 million. We expect to continue to incur significant losses for the foreseeable future, and we expect these losses to increase as we continue our research and development of, and seek marketing approvals for RP1, our other product candidates and any additional product candidates we may develop.</w:t>
      </w:r>
    </w:p>
    <w:p>
      <w:pPr>
        <w:spacing w:after="0" w:line="192"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17"/>
          <w:szCs w:val="17"/>
          <w:color w:val="auto"/>
        </w:rPr>
        <w:t>Even if we succeed in receiving marketing approval for and commercialize RP1 or our other product candidates, we will continue to incur substantial research and development and other expenditures to develop and market additional potential products, including if and when appropriate, sales and marketing costs associated with preparing for commercialization of RP1 or our other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generate revenue from product sales and become profitable will depend significantly on our success in achieving a number of goals.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no products approved for commercial sale, have not generated any revenue from product sales,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65" w:lineRule="exact"/>
        <w:rPr>
          <w:sz w:val="20"/>
          <w:szCs w:val="20"/>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research regarding, and preclinical and clinical development of RP1 and our other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marketing approvals for RP1 and our other product candidates for which we complete clinical trials;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sustainable and scalable manufacturing process for RP1 and our other product candidates, including establishing and maintaining commercially viable supply and manufacturing relationships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hanging="318"/>
        <w:spacing w:after="0" w:line="287" w:lineRule="auto"/>
        <w:tabs>
          <w:tab w:leader="none" w:pos="93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and commercializing RP1 and our other product candidates for which we obtain marketing approvals, either directly or with a collaborator or distributor;</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 acceptance of RP1 and our other product candidates as viable treatment options;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assessing, acquiring and developing new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negotiating favorable terms in any collaboration, licensing, or other arrangements into which we may enter;</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protecting, and expanding our portfolio of intellectual property rights, including patents, trade secrets, and know-how;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training, hiring, and retaining qualified personnel.</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Even if our product candidates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we are successful in obtaining regulatory approvals to market RP1 or our other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our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or commercialization efforts.</w:t>
      </w:r>
    </w:p>
    <w:p>
      <w:pPr>
        <w:spacing w:after="0" w:line="146"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Our operations have consumed substantial amounts of cash since inception. At December 31, 2025, our cash and cash equivalents and short-term investments were $269.1 million. We expect to continue to spend substantial amounts to continue the clinical and preclinical development of RP1 and our other product candidates. Accordingly, we will need to obtain additional funds to achieve our business objectives. If we are able to gain marketing approval of any product candidate, we will require significant additional amounts of cash in order to launch and commercialize such product. In addition, other unanticipated costs may arise.</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future capital requirements depend on many factors, including:</w:t>
      </w:r>
    </w:p>
    <w:p>
      <w:pPr>
        <w:spacing w:after="0" w:line="217" w:lineRule="exact"/>
        <w:rPr>
          <w:sz w:val="20"/>
          <w:szCs w:val="20"/>
          <w:color w:val="auto"/>
        </w:rPr>
      </w:pPr>
    </w:p>
    <w:p>
      <w:pPr>
        <w:ind w:left="940" w:hanging="318"/>
        <w:spacing w:after="0" w:line="28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results and costs of researching and developing RP1 and our other product candidates, and conducting preclinical studies and clinical trials;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the costs involved in, obtaining marketing approvals for RP1 and our other product candidates if clinical trials are successful;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any collaborations;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commercialization activities for any approved product, including marketing, sales and distribution costs;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operating our manufacturing facility;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RP1 and our other product candidates for clinical trials in preparation for marketing approval and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and maintain strategic licensing or other arrangements and the financial terms of such agreements;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involved in preparing, filing, prosecuting, maintaining, expanding, defending and enforcing patent claims, including litigation costs and the outcome of such litigation;</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amount of sales of, or royalties on, our future products, if any;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competing cancer therapies and other adverse market developments.</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do not have any committed external source of funds or other support for our development efforts. Until we can generate sufficient product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Based on our current operating plan, we expect that our existing cash and cash equivalents and short-term investments, as of December 31, 2025, in addition to the additional draw down of debt from the third amendment to the loan agreement with Hercules and the cash raised from our ATM during the subsequent event period, will enable us to fund operations late into the first quarter of calendar 2027. This includes the potential commercialization of RP1 in skin cancers and for working capital and general corporate purposes and excludes any potential revenue. We have based this estimate on assumptions that may prove to be wrong, and we could exhaust our available capital resources sooner than we expect. In addition, because the design and outcome of our planned and anticipated clinical trials is highly uncertain, we cannot reasonably estimate the actual amounts necessary to successfully complete the development and commercialization of RP1 or our other product candidates.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maintain our cash at financial institutions, often in balances that exceed federally insured limits.</w:t>
      </w:r>
    </w:p>
    <w:p>
      <w:pPr>
        <w:spacing w:after="0" w:line="236"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Most of our cash, cash equivalents and short-term investments are held in accounts with banking institutions. The balances of some of these accounts have in the past, and may in the future, exceed the Federal Deposit Insurance Corporation, or the FDIC, insurance limits. If such banking institutions were to fail, we could lose all or a portion of those amounts held in excess of such insurance limitations. In March 2023, the FDIC took control of Silicon Valley Bank, or SVB, where we previously held a portion of our cash. The Federal Reserve subsequently announced that account holders would be made whole and we were able to access all of our cash held at SVB.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short-term investments and cash equivalents could have an adverse effect on our ability to pay our operational expenses, fund our operations or make other payments, which could adversely affect our business.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obtain and maintain patent and other intellectual property protection in the United States and other countries with respect to our technology and proprietary RPx platform, including our lead product candidate, RP1, and our other product candidates. We rely on trade secret, patent, copyright and trademark laws, and confidentiality, licensing and other agreements with employees and third parties, all of which offer only limited protection.</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generally are highly uncertain, involve complex legal and factual questions and have in recent years been the subject of much litigation and subject to change with regulatory agencies and court decisions. As a result, the issuance, scope, validity, enforceability and commercial value of our licensed patents and any patents we own in the future are highly uncertain. The steps we have taken to protect our proprietary rights may not be adequate to preclude misappropriation of our proprietary information, use by third parties of our products or infringement of our intellectual property rights, both inside and outside of the United States.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pending applications cannot be enforced against third parties practicing the inventions claimed in such applications unless and until a patent issues from such applications. Because the issuance of a patent is not conclusive as to its inventorship, scope, validity or enforceability, our issued patents and issued patents that we license from third parties or that we may own in the future may be challenged in the courts or patent offices inside or outside of the United States. Further, the examination process may require us to narrow the claims for our pending patent applications, which may limit the scope of patent protection that may be obtained if these applications issue. The scope of a patent may also be interpreted or reinterpreted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509905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after issuance. The rights that may be granted under our future issued patents may not provide us with the proprietary protection or competitive advantages we are seeking. In addition, defending against challenges in respect of the inventorship, scope, validity or enforceability of our patents may be expensive, time consuming, difficult and in some cases may not be possible. Although we enter into nondisclosure and confidentiality agreements with parties who have access to confidential or patentable aspects of our research and development output, such as our employees, consultants, collaborators, and other third parties, any of these parties may breach the agreements and disclose such output before a patent application is filed, thereby jeopardizing our ability to seek patent protection. In addition, the patent prosecution process is expensive, time consuming and complex, and we may not be able to file, prosecute, maintain, enforce or license all necessary or desirable patent applications at a reasonable cost or in a timely manner. If we are unable to obtain and maintain patent protection for our technology or inventions, or for RP1 or our other product candidates, or if the scope of the patent protection obtained is not sufficient, our competitors could develop and commercialize products similar or superior to ours, and our ability to successfully commercialize RP1 or our other product candidates and future technologies or inventions may be adversely affected.</w:t>
      </w:r>
    </w:p>
    <w:p>
      <w:pPr>
        <w:spacing w:after="0" w:line="17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Patent terms may be inadequate to protect our competitive position on our products for an adequate amount of time, and our product candidates for which we intend to seek approval as biological products may face competition sooner than anticipated. Given the amount of time required for the development, testing and regulatory review of our product candidates, such as RP1 and our other product candidates, patents protecting such product candidates might expire before or shortly after such product candidates are commercialized.</w:t>
      </w:r>
    </w:p>
    <w:p>
      <w:pPr>
        <w:spacing w:after="0" w:line="17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Filing, prosecuting and defending patents on our technology or inventions in all countries throughout the world would be prohibitively expensive, and our intellectual property rights in some countries or religions outside the United States can be less protective of our products than those in the United States. In addition, the laws and practices of some foreign countries do not protect intellectual property rights to the same extent as federal and state laws in the United States. Changes to the patent law in the United States and other jurisdictions could diminish the value of patents in general, thereby impairing our ability to protect RP1 and our other product candidates.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or inventions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or misappropriation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addition to seeking patent protection, we also rely on other proprietary rights, including protection of trade secrets, know-how and confidential and proprietary information. Although we enter into confidentiality agreements with our employees, consultants, collaborators, suppliers, manufacturers and other third parties who have access to our trade secrets, and our agreements with employees also provide that any inventions conceived by the individual in the course of rendering services to us shall be our exclusive property, we may not obtain these agreements in all circumstances, and individuals with whom we have these agreements may not comply with their terms or may have conflicting agreements with third parties. In addition,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If any of our trade secrets, know-how or confidential or proprietary information were to be lawfully obtained, patented or independently developed by a competitor or other third party, we would have no right to prevent them from using that technology or information to compete with us and may be blocked from using such trade secrets, know-how or confidential or proprietary information ourselves.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 the future initiate legal proceedings alleging that we are infringing their intellectual property rights, and we may become involved in lawsuits or other administrative procedures to protect or enforce our intellectual property, which could be expensive, time consuming and unsuccessful and have a material adverse effect on the success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502920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19"/>
        <w:spacing w:after="0" w:line="229" w:lineRule="auto"/>
        <w:rPr>
          <w:sz w:val="20"/>
          <w:szCs w:val="20"/>
          <w:color w:val="auto"/>
        </w:rPr>
      </w:pPr>
      <w:r>
        <w:rPr>
          <w:rFonts w:ascii="Times New Roman" w:cs="Times New Roman" w:eastAsia="Times New Roman" w:hAnsi="Times New Roman"/>
          <w:sz w:val="17"/>
          <w:szCs w:val="17"/>
          <w:color w:val="auto"/>
        </w:rPr>
        <w:t>Our commercial success depends on our ability and the ability of our current or future collaborators to develop, manufacture, market and sell RP1 and our other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For example, we are aware of U.S. Patent 10,034,938, or the ‘938 Patent, held by Amgen Inc., which includes claims purported to cover methods and kits for treating stage IIIb to IV melanoma by the administration of (i) an effective amount of an anti-PD-1 antibody or anti-CTLA-4 antibody; and (ii) a herpes simplex virus, wherein the herpes simplex virus lacks a functional ICP34.5 encoding gene and a functional ICP47 encoding gene, and comprises a gene encoding human GM-CSF. In November 2022, we filed a petition for inter partes review with the Patent Trial and Appeal Board, or the PTAB, of the United States Patent and Trademark Office, or the USPTO, seeking to invalidate certain claims of the ‘938 Patent. In August 2023 we entered into a Settlement Agreement with Amgen and mutually agreed to terminate our challenges to their patents. In connection with the Settlement Agreement, we entered into a License and Covenant Agreement with Amgen in which we agreed to pay Amgen low single-digit royalty payments on net sales of our products that, but for the license, could be found to infringe a valid Amgen patent on a country-by-country and product-by-product basis.</w:t>
      </w:r>
    </w:p>
    <w:p>
      <w:pPr>
        <w:spacing w:after="0" w:line="18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Third parties may assert infringement or other intellectual property claims against us based on existing patents or patents that may be filed and/or granted in the future. At times we may attempt to initiate litigation or other administrative procedures to invalidate or otherwise limit the scope of a third party’s intellectual property and these attempts may not be successful. If we are found to infringe a third party’s intellectual property rights, and we are unsuccessful in demonstrating that such intellectual property rights are invalid, unenforceable or otherwise not infringed, we could be required to obtain a license from such third-party to continue developing, manufacturing and commercializing RP1 and our other product candidates. Such a license may not be available on commercially reasonable terms, or at all. Even if we were able to obtain a license, it could be nonexclusive, thereby giving our competitors and other third parties access to the same technologies and inventions licensed to us, and it could require us to make substantial licensing and royalty payments. We also could be forced, including by court order, to cease developing, manufacturing, and commercializing RP1 or our other product candidates or we could be found liable for significant monetary damages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know-how, confidential or proprietary information or trade secrets could have a similar material adverse effect on our business, financial condition, results of operations, stock price and prospects.</w:t>
      </w:r>
    </w:p>
    <w:p>
      <w:pPr>
        <w:spacing w:after="0" w:line="38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If we or one of our licensing partners initiate legal proceedings against a third party to enforce a patent covering any of our technology or inventions, the defendant could counterclaim that the patent covering our product candidate is invalid or unenforceable. If a third party were to prevail on a legal assertion of invalidity and/or unenforceability, we would lose at least part, and perhaps all, of the patent protection on RP1 and our other product candidates. Such a loss of patent protection could have a material adverse impact on our business, financial condition, results of operations, stock price and prospects.</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of our employees, including our senior management team, were previously employed at, or consulted for, universities or other biotechnology or pharmaceutical companies, including our competitors or potential competitors. Although we take steps to ensure that our employees do not use, claim as theirs, or misappropriate the intellectual property, confidential or proprietary information, know-how or trade secrets of others in their work for us, we may be subject to claims that we or these employees have used, claimed as theirs, misappropriated or disclosed intellectual property, including trade secrets, know-how or other confidential or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third-party to commercialize our technology or products. Such a license may not be available on commercially reasonable terms, or at all.</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we are developing certain of our product candidates in combination with products, which are or may be covered by patents or licenses held by third parties, to which we do not have a license other than for use in connection with the applicable clinical trial. We also may develop our product candidates in combination with products developed by additional companies that are covered by patents or licenses held by those entities to which we do not have a license. In the event that a labeling instruction is required in product packaging recommending that combination, we could be accused of, or held liable for, infringement of the third-party patents covering the product candidate or product recommended for administration with RP1 or our other product candidates. In such a case, we could be required to obtain a license from the other company or institution to use the required or desired package labeling, which license may not be available on commercially reasonable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Competitors may infringe any future licensed patents or any patent we own in the future or misappropriate or otherwise violate our intellectual property rights. We may also be required to defend against claims of infringement and our licensed patents and any patents we own in the future may become involved in priority or other intellectual property related disputes.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w:t>
      </w:r>
    </w:p>
    <w:p>
      <w:pPr>
        <w:spacing w:after="0" w:line="1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An adverse result in any litigation or other intellectual property related proceeding could put one or more of our patents at risk of being invalidated, held unenforceable or interpreted narrowly. Furthermore, because of the substantial amount of discovery required in connection with intellectual property litigation in the United States, there is a risk that some of our trade secrets, know-how, or proprietary or confidential information could be 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Any of the foregoing may have a material adverse effect on our business, financial condition, results of operations, stock price and prospects.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manufacturing and our reliance on third parties</w:t>
      </w:r>
    </w:p>
    <w:p>
      <w:pPr>
        <w:spacing w:after="0" w:line="21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agreements with third party collaborators, and in the future may have agreements with other companies, to obtain the supply of co-delivery therapies for the development of our product candidates. If our relationships with these third party collaborators, or any future collaborator or supplier are not successful, we may be delayed or unable to complete the development of our product candidates.</w:t>
      </w:r>
    </w:p>
    <w:p>
      <w:pPr>
        <w:spacing w:after="0" w:line="177" w:lineRule="exact"/>
        <w:rPr>
          <w:sz w:val="20"/>
          <w:szCs w:val="20"/>
          <w:color w:val="auto"/>
        </w:rPr>
      </w:pPr>
    </w:p>
    <w:p>
      <w:pPr>
        <w:jc w:val="both"/>
        <w:ind w:firstLine="619"/>
        <w:spacing w:after="0" w:line="235" w:lineRule="auto"/>
        <w:rPr>
          <w:sz w:val="20"/>
          <w:szCs w:val="20"/>
          <w:color w:val="auto"/>
        </w:rPr>
      </w:pPr>
      <w:r>
        <w:rPr>
          <w:rFonts w:ascii="Times New Roman" w:cs="Times New Roman" w:eastAsia="Times New Roman" w:hAnsi="Times New Roman"/>
          <w:sz w:val="17"/>
          <w:szCs w:val="17"/>
          <w:color w:val="auto"/>
        </w:rPr>
        <w:t>We have entered into arrangements with BMS as part of our clinical development programs where nivolumab is intended to be used for these clinical programs and with Roche where atezolizumab and bevacizumab are intended to be used for certain of our other clinical programs. BMS is providing nivolumab, its anti-PD-1 therapy, for use in our ongoing IGNYTE Phase 1/2 trials with RP1 and our Phase 1/2 clinical trial with RP2 where we intend to use nivolumab and may potentially do so for other clinical trials in the future; Roche has agreed to provide atezolizumab and bevacizumab for use in our RP2 study of hepatocellular cancer, or HCC.</w:t>
      </w:r>
    </w:p>
    <w:p>
      <w:pPr>
        <w:spacing w:after="0" w:line="190"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We may also enter into agreements with additional companies for the supply of anti-PD-1 therapies or other co-delivery agents for use in the development of our other product candidates, similar to our agreement with BMS and Roche. The outcome of these clinical trials is dependent, in part, both on the performance of our partners’ products and product candidates and also on our partners’ ability to deliver sufficient quantities of adequately produced product. Should any of our partners’ products or product candidates fail to produce the results that we anticipate, we may have to re-run clinical trials for our product candidates or may otherwise be delayed in the commercialization of our product candidates. Similarly, should any partner fail to provide us with a product or product candidate that suits our requirements, we may have to re-run clinical trials for our product candidates or may be otherwise delayed in the commercialization of our product candidates. Additionally, we are subject to specific risks associated with our collaboration partners, including possible discrepancies as to the timing, nature and the extent of development plans, contract interpretations, and the costs and allocation of costs related to the conduct of our clinical trials. If we and any collaboration partner are unable to agree or fail to perform our respective obligations or effectively manage our relationship, our clinical trials performed under such collaboration could incur additional costs, be delayed or could result in costly or time-consuming legal proceedings that could have an adverse effect on a collaboration or on our business.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collaboration agreements with any future partners may not be successful, which could adversely affect our ability to develop and commercialize our product candidates.</w:t>
      </w:r>
    </w:p>
    <w:p>
      <w:pPr>
        <w:spacing w:after="0" w:line="15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in the future seek collaboration arrangements with other parties for the development or commercialization of our product candidates.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509905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Any future collaborations we might enter into may pose a number of risks, including the following:</w:t>
      </w:r>
    </w:p>
    <w:p>
      <w:pPr>
        <w:spacing w:after="0" w:line="217" w:lineRule="exact"/>
        <w:rPr>
          <w:sz w:val="20"/>
          <w:szCs w:val="20"/>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fail to make timely regulatory submissions for a product candidate;</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151"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1"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6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clinical trial materials supply, research funding or milestone or royalty payments under such potential future collaboration. If we do not receive the funding we expect under the agreements, our development of our product candidates could be delayed and we may need additional resources to develop our product candidates and our product platform.</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Additionally, if any future collaborator of ours is involved in a business combination, the collaborator might de-emphasize or terminate development or commercialization of any product candidate it licenses to us. If one of our collaborators terminates its agreement with us, we may find it more difficult to attract new collaborators and our reputation in the business and financial communities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face significant competition in seeking appropriate collaborators. Our ability to reach a definitive agreement for any collaboration will depend upon, among other things, our assessment of the collaborator’s resources and expertise, the terms and conditions of the proposed collaboration and the proposed collaborator’s evaluation of a number of factors.</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16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rely on third-party CROs, study sites, and others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17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GLP regulations,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or remote regulatory assessment of trial sponsors, clinical investigators, and trial sites. If we or any of our third parties fail to comply with applicable GCPs, the applicable study protocols and plans, or other regulatory requirements, we or they may be subject to enforcement or other legal actions, the data generated in our trials may be deemed unreliable and the FDA or comparable foreign regulatory authorities may require us to perform additional studies.</w:t>
      </w:r>
    </w:p>
    <w:p>
      <w:pPr>
        <w:spacing w:after="0" w:line="189" w:lineRule="exact"/>
        <w:rPr>
          <w:sz w:val="20"/>
          <w:szCs w:val="20"/>
          <w:color w:val="auto"/>
        </w:rPr>
      </w:pPr>
    </w:p>
    <w:p>
      <w:pPr>
        <w:ind w:right="80" w:firstLine="619"/>
        <w:spacing w:after="0" w:line="254" w:lineRule="auto"/>
        <w:rPr>
          <w:sz w:val="20"/>
          <w:szCs w:val="20"/>
          <w:color w:val="auto"/>
        </w:rPr>
      </w:pPr>
      <w:r>
        <w:rPr>
          <w:rFonts w:ascii="Times New Roman" w:cs="Times New Roman" w:eastAsia="Times New Roman" w:hAnsi="Times New Roman"/>
          <w:sz w:val="17"/>
          <w:szCs w:val="17"/>
          <w:color w:val="auto"/>
        </w:rPr>
        <w:t>In addition, our clinical trials must be conducted with product candidates that were produced under cGMP regulations. Failure to comply with these regulations or use of product that does not meet the applicable quality requirements in clinical trials may compromise the resulting trial data and may require us to repeat clinical trials, which would delay the regulatory approval process.</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successfully identify and manage the performance of third-party service providers in the future, our business, financial condition, results of operations, stock price and prospects may be materially harmed.</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arrangements with alternative providers or to do so on commercially reasonable terms. Switching or adding additional third parties involves additional cost and may result in delays that could compromise our ability to meet our desired development timelines.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rely on other third parties to store and distribute our products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the manufacturers upon which we rely fail to produce our raw materials, process consumables or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16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continue to rely on third-party contract manufacturers to manufacture our raw materials and certain clinical trial product supplies. As a result, there can be no assurance that our clinical development or commercial supplies will not be limited, interrupted, or of satisfactory quality or continue to be available at acceptable prices.</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currently have only one in-house manufacturing site for use in our clinical trials. In addition, we do not have any long-term commitments from our suppliers of raw materials or clinical trial material or guaranteed prices for our product candidates or their components. There are a limited number of manufacturers that operate under cGMP regulations and that are both capable of manufacturing and filling our viral product for us and willing to do so. If our existing third-party manufacturers of raw materials or our product candidates,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Any replacement of our contract manufacturer could require significant effort and expertise because there may be a limited number of qualified replacements. Any delays in obtaining adequate supplies of our raw materials or product candidates that meet the necessary quality standards may delay our development or commercialization.</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our manufacturers of raw materials, equipment or process consumables do not perform as agreed or encounter difficulties in production costs and yields, quality control, shortages of qualified personnel or key raw materials, compliance with strictly enforced federal, state, and foreign regulations, or other difficulties, our ability to provide product candidates to patients in our clinical trials could be jeopardized.</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if our Framingham manufacturing site cannot successfully manufacture material that conforms to our specifications and the strict regulatory requirements of the FDA or other regulatory authorities, we will not be able to secure or maintain regulatory approval for our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raw materials, products or product candidates that comply with the applicable regulatory requirements may result in delays to clinical trials, product approvals, and commercialization.</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ultimately responsible for the manufacturing of our product candidates and therapeutic substances, but, other than through our contractual arrangements, we have limited control over our raw materials or process consumables manufacturers’ compliance with these regulations and standards.</w:t>
      </w:r>
    </w:p>
    <w:p>
      <w:pPr>
        <w:spacing w:after="0" w:line="138" w:lineRule="exact"/>
        <w:rPr>
          <w:sz w:val="20"/>
          <w:szCs w:val="20"/>
          <w:color w:val="auto"/>
        </w:rPr>
      </w:pPr>
    </w:p>
    <w:p>
      <w:pPr>
        <w:jc w:val="both"/>
        <w:ind w:firstLine="619"/>
        <w:spacing w:after="0" w:line="244" w:lineRule="auto"/>
        <w:rPr>
          <w:sz w:val="20"/>
          <w:szCs w:val="20"/>
          <w:color w:val="auto"/>
        </w:rPr>
      </w:pPr>
      <w:r>
        <w:rPr>
          <w:rFonts w:ascii="Times New Roman" w:cs="Times New Roman" w:eastAsia="Times New Roman" w:hAnsi="Times New Roman"/>
          <w:sz w:val="17"/>
          <w:szCs w:val="17"/>
          <w:color w:val="auto"/>
        </w:rPr>
        <w:t>In order to use our in-house Framingham manufacturing site or any third party manufacturing site for the production of product for commercialization, the sites must pass an FDA pre-approval inspection. FDA will not approve a BLA until such inspection demonstrates that product can be adequately and reliably produced. If the FDA or a comparable foreign regulatory authority does not approve these facilities for manufacturing or supply, or if it withdraws any such approval in the future, we may need to find alternative manufacturing facilities, which would significantly impact our ability to develop, obtain regulatory approval for or market our product candidates, if approved. We must also receive FDA approval for the use of any new manufacturers for clinical or commercial supply, including our own manufacturing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517525</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failure to comply with the applicable regulatory requirements, including periodic or remote regulatory inspections or assessments, may result in regulatory enforcement actions against our manufacturing or us (including criminal fines and civil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non- or deferred prosecution agreements, consent decrees, withdrawal of product approval, environmental or safety incidents and other liabilities. If the safety of any quantities supplied is compromised due to our manufacturing failures to adhere to applicable laws or for other reasons, we may not be able to obtain regulatory approval for or successfully commercialize our product candidates.</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Operating and maintaining our own manufacturing facility may result in unanticipated delays or expenses and we may not experience the anticipated operating efficiencies we intended.</w:t>
      </w:r>
    </w:p>
    <w:p>
      <w:pPr>
        <w:spacing w:after="0" w:line="1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approximately 63,000 square foot manufacturing facility in Framingham, Massachusetts is fully operational. The Framingham facility is intended to give us control over key aspects of the supply chain for our products and product candidates. However, we may not experience the anticipated operating efficiencies as we commence manufacturing operations at our in-house facility. Any such delays may disrupt or delay the supply of our product candidates if we have not maintained a sufficient backup supply of our product candidates through third-party manufacturers. Moreover, changing manufacturing facilities may also require that we conduct additional studies, make notifications to the regulatory authorities, make additional filings to the regulatory authorities, and obtain regulatory authority approval for our in-house facility, which may be delayed or which we may never receive. We will further need to comply with the FDA’s and applicable state and foreign regulatory authorities’ cGMP requirements for the production of our product candidates for clinical trials and, if approved, commercial supply, and will be subject to FDA and comparable state and foreign regulatory authority licensing requirements, inspections and assessments. We may not be able to develop or acquire the internal expertise and resources necessary for compliance with these requirements. If we are not able to comply with the applicable regulatory requirements or produce product that meets our requirements and specifications, we will be subject to the same risks that we would be subject to should third party manufacturers be unable to comply with the applicable regulatory requirements or produce product meeting our requirements or specifications, as described above. If we fail to achieve the operating efficiencies that we anticipate, our manufacturing and operating costs may be greater than expected, which could have a material adverse impact on our operating results.</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operating our own manufacturing facility, we may be forced to devote greater resources and management time than anticipated, particularly in areas relating to operations, quality, raw material supply, regulatory, facilities and information technology. Further, should corrective or preventative actions be required, we will be fully responsible for these. If we experience unanticipated employee turnover in any of these areas, we may not be able to effectively manage our ongoing manufacturing operations and we may not achieve the operating efficiencies that we anticipate from our in-house facility, which may negatively affect our product development timeline, product candidate supplies and, if approved, our commercial product</w:t>
      </w:r>
    </w:p>
    <w:p>
      <w:pPr>
        <w:spacing w:after="0" w:line="2"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7"/>
          <w:szCs w:val="17"/>
          <w:color w:val="auto"/>
        </w:rPr>
        <w:t>supplies. If we experience any unanticipated shortages of key raw materials, or other difficulties related to our raw material supply, we may not be able to effectively manage our ongoing manufacturing timelines and costs which may negatively affect our product development schedule and our ability to provide clinical trial supplies to patients in our clinical trials, and if approved, commercial product supplies.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Any problems or delays we experience in preparing for commercial 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Any such problems could result in the delay, prevention, or impairment of clinical development and commercialization of our product candidates, if approved, and may materially harm our business, financial condition, results of operations, stock price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compliance matters</w:t>
      </w:r>
    </w:p>
    <w:p>
      <w:pPr>
        <w:spacing w:after="0" w:line="2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491490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75" w:lineRule="exact"/>
        <w:rPr>
          <w:sz w:val="20"/>
          <w:szCs w:val="20"/>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from decreased demand for our products and/or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of our business reputation or financial stability;</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related litigation;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patients or other claimants;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attention;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 and potential termination of clinical trial sites or entire clinical programs;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our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negative media attention;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our stock price;</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and enforcement actions by regulators;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 including withdrawal of marketing approval.</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U.S. Foreign Corrupt Practices Act, the U.K. Bribery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16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U.S. Foreign Corrupt Practices Act, or FCPA, the U.K. Bribery Act 2010, or the Bribery Act, and other anticorruption laws that apply in countries where we do business. We also may participate in collaborations and relationships with third parties whose actions, if noncompliant, could potentially subject us to liability under the FCPA, Bribery Act or local anticorruption laws. We are also subject to other laws and regulations governing our international operations, including regulations administered by the governments of the United States and the United Kingdom and authorities in the European Union, including applicable import and export control regulations, economic sanctions on countries and persons, anti-money laundering laws, customs requirements and currency exchange regulations, collectively referred to as the trade control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508635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U.S., U.K. or other authorities could also have an adverse impact on our reputation, our business, financial condition, results of operations, stock price and prospects.</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will be subject to healthcare fraud and abuse and patient privacy regulation by both the federal government and the states and foreign jurisdictions in which we conduct our business.</w:t>
      </w:r>
    </w:p>
    <w:p>
      <w:pPr>
        <w:spacing w:after="0" w:line="186"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As noted above, the significant costs of GDPR and Swiss law compliance, risk of regulatory enforcement actions and private litigation under, and other burdens imposed by these laws as well as under other regulatory schemes throughout the world related to privacy and security of health information and other personal and private data could have an adverse impact on our business, reputation, financial condition, and results of operations. We may also be subject to additional industry-specific privacy, cybersecurity, data protection, operational and information systems resilience, and artificial intelligence-related laws in Europe which may subject us to additional similar risks and impacts.</w:t>
      </w:r>
    </w:p>
    <w:p>
      <w:pPr>
        <w:spacing w:after="0" w:line="18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we or our operations are found to be in violation of any federal or state healthcare law, or any other laws or regulations that apply to us, we may be subject to sanctions, including civil, criminal, and administrative penalties, damages, fines, disgorgement, suspension and debarment from government procurement and non-procurement programs,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 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which could have a material adverse effect on customers for our products, if approved, and, accordingly, on our results of operations.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Compliance with the Drug Supply Chain Security Act, or DSCSA, requirements may increase our operational expenses and impose significant administrative burdens. As a result of these and other new proposals, either in the present or future,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CMOs, or CROs may engage in misconduct or other improper activities, including noncompliance with regulatory standards and requirements, which could have a material adverse effect on our business.</w:t>
      </w:r>
    </w:p>
    <w:p>
      <w:pPr>
        <w:spacing w:after="0" w:line="14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1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4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 party claims.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38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Although we maintain workers’ compensation insurance to cover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obligations related to privacy and security. Our actual or perceived failure to comply with such obligations could lead to government enforcement actions (which could include civil or criminal penalties), private litigation and/or adverse publicity and could negatively affect our operating results and business.</w:t>
      </w:r>
    </w:p>
    <w:p>
      <w:pPr>
        <w:spacing w:after="0" w:line="190"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10" w:lineRule="exact"/>
        <w:rPr>
          <w:sz w:val="20"/>
          <w:szCs w:val="20"/>
          <w:color w:val="auto"/>
        </w:rPr>
      </w:pPr>
    </w:p>
    <w:p>
      <w:pPr>
        <w:ind w:right="20" w:firstLine="619"/>
        <w:spacing w:after="0" w:line="258" w:lineRule="auto"/>
        <w:rPr>
          <w:sz w:val="20"/>
          <w:szCs w:val="20"/>
          <w:color w:val="auto"/>
        </w:rPr>
      </w:pPr>
      <w:r>
        <w:rPr>
          <w:rFonts w:ascii="Times New Roman" w:cs="Times New Roman" w:eastAsia="Times New Roman" w:hAnsi="Times New Roman"/>
          <w:sz w:val="17"/>
          <w:szCs w:val="17"/>
          <w:color w:val="auto"/>
        </w:rPr>
        <w:t>In the United States, numerous federal, state, and local governments have enacted numerous data privacy and security laws and regulations, including personal data privacy laws, health information privacy laws, data breach notification laws, personal data privacy laws, and consumer protection laws. For example, HIPAA, as amended by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w:t>
      </w:r>
    </w:p>
    <w:p>
      <w:pPr>
        <w:spacing w:after="0" w:line="102" w:lineRule="exact"/>
        <w:rPr>
          <w:sz w:val="20"/>
          <w:szCs w:val="20"/>
          <w:color w:val="auto"/>
        </w:rPr>
      </w:pPr>
    </w:p>
    <w:p>
      <w:pPr>
        <w:ind w:right="80" w:firstLine="619"/>
        <w:spacing w:after="0" w:line="264" w:lineRule="auto"/>
        <w:rPr>
          <w:sz w:val="20"/>
          <w:szCs w:val="20"/>
          <w:color w:val="auto"/>
        </w:rPr>
      </w:pPr>
      <w:r>
        <w:rPr>
          <w:rFonts w:ascii="Times New Roman" w:cs="Times New Roman" w:eastAsia="Times New Roman" w:hAnsi="Times New Roman"/>
          <w:sz w:val="17"/>
          <w:szCs w:val="17"/>
          <w:color w:val="auto"/>
        </w:rPr>
        <w:t>Additionally, the California Consumer Privacy Act, or CCPA,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liability.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4" w:lineRule="exact"/>
        <w:rPr>
          <w:sz w:val="20"/>
          <w:szCs w:val="20"/>
          <w:color w:val="auto"/>
        </w:rPr>
      </w:pPr>
    </w:p>
    <w:p>
      <w:pPr>
        <w:ind w:right="80" w:firstLine="619"/>
        <w:spacing w:after="0" w:line="239"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apply to data privacy and security. For example, GDPR contains potentially strict requirements with respect to lawfully processing personal data in connection with clinical trials and other business activities in Europe (including with respect to obtaining consents, securing personal data, notifying personal data breaches to supervisory authorities and affected data subjects, and transferring personal data outside Europe). The GDPR and Swiss law allow supervisory authorities to potentially impose high regulatory fines (among other enforcement tools) in the event of violations, for example, under the GDPR up to 4% of global annual group turnover or EUR 20 million (whichever is the higher amount). Supervisory authorities in the European Union and EEA, Switzerland and the United Kingdom may potentially levy such fines directly upon on the non-compliant entity and/or on the parent company (so-called “undertaking”) of the non-compliant entity. Separate from regulatory enforcement actions, individuals may bring private actions (including potentially group or representative actions). There is no statutory cap in the GDPR on the amount of compensation or the damages which individuals may recover.</w:t>
      </w:r>
    </w:p>
    <w:p>
      <w:pPr>
        <w:spacing w:after="0" w:line="208" w:lineRule="exact"/>
        <w:rPr>
          <w:sz w:val="20"/>
          <w:szCs w:val="20"/>
          <w:color w:val="auto"/>
        </w:rPr>
      </w:pPr>
    </w:p>
    <w:p>
      <w:pPr>
        <w:ind w:right="20" w:firstLine="619"/>
        <w:spacing w:after="0" w:line="239" w:lineRule="auto"/>
        <w:rPr>
          <w:sz w:val="20"/>
          <w:szCs w:val="20"/>
          <w:color w:val="auto"/>
        </w:rPr>
      </w:pPr>
      <w:r>
        <w:rPr>
          <w:rFonts w:ascii="Times New Roman" w:cs="Times New Roman" w:eastAsia="Times New Roman" w:hAnsi="Times New Roman"/>
          <w:sz w:val="17"/>
          <w:szCs w:val="17"/>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jurisdictions outside of the United States). Existing mechanisms that facilitate cross-border personal data transfers may change or be invalidated. For example, absent appropriate safeguards or other circumstances, the EU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The SCCs, though approved by the European Commission as a suitable alternative, have faced challenges in European courts, and may be further challenged, suspended or invalidated. Other countries in Europe, such as the UK, similarly restrict personal data transfers outside of those jurisdictions to countries such as the United States that do not provide an adequate level of personal data protection.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198" w:lineRule="exact"/>
        <w:rPr>
          <w:sz w:val="20"/>
          <w:szCs w:val="20"/>
          <w:color w:val="auto"/>
        </w:rPr>
      </w:pPr>
    </w:p>
    <w:p>
      <w:pPr>
        <w:ind w:right="80" w:firstLine="619"/>
        <w:spacing w:after="0" w:line="276" w:lineRule="auto"/>
        <w:rPr>
          <w:sz w:val="20"/>
          <w:szCs w:val="20"/>
          <w:color w:val="auto"/>
        </w:rPr>
      </w:pPr>
      <w:r>
        <w:rPr>
          <w:rFonts w:ascii="Times New Roman" w:cs="Times New Roman" w:eastAsia="Times New Roman" w:hAnsi="Times New Roman"/>
          <w:sz w:val="17"/>
          <w:szCs w:val="17"/>
          <w:color w:val="auto"/>
        </w:rPr>
        <w:t xml:space="preserve">See Part I, Item 1C,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in the Annual Report on Form 10-K for more information regarding our cybersecurity risk management, strategy, and governance.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expand the size of our organization, and we may experience difficulties in managing this growth, which could disrupt our operations.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our clinical development and commercialization plans and strategies develop, we expect to need additional managerial, operational, sales, marketing, financial and other personnel. Our future financial performance and our ability to commercialize RP1 and our other product candidates will depend, in part, on our ability to effectively manage any future growth, which would impose significant additional responsibilities on members of management and may divert their attention away from day-to-day activities.</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as well as support for our financial reporting and accounting functions. If the services of independent organizations, advisors and consultants become unavailable to us or we are unable to effectively manage our outsourced activities, or if the quality or accuracy of such services is compromised for any reason, our clinical trials may be extended, delayed or terminated, we may not comply with our financial reporting and accounting obligations on a timely basis and we may not be able to obtain marketing approval of RP1 and our other product candidates or otherwise advance our business.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qualified new employees and expanding our groups of consultants and contractors, we may not be able to successfully implement the tasks necessary to further develop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494665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commercialize RP1 and our other product candidates and, accordingly, may not achieve our research, development and commercialization goals.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retain our key employees and consultants, and to attract and motivate highly qualified personnel.</w:t>
      </w:r>
    </w:p>
    <w:p>
      <w:pPr>
        <w:spacing w:after="0" w:line="159" w:lineRule="exact"/>
        <w:rPr>
          <w:sz w:val="20"/>
          <w:szCs w:val="20"/>
          <w:color w:val="auto"/>
        </w:rPr>
      </w:pPr>
    </w:p>
    <w:p>
      <w:pPr>
        <w:ind w:right="100" w:firstLine="619"/>
        <w:spacing w:after="0" w:line="264"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motivate, train and retain highly qualified managerial, scientific and medical personnel. We are highly dependent on our executive leadership team, as well as our other scientific, manufacturing, quality and medical personnel. The loss of the services of our key personnel and any of our other executive officers, key employees, and scientific and medical advisors, without our inability to find suitable replacements, could result in delays in product development and harm our business.</w:t>
      </w:r>
    </w:p>
    <w:p>
      <w:pPr>
        <w:spacing w:after="0" w:line="94" w:lineRule="exact"/>
        <w:rPr>
          <w:sz w:val="20"/>
          <w:szCs w:val="20"/>
          <w:color w:val="auto"/>
        </w:rPr>
      </w:pPr>
    </w:p>
    <w:p>
      <w:pPr>
        <w:ind w:right="40" w:firstLine="619"/>
        <w:spacing w:after="0" w:line="258" w:lineRule="auto"/>
        <w:rPr>
          <w:sz w:val="20"/>
          <w:szCs w:val="20"/>
          <w:color w:val="auto"/>
        </w:rPr>
      </w:pPr>
      <w:r>
        <w:rPr>
          <w:rFonts w:ascii="Times New Roman" w:cs="Times New Roman" w:eastAsia="Times New Roman" w:hAnsi="Times New Roman"/>
          <w:sz w:val="17"/>
          <w:szCs w:val="17"/>
          <w:color w:val="auto"/>
        </w:rPr>
        <w:t>Changes in our management team resulting from the hiring or departure of executives and key employees from time to time could disrupt our business. These changes and any future significant leadership changes or senior management transitions involve inherent risk. Any failure to find a timely and suitable replacement and ensure an effective transition within executive leadership or senior management, including the effective onboarding, assimilation, and retention of our management team and key employees, could hinder our strategic planning, business execution and future performance. In addition, executive leadership transition periods can be disruptive and may result in a loss of personnel with deep institutional or technical knowledge, or result in changes to business strategy or objectives, and may negatively impact our operations and relationships with employees and third-parties due to increased or unanticipated expenses, operational inefficiencies, uncertainty regarding changes in strategy, decreased employee morale and productivity, and increased turnover.</w:t>
      </w:r>
    </w:p>
    <w:p>
      <w:pPr>
        <w:spacing w:after="0" w:line="115" w:lineRule="exact"/>
        <w:rPr>
          <w:sz w:val="20"/>
          <w:szCs w:val="20"/>
          <w:color w:val="auto"/>
        </w:rPr>
      </w:pPr>
    </w:p>
    <w:p>
      <w:pPr>
        <w:jc w:val="both"/>
        <w:ind w:right="20" w:firstLine="619"/>
        <w:spacing w:after="0" w:line="261" w:lineRule="auto"/>
        <w:rPr>
          <w:sz w:val="20"/>
          <w:szCs w:val="20"/>
          <w:color w:val="auto"/>
        </w:rPr>
      </w:pPr>
      <w:r>
        <w:rPr>
          <w:rFonts w:ascii="Times New Roman" w:cs="Times New Roman" w:eastAsia="Times New Roman" w:hAnsi="Times New Roman"/>
          <w:sz w:val="17"/>
          <w:szCs w:val="17"/>
          <w:color w:val="auto"/>
        </w:rPr>
        <w:t>To induce valuable employees to remain at our company, in addition to salary and cash incentives, we have provided stock option and restricted stock unit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generally provide for at-will employment, which means that any of our employees could leave our employment at any time, with or without notice.</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proper and effective internal control over financial reporting our ability to produce accurate and timely financial statements could be impaired.</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required to maintain internal control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We continue to be engaged in a process to document and evaluate our internal control over financial reporting, which is both costly and challenging. In this regard, we will need to continue to incur substantial professional fees and internal costs for our accounting and finance functions, expend significant management efforts, continue to implement plans developed to address areas that we have identified as requiring improvement, validate through testing that controls are functioning as documented and implement a continuous reporting and improvement process for internal control over financial reporting.</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that any internal controls and procedures, no matter how well conceived and operated, can provide only reasonable, not absolute, assurance that the objectives of the control system are met. We may discover weaknesses in our system of internal financial and accounting controls and procedures that could result in a material misstatement of our consolidated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650875</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material weaknesses in our internal control over financial reporting. If we are unable to remediate the material weaknesses in a timely manner or otherwise fail to maintain effective internal control over financial reporting, which may result in material misstatements of our interim and annual consolidated financial statements, our ability to comply with applicable laws and regulations could be impaired which could harm our business and negatively impact the value of our common stock.</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In connection with the preparation of the consolidated financial statements for this Annual Report on Form 10-K, we identified material weaknesses in our internal control over financial reporting whereby we did not design and maintain effective information technology (“IT”) general controls for information systems that are relevant to the preparation of our financial statements. Specifically, we did not design and maintain effective: (i) program change management controls to ensure that information technology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material weaknesses described above did not result in a misstatement to our annual consolidated or interim condensed consolidated financial statements. However, these material weaknesses could result in a misstatement of substantially all account balances or disclosures that would result in a material misstatement to the annual or interim condensed consolidated financial statements that would not be prevented or detected.</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control protocols for our enterprise resource planning environment in order to implement restrictions on user and privileged access to certain applications,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design and implementation of these remediation efforts is in progress, may require additional expenditures to implement, and will require validation and testing of the design and operating effectiveness of internal control over financial reporting over a sustained period of financial reporting cycles, and as a result, the timing of when we will be able to fully remediate the material weaknesses described above is uncertain. We can give no assurance that our efforts will remediate the material weaknesses in our internal control over financial reporting, or that any additional material weaknesses will not be identified in the future. If the steps we take do not remediate the material weaknesses we have identified in a timely manner, or if our internal control over financial reporting is not effective, there could be a material misstatement in our interim or annual consolidated financial statements that could result in a restatement of our financial statements, and could cause us to fail to meet our reporting obligations, any of which could diminish investor confidence in us and cause a decline in the price of our common stock.</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 For more information see “Item 9A. Controls and Procedures".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suffer in the event of system failures or unauthorized or inappropriate use of or access to our systems.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collect, receive, store, process, generate, use, transfer, disclose, make accessible, protect, secure, dispose of, transmit, and share (collectively, processing) sensitive information, including personal data, proprietary and confidential business data, trade secrets, intellectual property, data we collect about trial participants in connection with clinical trials, and sensitive third-party data. The secure maintenance of this information is critical to our operations and business strategy. Some of this information could be an attractive target of criminal attack or unauthorized access and use by third parties with a wide range of motives and expertise, including organized criminal groups, “hacktivists,” patient groups, disgruntled current or former employees and others. Cyber-attacks are of ever-increasing levels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508635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sophistication, and despite our security measures, our information technology and infrastructure may be vulnerable to such attacks or may be breached, including due to employee error or malfeasance.</w:t>
      </w:r>
    </w:p>
    <w:p>
      <w:pPr>
        <w:spacing w:after="0" w:line="17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pervasiveness of cybersecurity incidents in general and the risks of cyber-crime are complex and continue to evolve. There can be no assurance that our security efforts and measures will be effective or that attempted security breaches or disruptions would not be successful or damaging. Our internal computer systems and those of our contractors and consultants are vulnerable to damage or interruption from computer viruses, unauthorized or inappropriate access or use, natural disasters, pandemics, terrorism, war, and telecommunication and electrical failures. Such events could cause interruption of our operations. For example, the loss of pre-clinical trial data or data from clinical trials for our product candidates could result in delays in our regulatory filings and development efforts, as well as delays in the commercialization of our products, and significantly increase our costs. To the extent that any disruption, security breach or unauthorized or inappropriate use or access to our systems were to result in a loss of or damage to our data, or inappropriate disclosure of confidential or proprietary information, including but not limited to patient, employee or vendor information, we could incur notification obligations to affected individuals and government agencies, liability, including potential lawsuits from patients, collaborators, employees, stockholders or other third parties and liability under foreign, federal and state laws that protect the privacy and security of personal information, and the development and potential commercialization of our product candidates could be delayed. or additional information, see the Risk Factor captioned “</w:t>
      </w:r>
      <w:r>
        <w:rPr>
          <w:rFonts w:ascii="Times New Roman" w:cs="Times New Roman" w:eastAsia="Times New Roman" w:hAnsi="Times New Roman"/>
          <w:sz w:val="17"/>
          <w:szCs w:val="17"/>
          <w:i w:val="1"/>
          <w:iCs w:val="1"/>
          <w:color w:val="auto"/>
        </w:rPr>
        <w:t>We are subject to stringent and changing obligations related to privacy and security. Our actual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perceived failure to comply with such obligations could lead to government enforcement actions (which could include civil or criminal penalties), private litigation and/or adverse publicity and could negatively affect our operating results and business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 and general risks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sustained.</w:t>
      </w:r>
    </w:p>
    <w:p>
      <w:pPr>
        <w:spacing w:after="0" w:line="22" w:lineRule="exact"/>
        <w:rPr>
          <w:sz w:val="20"/>
          <w:szCs w:val="20"/>
          <w:color w:val="auto"/>
        </w:rPr>
      </w:pPr>
    </w:p>
    <w:p>
      <w:pPr>
        <w:ind w:right="20" w:firstLine="619"/>
        <w:spacing w:after="0"/>
        <w:rPr>
          <w:sz w:val="20"/>
          <w:szCs w:val="20"/>
          <w:color w:val="auto"/>
        </w:rPr>
      </w:pPr>
      <w:r>
        <w:rPr>
          <w:rFonts w:ascii="Times New Roman" w:cs="Times New Roman" w:eastAsia="Times New Roman" w:hAnsi="Times New Roman"/>
          <w:sz w:val="17"/>
          <w:szCs w:val="17"/>
          <w:color w:val="auto"/>
        </w:rPr>
        <w:t>Our common stock began trading on the Nasdaq Global Select Market on July 20, 2018 and we can provide no assurances that we will be able to continue to maintain an active trading market on the Nasdaq Global Select Market or any other exchange in the future. In the absence of an active trading market for shares of our common stock, our stockholders may not be able to sell their common stock at or above the price at which such stockholder acquired our common stock or at the time that they would like to sell. An inactive market may also impair our ability to raise capital by selling shares and may impair our ability to use our shares as consideration in commercial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may be volatile and fluctuate substantially, which could result in substantial losses for purchasers of our common stock.</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stock price has been and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acquired. The market price for our common stock may be influenced by many factors, including:</w:t>
      </w:r>
    </w:p>
    <w:p>
      <w:pPr>
        <w:spacing w:after="0" w:line="165" w:lineRule="exact"/>
        <w:rPr>
          <w:sz w:val="20"/>
          <w:szCs w:val="20"/>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products or technologies;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trials of RP1 and our other product candidates or those of our competitors;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legal developments in the United States and other countries;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 applications, issued patents or other proprietary rights;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recruitment or departure of key personnel;</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expenses related to the development of RP1 and our other product candidates or clinical development programs;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efforts to discover, develop, acquire or in-license additional product candidates or drugs;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estimates as to financial results, development timelines or recommendations by securities analysts;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financial results or those of companies that are perceived to be similar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healthcare payment systems;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pharmaceutical and biotechnology sectors;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the possibility of an economic recession, international hostilities, acts of terrorism, governmental restrictions and sanctions, inflation, global supply chain disruptions, trade relationships and military and political alliances; and</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other factors described in this “Risk factors” section.</w:t>
      </w:r>
    </w:p>
    <w:p>
      <w:pPr>
        <w:spacing w:after="0" w:line="21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Furthermore, our operating results may fluctuate due to a variety of other factors, many of which are outside of our control and may be difficult to predict, including the following:</w:t>
      </w:r>
    </w:p>
    <w:p>
      <w:pPr>
        <w:spacing w:after="0" w:line="151" w:lineRule="exact"/>
        <w:rPr>
          <w:sz w:val="20"/>
          <w:szCs w:val="20"/>
          <w:color w:val="auto"/>
        </w:rPr>
      </w:pPr>
    </w:p>
    <w:p>
      <w:pPr>
        <w:ind w:left="940" w:hanging="318"/>
        <w:spacing w:after="0" w:line="287"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cost of, and level of investment in, research and development activities relating to our current and any future product candidates, which will change from time to time;</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expenses we incur in connection with equipping and operating our manufacturing facility;</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engage clinical trial sites in the U.S. and in foreign territories, obtain the approval for conducing our clinical trials in foreign territories from their regulatory authorities, as well as our ability to enroll the number of patients necessary in our clinical trials and the timing of enrollment;</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our current and any future product candidates, which may vary depending on the FDA’s and comparable foreign regulatory authorities’ guidelines and requirements, the quantity of production and the terms of any agreements with manufacturers;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that we will or may incur to acquire or develop additional product candidates and technologies;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outcomes of clinical and preclinical studies for RP1 and our other product candidates or competing product candidates;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existing and potential future products that compete with RP1 and our other product candidates, and changes in the competitive landscape of our industry, including consolidation among our competitors or partners;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delays in regulatory review or approval of RP1 or our other product candidates;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demand for RP1 and our other product candidates, if approved, which may fluctuate significantly and be difficult to predict;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536575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940" w:hanging="318"/>
        <w:spacing w:after="0" w:line="287"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risk/benefit profile, cost and reimbursement policies with respect to our product candidates, if approved, and existing and potential future products that compete with RP1 and our other product candidates;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commercialize RP1 and our other product candidates, if approved, inside and outside of the United States, either independently or working with third parties;</w:t>
      </w:r>
    </w:p>
    <w:p>
      <w:pPr>
        <w:spacing w:after="0" w:line="15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and our ability to establish and maintain collaborations, licensing or other arrangements;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adequately support future growth;</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unforeseen business disruptions that increase our costs or expenses;</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64" w:lineRule="auto"/>
        <w:tabs>
          <w:tab w:leader="none" w:pos="93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public health crises, political and economic crises, negative global climate patterns, or other catastrophic events, the possibility of an economic recession, international hostilities and trade disruptions, including, but not limited to those resulting from the current U.S. presidential administration, ongoing military conflicts, acts of terrorism, governmental restrictions and sanctions, inflation, global supply chain disruptions, trade relationships and military and political alliances;</w:t>
      </w:r>
    </w:p>
    <w:p>
      <w:pPr>
        <w:spacing w:after="0" w:line="17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 and</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changing and volatile global economic environment.</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and/or earnings guidance we may provide.</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in how we use our cash, cash equivalents and investments, and may not use these resources effectively, which could affect our results of operations and cause our stock price to decline.</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management has considerable discretion in the application of our cash, cash equivalents and investments. We intend to use our resources to fund our preclinical and clinical development programs as well as for general corporate purposes, including working capital requirements and other operating expenses. As a result, investors will be relying upon management’s judgment with only limited information about our specific intentions for the use of our resources. We may use our resources for purposes that do not yield a significant return or any return at all for our stockholders. In addition, pending their use, we may invest our cash, cash equivalents and investments in a manner that does not produce income or that loses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so any returns will be limited to the value of our stock.</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in the public market could cause our stock price to fall.</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our existing stockholders sell, or indicate an intention to sell, substantial amounts of our common stock in the public market after the expiration of contractual or legal restrictions on resale lapse, the market price of our common stock could decline. These sales may make it more difficult for us to sell equity or equity related securities in the future at a time and price that we deem appropriate, or to use equity as consideration for future acquisition.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a significant number of shares of common stock that are either subject to outstanding options and restricted stock units, reserved for future issuance under our equity incentive plans or subject to outstanding warrants are eligible for sale in the public market to the extent permitted by the provisions of various vesting schedules and Rule 144 and Rule 701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Securities Act, including our ESPP if activated. If these additional shares of common stock are sold, or if it is perceived that they will be sold, in the public market, the market price of our common stock could decline.</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Certain holders of shares of our common stock, or their permitted transferees, are entitled to rights with respect to the registration under the Securities Act of shares of our common stock pursuant to the amended and restated investors' rights agreement by and among us and certain of our stockholders.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5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may sell shares of our common stock in “at-the-market” offerings pursuant to a Sales Agreement entered into on August 3, 2023, as amended, with Leerink Partners LLC, or the 2023 Sales Agreement. The sale of a substantial number of shares of our common stock pursuant to the 2023 Sales Agreement, or anticipation of such sales, could cause the trading price of our common stock to decline or make it more difficult for us to sell equity or equity-related securities in the future at a time and at a price that we might otherwise desire. In addition, issuances of any shares of our common stock sold pursuant to the 2023 Sales Agreement will have a dilutive effect on our existing stockholders.</w:t>
      </w:r>
    </w:p>
    <w:p>
      <w:pPr>
        <w:spacing w:after="0" w:line="1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1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common stock or securities convertible, exercisable or exchangeable into common stock, our existing stockholders’ interest will be diluted.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are unable to raise additional funds through equity or debt financings when needed, we may be required to grant rights to develop and market one or more of our product candidates or technologies that we would otherwise prefer to develop and market ourselves.</w:t>
      </w:r>
    </w:p>
    <w:p>
      <w:pPr>
        <w:spacing w:after="0" w:line="1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4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1" w:lineRule="exact"/>
        <w:rPr>
          <w:sz w:val="20"/>
          <w:szCs w:val="20"/>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expenses and cash requirements;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additional indebtedness or contingent liabilities;</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our equity securities;</w:t>
      </w:r>
    </w:p>
    <w:p>
      <w:pPr>
        <w:spacing w:after="0" w:line="217" w:lineRule="exact"/>
        <w:rPr>
          <w:rFonts w:ascii="Times New Roman" w:cs="Times New Roman" w:eastAsia="Times New Roman" w:hAnsi="Times New Roman"/>
          <w:sz w:val="17"/>
          <w:szCs w:val="17"/>
          <w:color w:val="auto"/>
        </w:rPr>
      </w:pPr>
    </w:p>
    <w:p>
      <w:pPr>
        <w:ind w:left="940" w:hanging="318"/>
        <w:spacing w:after="0" w:line="263"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assimilation of operations, intellectual property and products of an acquired company, including difficulties associated with integrating new personnel;</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from our existing product programs and initiatives in pursuing such a strategic merger or acquisition;</w:t>
      </w:r>
    </w:p>
    <w:p>
      <w:pPr>
        <w:spacing w:after="0" w:line="217"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 the loss of key personnel, and uncertainties in our ability to maintain key business relationships;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if we undertake acquisitions, we may issue dilutive securities, assume or incur debt obligations, incur large one-time expenses and acquire intangible assets that could result in significant future amortization expense or intangible asset impairment charges. Moreover, we may not be able to locate suitable acquisition opportunities and this inability could impair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Unfavorable market and economic conditions may have serious adverse consequences on our business, financial condition, results of operations, stock price and prospects.</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economic climate and financial market conditions could adversely impact our business.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Global financial markets have been experiencing extreme disruption in recent months, including, among other things, extreme volatility in securities prices. We are unable to predict the likely duration and severity of the current disruptions in financial markets and adverse economic conditions throughout the world. These economic developments affect businesses such as ours and those of third parties on which we rely in a number of ways that could result in unfavorable consequences to us. Current economic conditions or a deepening economic downturn in the United States and elsewhere may reduce our ability to access capital, which could negatively impact our short-term and long-term liquidity.</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Although we are not aware of any downgrades, material losses, or other significant deterioration in the fair value of our cash equivalents or short-term investments, we cannot assure you that deterioration of the global credit and financial markets would not negatively impact our current portfolio of cash equivalents or short-term investments, or our ability to meet our financing objectives. Furthermore, our stock price may decline due, in part, to the volatility of the stock market and general economic downturns.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rate fluctuations may materially affect our results of operations and financial conditions.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Owing to the international scope of our operations, fluctuations in exchange rates, particularly between the U.S. dollar and the British pound and the euro, may adversely affect us. Although we are based in the United States, we have significant research and development operations in the United Kingdom, and source consulting and other services in the United Kingdom and the European Union. As a result, our business and the price of our common stock may be affected by fluctuations in foreign exchange rates, which may have a significant impact on our results of operations and cash flows from period to period. Currently, we do not have any exchange rate hedging arrangements in place.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conditions and geopolitical events could adversely affect our business, financial condition or results of operations.</w:t>
      </w:r>
    </w:p>
    <w:p>
      <w:pPr>
        <w:spacing w:after="0" w:line="236"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and trade conflicts, including the ongoing military conflicts between Russia-Ukraine and Israel-Hamas and the ongoing trade conflict between U.S. and China, terrorism, or other geopolitical events. Sanctions imposed by the United States and other countries in response to such conflicts may also adversely impact our clinical trials, the financial markets and the global economy, and any economic countermeasures by the affected countries or others could exacerbate market and economic instability. A weak or declining economy or political disruption, including any international trade disputes, economic instability, changes in tax laws and regulations and additional tariffs, including based on the current U.S. presidential administration, export controls, and increased interest rates could disrupt or otherwise adversely impact our operations and those of third parties upon which we rely. Although we do not currently operate in Russia, Ukraine, Israel or China, those conflicts may impact, and if any of those conflicts broaden it may further impact, the markets, countries or territories in which we do operate or intend to operate, which could have a negative impact on our ability to achieve our objectives or timelines.</w:t>
      </w:r>
    </w:p>
    <w:p>
      <w:pPr>
        <w:spacing w:after="0" w:line="21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72"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17"/>
          <w:szCs w:val="17"/>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507365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financial results may suffer.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9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 Hercules Loan and Security Agreement contains certain covenants that could adversely affect our operations and, if an event of default were to occur, we could be forced to repay any outstanding indebtedness sooner than planned and possibly at a time when we do not have sufficient capital to meet this obligation.</w:t>
      </w:r>
    </w:p>
    <w:p>
      <w:pPr>
        <w:spacing w:after="0" w:line="177" w:lineRule="exact"/>
        <w:rPr>
          <w:sz w:val="20"/>
          <w:szCs w:val="20"/>
          <w:color w:val="auto"/>
        </w:rPr>
      </w:pPr>
    </w:p>
    <w:p>
      <w:pPr>
        <w:ind w:firstLine="619"/>
        <w:spacing w:after="0" w:line="239" w:lineRule="auto"/>
        <w:rPr>
          <w:sz w:val="20"/>
          <w:szCs w:val="20"/>
          <w:color w:val="auto"/>
        </w:rPr>
      </w:pPr>
      <w:r>
        <w:rPr>
          <w:rFonts w:ascii="Times New Roman" w:cs="Times New Roman" w:eastAsia="Times New Roman" w:hAnsi="Times New Roman"/>
          <w:sz w:val="17"/>
          <w:szCs w:val="17"/>
          <w:color w:val="auto"/>
        </w:rPr>
        <w:t>On October 6, 2022 we and certain of our subsidiaries entered into a Loan and Security Agreement, or the Hercules Loan Agreement with Hercules Capital, Inc., or Hercules, in its capacity as administrative agent and collateral agent and as a lender, which such agreement was subsequently amended in June 2023, December 2023 and January 2026. The Hercules Loan Agreement contains certain affirmative and negative covenants that could prevent us from taking certain actions without the consent of our lenders. These covenants may limit our flexibility in operating our business and our ability to take actions that might be advantageous to us and our stockholders. The Hercules Loan Agreement also contains customary affirmative and negative covenants that, among other things, may limit our ability, subject to certain exceptions, to incur indebtedness, grant liens, enter into a merger or consolidation, enter into transactions with affiliates, or sell all or a portion of our property, business or assets. The Hercules Loan Agreement contains customary events of default. Upon the occurrence and continuation of an event of default, all amounts due under the Hercules Loan Agreement become (in the case of an insolvency or bankruptcy event), or may become (in the case of all other events of default and at the option of Hercules), immediately due and payable. If an event of default under the Hercules Loan Agreement should occur, we could be required to immediately repay any outstanding indebtedness. If we are unable to repay such debt, the lenders would be able to foreclose on the secured collateral, including our cash accounts, and take other remedies permitted under the Hercules Loan Agreement. Even if we are able to repay any indebtedness on an event of default, the repayment of these sums may significantly reduce our working capital and impair our ability to operate as planned.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0" w:lineRule="exact"/>
        <w:rPr>
          <w:sz w:val="20"/>
          <w:szCs w:val="20"/>
          <w:color w:val="auto"/>
        </w:rPr>
      </w:pPr>
    </w:p>
    <w:p>
      <w:pPr>
        <w:ind w:right="300" w:firstLine="619"/>
        <w:spacing w:after="0" w:line="249" w:lineRule="auto"/>
        <w:rPr>
          <w:sz w:val="20"/>
          <w:szCs w:val="20"/>
          <w:color w:val="auto"/>
        </w:rPr>
      </w:pPr>
      <w:r>
        <w:rPr>
          <w:rFonts w:ascii="Times New Roman" w:cs="Times New Roman" w:eastAsia="Times New Roman" w:hAnsi="Times New Roman"/>
          <w:sz w:val="17"/>
          <w:szCs w:val="17"/>
          <w:color w:val="auto"/>
        </w:rPr>
        <w:t>There have been no unregistered sales of securities other than previously disclosed by us in our Current Report on Form 8-K, as filed with the SEC on June 13,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21"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Plan Trading Arrangements</w:t>
      </w:r>
    </w:p>
    <w:p>
      <w:pPr>
        <w:spacing w:after="0" w:line="236" w:lineRule="exact"/>
        <w:rPr>
          <w:sz w:val="20"/>
          <w:szCs w:val="20"/>
          <w:color w:val="auto"/>
        </w:rPr>
      </w:pPr>
    </w:p>
    <w:p>
      <w:pPr>
        <w:jc w:val="both"/>
        <w:ind w:firstLine="421"/>
        <w:spacing w:after="0" w:line="254" w:lineRule="auto"/>
        <w:rPr>
          <w:sz w:val="20"/>
          <w:szCs w:val="20"/>
          <w:color w:val="auto"/>
        </w:rPr>
      </w:pPr>
      <w:r>
        <w:rPr>
          <w:rFonts w:ascii="Times New Roman" w:cs="Times New Roman" w:eastAsia="Times New Roman" w:hAnsi="Times New Roman"/>
          <w:sz w:val="17"/>
          <w:szCs w:val="17"/>
          <w:color w:val="auto"/>
        </w:rPr>
        <w:t>During the three months ended December 31, 2025, the following officer and/or director adopted a “Rule 10b5-1 trading arrangement” (as defined in Item 408 of Regulation S-K) and/or have a Rule 10b5-1 trading arrangement that entered an active trading period that is intended to satisfy the affirmative defense of Rule 10b5-1(c) under the Exchange Act and our policies on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512445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5"/>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9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1"/>
        </w:trPr>
        <w:tc>
          <w:tcPr>
            <w:tcW w:w="122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Aggregate Number of Shares of Common</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5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7"/>
                <w:szCs w:val="17"/>
                <w:b w:val="1"/>
                <w:bCs w:val="1"/>
                <w:color w:val="auto"/>
              </w:rPr>
              <w:t>Name &amp; Title</w:t>
            </w:r>
          </w:p>
        </w:tc>
        <w:tc>
          <w:tcPr>
            <w:tcW w:w="1920" w:type="dxa"/>
            <w:vAlign w:val="bottom"/>
            <w:vMerge w:val="restart"/>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w w:val="95"/>
              </w:rPr>
              <w:t xml:space="preserve">Date Adopted </w:t>
            </w:r>
            <w:r>
              <w:rPr>
                <w:rFonts w:ascii="Times New Roman" w:cs="Times New Roman" w:eastAsia="Times New Roman" w:hAnsi="Times New Roman"/>
                <w:sz w:val="22"/>
                <w:szCs w:val="22"/>
                <w:b w:val="1"/>
                <w:bCs w:val="1"/>
                <w:color w:val="auto"/>
                <w:w w:val="95"/>
                <w:vertAlign w:val="superscript"/>
              </w:rPr>
              <w:t>(1)</w:t>
            </w:r>
          </w:p>
        </w:tc>
        <w:tc>
          <w:tcPr>
            <w:tcW w:w="3820" w:type="dxa"/>
            <w:vAlign w:val="bottom"/>
          </w:tcPr>
          <w:p>
            <w:pPr>
              <w:jc w:val="center"/>
              <w:ind w:right="34"/>
              <w:spacing w:after="0" w:line="173" w:lineRule="exact"/>
              <w:rPr>
                <w:sz w:val="20"/>
                <w:szCs w:val="20"/>
                <w:color w:val="auto"/>
              </w:rPr>
            </w:pPr>
            <w:r>
              <w:rPr>
                <w:rFonts w:ascii="Times New Roman" w:cs="Times New Roman" w:eastAsia="Times New Roman" w:hAnsi="Times New Roman"/>
                <w:sz w:val="17"/>
                <w:szCs w:val="17"/>
                <w:b w:val="1"/>
                <w:bCs w:val="1"/>
                <w:color w:val="auto"/>
              </w:rPr>
              <w:t>Stock to be Purchased or Sold Pursuant to</w:t>
            </w:r>
          </w:p>
        </w:tc>
        <w:tc>
          <w:tcPr>
            <w:tcW w:w="24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8"/>
              </w:rPr>
              <w:t>Expiration Date</w:t>
            </w:r>
            <w:r>
              <w:rPr>
                <w:rFonts w:ascii="Times New Roman" w:cs="Times New Roman" w:eastAsia="Times New Roman" w:hAnsi="Times New Roman"/>
                <w:sz w:val="22"/>
                <w:szCs w:val="22"/>
                <w:b w:val="1"/>
                <w:bCs w:val="1"/>
                <w:color w:val="auto"/>
                <w:w w:val="98"/>
                <w:vertAlign w:val="superscript"/>
              </w:rPr>
              <w:t>(3)</w:t>
            </w:r>
          </w:p>
        </w:tc>
        <w:tc>
          <w:tcPr>
            <w:tcW w:w="0" w:type="dxa"/>
            <w:vAlign w:val="bottom"/>
          </w:tcPr>
          <w:p>
            <w:pPr>
              <w:spacing w:after="0"/>
              <w:rPr>
                <w:sz w:val="1"/>
                <w:szCs w:val="1"/>
                <w:color w:val="auto"/>
              </w:rPr>
            </w:pPr>
          </w:p>
        </w:tc>
      </w:tr>
      <w:tr>
        <w:trPr>
          <w:trHeight w:val="227"/>
        </w:trPr>
        <w:tc>
          <w:tcPr>
            <w:tcW w:w="2520" w:type="dxa"/>
            <w:vAlign w:val="bottom"/>
            <w:gridSpan w:val="2"/>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Trading Arrangement</w:t>
            </w: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5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Christopher Sarchi,Chief</w:t>
            </w:r>
          </w:p>
        </w:tc>
        <w:tc>
          <w:tcPr>
            <w:tcW w:w="192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7"/>
              </w:rPr>
              <w:t>12/15/2025</w:t>
            </w:r>
            <w:r>
              <w:rPr>
                <w:rFonts w:ascii="Times New Roman" w:cs="Times New Roman" w:eastAsia="Times New Roman" w:hAnsi="Times New Roman"/>
                <w:sz w:val="22"/>
                <w:szCs w:val="22"/>
                <w:color w:val="auto"/>
                <w:w w:val="97"/>
                <w:vertAlign w:val="superscript"/>
              </w:rPr>
              <w:t>(2)</w:t>
            </w:r>
          </w:p>
        </w:tc>
        <w:tc>
          <w:tcPr>
            <w:tcW w:w="3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Officer</w:t>
            </w:r>
          </w:p>
        </w:tc>
        <w:tc>
          <w:tcPr>
            <w:tcW w:w="1920" w:type="dxa"/>
            <w:vAlign w:val="bottom"/>
            <w:vMerge w:val="continue"/>
            <w:shd w:val="clear" w:color="auto" w:fill="CCEEFF"/>
          </w:tcPr>
          <w:p>
            <w:pPr>
              <w:spacing w:after="0"/>
              <w:rPr>
                <w:sz w:val="20"/>
                <w:szCs w:val="20"/>
                <w:color w:val="auto"/>
              </w:rPr>
            </w:pPr>
          </w:p>
        </w:tc>
        <w:tc>
          <w:tcPr>
            <w:tcW w:w="38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8"/>
              </w:rPr>
              <w:t>18,500</w:t>
            </w:r>
          </w:p>
        </w:tc>
        <w:tc>
          <w:tcPr>
            <w:tcW w:w="244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color w:val="auto"/>
              </w:rPr>
              <w:t>December 11, 2026</w:t>
            </w:r>
          </w:p>
        </w:tc>
        <w:tc>
          <w:tcPr>
            <w:tcW w:w="0" w:type="dxa"/>
            <w:vAlign w:val="bottom"/>
          </w:tcPr>
          <w:p>
            <w:pPr>
              <w:spacing w:after="0"/>
              <w:rPr>
                <w:sz w:val="1"/>
                <w:szCs w:val="1"/>
                <w:color w:val="auto"/>
              </w:rPr>
            </w:pPr>
          </w:p>
        </w:tc>
      </w:tr>
      <w:tr>
        <w:trPr>
          <w:trHeight w:val="168"/>
        </w:trPr>
        <w:tc>
          <w:tcPr>
            <w:tcW w:w="252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Andrew Schwendenman, Chief</w:t>
            </w:r>
          </w:p>
        </w:tc>
        <w:tc>
          <w:tcPr>
            <w:tcW w:w="1920" w:type="dxa"/>
            <w:vAlign w:val="bottom"/>
            <w:vMerge w:val="restart"/>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w w:val="97"/>
              </w:rPr>
              <w:t>12/16/2025</w:t>
            </w:r>
            <w:r>
              <w:rPr>
                <w:rFonts w:ascii="Times New Roman" w:cs="Times New Roman" w:eastAsia="Times New Roman" w:hAnsi="Times New Roman"/>
                <w:sz w:val="22"/>
                <w:szCs w:val="22"/>
                <w:color w:val="auto"/>
                <w:w w:val="97"/>
                <w:vertAlign w:val="superscript"/>
              </w:rPr>
              <w:t>(2)</w:t>
            </w:r>
          </w:p>
        </w:tc>
        <w:tc>
          <w:tcPr>
            <w:tcW w:w="382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c>
          <w:tcPr>
            <w:tcW w:w="1920" w:type="dxa"/>
            <w:vAlign w:val="bottom"/>
            <w:vMerge w:val="continue"/>
            <w:shd w:val="clear" w:color="auto" w:fill="CCEEFF"/>
          </w:tcPr>
          <w:p>
            <w:pPr>
              <w:spacing w:after="0"/>
              <w:rPr>
                <w:sz w:val="20"/>
                <w:szCs w:val="20"/>
                <w:color w:val="auto"/>
              </w:rPr>
            </w:pPr>
          </w:p>
        </w:tc>
        <w:tc>
          <w:tcPr>
            <w:tcW w:w="382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8"/>
              </w:rPr>
              <w:t>66,983</w:t>
            </w:r>
          </w:p>
        </w:tc>
        <w:tc>
          <w:tcPr>
            <w:tcW w:w="2440" w:type="dxa"/>
            <w:vAlign w:val="bottom"/>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color w:val="auto"/>
              </w:rPr>
              <w:t>August 28, 2026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 w:right="820"/>
        <w:spacing w:after="0" w:line="226" w:lineRule="auto"/>
        <w:tabs>
          <w:tab w:leader="none" w:pos="178"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Date of adoption of Rule 10b5-1 trading arrangements is in accordance with both the Company’s insider trading policy and applicable SEC rules and regulations.</w:t>
      </w:r>
    </w:p>
    <w:p>
      <w:pPr>
        <w:spacing w:after="0" w:line="190" w:lineRule="exact"/>
        <w:rPr>
          <w:rFonts w:ascii="Times New Roman" w:cs="Times New Roman" w:eastAsia="Times New Roman" w:hAnsi="Times New Roman"/>
          <w:sz w:val="20"/>
          <w:szCs w:val="20"/>
          <w:color w:val="auto"/>
          <w:vertAlign w:val="superscript"/>
        </w:rPr>
      </w:pPr>
    </w:p>
    <w:p>
      <w:pPr>
        <w:ind w:left="20" w:right="800"/>
        <w:spacing w:after="0" w:line="209" w:lineRule="auto"/>
        <w:tabs>
          <w:tab w:leader="none" w:pos="193"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spacing w:after="0" w:line="176" w:lineRule="exact"/>
        <w:rPr>
          <w:rFonts w:ascii="Times New Roman" w:cs="Times New Roman" w:eastAsia="Times New Roman" w:hAnsi="Times New Roman"/>
          <w:sz w:val="22"/>
          <w:szCs w:val="22"/>
          <w:color w:val="auto"/>
          <w:vertAlign w:val="superscript"/>
        </w:rPr>
      </w:pPr>
    </w:p>
    <w:p>
      <w:pPr>
        <w:ind w:left="20" w:right="860"/>
        <w:spacing w:after="0" w:line="212" w:lineRule="auto"/>
        <w:tabs>
          <w:tab w:leader="none" w:pos="193"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Rule 10b5-1 trading arrangement permits transactions through and including the earlier to occur of (a) the completion of all sales or (b) the date listed in the table. The arrangement also provides for automatic expiration in the event of bankruptcy, insolvency, death or mental incapacity of the adopting person.</w:t>
      </w:r>
    </w:p>
    <w:p>
      <w:pPr>
        <w:spacing w:after="0" w:line="30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Other than those disclosed above, none of our directors or officers adopted, modified, or terminated a “Rule 10b5-1 trading arrangement” or “non-Rule 10b5-1 trading arrangement,” in each case as defined in Item 408 of Regulation S-K, during the three months ended December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80" w:type="dxa"/>
            <w:vAlign w:val="bottom"/>
          </w:tcPr>
          <w:p>
            <w:pPr>
              <w:spacing w:after="0"/>
              <w:rPr>
                <w:sz w:val="18"/>
                <w:szCs w:val="18"/>
                <w:color w:val="auto"/>
              </w:rPr>
            </w:pPr>
          </w:p>
        </w:tc>
        <w:tc>
          <w:tcPr>
            <w:tcW w:w="6060" w:type="dxa"/>
            <w:vAlign w:val="bottom"/>
            <w:gridSpan w:val="8"/>
          </w:tcPr>
          <w:p>
            <w:pPr>
              <w:ind w:left="212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6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Form</w:t>
            </w:r>
          </w:p>
        </w:tc>
        <w:tc>
          <w:tcPr>
            <w:tcW w:w="2120" w:type="dxa"/>
            <w:vAlign w:val="bottom"/>
          </w:tcPr>
          <w:p>
            <w:pPr>
              <w:ind w:left="8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180"/>
        </w:trPr>
        <w:tc>
          <w:tcPr>
            <w:tcW w:w="1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6340" w:type="dxa"/>
            <w:vAlign w:val="bottom"/>
            <w:gridSpan w:val="9"/>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Form of U.K. Strategic Initiative Restricted Stock Unit Grant Agreement</w:t>
            </w:r>
          </w:p>
        </w:tc>
        <w:tc>
          <w:tcPr>
            <w:tcW w:w="6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34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280" w:type="dxa"/>
            <w:vAlign w:val="bottom"/>
            <w:shd w:val="clear" w:color="auto" w:fill="0000FF"/>
          </w:tcPr>
          <w:p>
            <w:pPr>
              <w:spacing w:after="0"/>
              <w:rPr>
                <w:sz w:val="3"/>
                <w:szCs w:val="3"/>
                <w:color w:val="auto"/>
              </w:rPr>
            </w:pPr>
          </w:p>
        </w:tc>
        <w:tc>
          <w:tcPr>
            <w:tcW w:w="25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5100" w:type="dxa"/>
            <w:vAlign w:val="bottom"/>
            <w:tcBorders>
              <w:bottom w:val="single" w:sz="8" w:color="0000FF"/>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FF"/>
              </w:rPr>
              <w:t>Form of U.S. Strategic Initiative Restricted Stock Unit Grant Agreement.</w:t>
            </w:r>
          </w:p>
        </w:tc>
        <w:tc>
          <w:tcPr>
            <w:tcW w:w="1240" w:type="dxa"/>
            <w:vAlign w:val="bottom"/>
            <w:gridSpan w:val="6"/>
          </w:tcPr>
          <w:p>
            <w:pPr>
              <w:spacing w:after="0"/>
              <w:rPr>
                <w:sz w:val="16"/>
                <w:szCs w:val="16"/>
                <w:color w:val="auto"/>
              </w:rPr>
            </w:pPr>
          </w:p>
        </w:tc>
        <w:tc>
          <w:tcPr>
            <w:tcW w:w="6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10.3*</w:t>
            </w:r>
          </w:p>
        </w:tc>
        <w:tc>
          <w:tcPr>
            <w:tcW w:w="6340" w:type="dxa"/>
            <w:vAlign w:val="bottom"/>
            <w:gridSpan w:val="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Third Amendment to Loan and Security Agreement, dated as of January 29, 2026, by and</w:t>
            </w:r>
          </w:p>
        </w:tc>
        <w:tc>
          <w:tcPr>
            <w:tcW w:w="6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0000FF"/>
              <w:right w:val="single" w:sz="8" w:color="CCEEFF"/>
            </w:tcBorders>
            <w:gridSpan w:val="3"/>
            <w:vMerge w:val="restart"/>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among Replimune Group Inc., Replimune, Inc., Replimune Limited and</w:t>
            </w: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40" w:type="dxa"/>
            <w:vAlign w:val="bottom"/>
            <w:shd w:val="clear" w:color="auto" w:fill="CCEEFF"/>
          </w:tcPr>
          <w:p>
            <w:pPr>
              <w:spacing w:after="0"/>
              <w:rPr>
                <w:sz w:val="11"/>
                <w:szCs w:val="11"/>
                <w:color w:val="auto"/>
              </w:rPr>
            </w:pPr>
          </w:p>
        </w:tc>
        <w:tc>
          <w:tcPr>
            <w:tcW w:w="5100" w:type="dxa"/>
            <w:vAlign w:val="bottom"/>
            <w:tcBorders>
              <w:right w:val="single" w:sz="8" w:color="CCEEFF"/>
            </w:tcBorders>
            <w:gridSpan w:val="3"/>
            <w:vMerge w:val="continue"/>
            <w:shd w:val="clear" w:color="auto" w:fill="CCEEFF"/>
          </w:tcPr>
          <w:p>
            <w:pPr>
              <w:spacing w:after="0"/>
              <w:rPr>
                <w:sz w:val="11"/>
                <w:szCs w:val="11"/>
                <w:color w:val="auto"/>
              </w:rPr>
            </w:pPr>
          </w:p>
        </w:tc>
        <w:tc>
          <w:tcPr>
            <w:tcW w:w="1240" w:type="dxa"/>
            <w:vAlign w:val="bottom"/>
            <w:gridSpan w:val="6"/>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0000FF"/>
              </w:rPr>
              <w:t>Hercules Capital,</w:t>
            </w:r>
          </w:p>
        </w:tc>
        <w:tc>
          <w:tcPr>
            <w:tcW w:w="68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0000FF"/>
              <w:bottom w:val="single" w:sz="8" w:color="0000FF"/>
            </w:tcBorders>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w w:val="99"/>
              </w:rPr>
              <w:t>Inc.</w:t>
            </w:r>
          </w:p>
        </w:tc>
        <w:tc>
          <w:tcPr>
            <w:tcW w:w="5920" w:type="dxa"/>
            <w:vAlign w:val="bottom"/>
            <w:tcBorders>
              <w:top w:val="single" w:sz="8" w:color="0000FF"/>
              <w:bottom w:val="single" w:sz="8" w:color="CCEEFF"/>
            </w:tcBorders>
            <w:gridSpan w:val="7"/>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63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as required by Section 302 of the Sarbanes-</w:t>
            </w: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608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26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280" w:type="dxa"/>
            <w:vAlign w:val="bottom"/>
            <w:tcBorders>
              <w:top w:val="single" w:sz="8" w:color="0000FF"/>
            </w:tcBorders>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6340" w:type="dxa"/>
            <w:vAlign w:val="bottom"/>
            <w:gridSpan w:val="9"/>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as required by Section 302 of the Sarbanes-</w:t>
            </w:r>
          </w:p>
        </w:tc>
        <w:tc>
          <w:tcPr>
            <w:tcW w:w="6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FF"/>
              <w:bottom w:val="single" w:sz="8" w:color="0000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346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634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Executive Officer, as required by Section 906 of the Sarbanes-</w:t>
            </w:r>
          </w:p>
        </w:tc>
        <w:tc>
          <w:tcPr>
            <w:tcW w:w="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608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26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3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280" w:type="dxa"/>
            <w:vAlign w:val="bottom"/>
            <w:tcBorders>
              <w:top w:val="single" w:sz="8" w:color="0000FF"/>
            </w:tcBorders>
          </w:tcPr>
          <w:p>
            <w:pPr>
              <w:spacing w:after="0"/>
              <w:rPr>
                <w:sz w:val="2"/>
                <w:szCs w:val="2"/>
                <w:color w:val="auto"/>
              </w:rPr>
            </w:pPr>
          </w:p>
        </w:tc>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6340" w:type="dxa"/>
            <w:vAlign w:val="bottom"/>
            <w:gridSpan w:val="9"/>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as required by Section 906 of the Sarbanes-</w:t>
            </w:r>
          </w:p>
        </w:tc>
        <w:tc>
          <w:tcPr>
            <w:tcW w:w="6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2560" w:type="dxa"/>
            <w:vAlign w:val="bottom"/>
            <w:tcBorders>
              <w:top w:val="single" w:sz="8" w:color="0000FF"/>
              <w:bottom w:val="single" w:sz="8" w:color="0000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 (18 U.S.C. 1350).</w:t>
            </w:r>
          </w:p>
        </w:tc>
        <w:tc>
          <w:tcPr>
            <w:tcW w:w="346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63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6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6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63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6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6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63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6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6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3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w:t>
            </w:r>
          </w:p>
        </w:tc>
        <w:tc>
          <w:tcPr>
            <w:tcW w:w="6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right="120" w:firstLine="3"/>
        <w:spacing w:after="0" w:line="270" w:lineRule="auto"/>
        <w:tabs>
          <w:tab w:leader="none" w:pos="12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or furnished herewith. 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Indicates management contract or compensatory plan.</w:t>
      </w:r>
    </w:p>
    <w:p>
      <w:pPr>
        <w:spacing w:after="0" w:line="20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Pursuant to Item 601(b)(10)(iv) of Regulation S-K promulgated by the SEC, certain portions of this exhibit have been omitted. The Company hereby agrees to furnish supplementally to the SEC, upon its request, an unredacted copy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1076325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u w:val="single" w:color="auto"/>
          <w:color w:val="auto"/>
        </w:rPr>
        <w:t>SIGNATURES</w:t>
      </w:r>
    </w:p>
    <w:p>
      <w:pPr>
        <w:spacing w:after="0" w:line="221" w:lineRule="exact"/>
        <w:rPr>
          <w:sz w:val="20"/>
          <w:szCs w:val="20"/>
          <w:color w:val="auto"/>
        </w:rPr>
      </w:pPr>
    </w:p>
    <w:p>
      <w:pPr>
        <w:ind w:right="70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40" w:type="dxa"/>
            <w:vAlign w:val="bottom"/>
          </w:tcPr>
          <w:p>
            <w:pPr>
              <w:spacing w:after="0"/>
              <w:rPr>
                <w:sz w:val="19"/>
                <w:szCs w:val="19"/>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7"/>
                <w:szCs w:val="17"/>
                <w:b w:val="1"/>
                <w:bCs w:val="1"/>
                <w:color w:val="auto"/>
              </w:rPr>
              <w:t>REPLIMUNE GROUP, INC.</w:t>
            </w:r>
          </w:p>
        </w:tc>
      </w:tr>
      <w:tr>
        <w:trPr>
          <w:trHeight w:val="46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3, 2026</w:t>
            </w:r>
          </w:p>
        </w:tc>
        <w:tc>
          <w:tcPr>
            <w:tcW w:w="246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Sushil Patel</w:t>
            </w:r>
          </w:p>
        </w:tc>
      </w:tr>
      <w:tr>
        <w:trPr>
          <w:trHeight w:val="209"/>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Sushil Patel</w:t>
            </w:r>
          </w:p>
        </w:tc>
      </w:tr>
      <w:tr>
        <w:trPr>
          <w:trHeight w:val="219"/>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Executive Officer and Director</w:t>
            </w:r>
          </w:p>
        </w:tc>
      </w:tr>
      <w:tr>
        <w:trPr>
          <w:trHeight w:val="223"/>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7"/>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3, 2026</w:t>
            </w:r>
          </w:p>
        </w:tc>
        <w:tc>
          <w:tcPr>
            <w:tcW w:w="246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Emily Hill</w:t>
            </w:r>
          </w:p>
        </w:tc>
      </w:tr>
      <w:tr>
        <w:trPr>
          <w:trHeight w:val="209"/>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Emily Hill</w:t>
            </w:r>
          </w:p>
        </w:tc>
      </w:tr>
      <w:tr>
        <w:trPr>
          <w:trHeight w:val="219"/>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Financial Officer</w:t>
            </w:r>
          </w:p>
        </w:tc>
      </w:tr>
      <w:tr>
        <w:trPr>
          <w:trHeight w:val="223"/>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477"/>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3, 2026</w:t>
            </w:r>
          </w:p>
        </w:tc>
        <w:tc>
          <w:tcPr>
            <w:tcW w:w="246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Schwendenman</w:t>
            </w:r>
          </w:p>
        </w:tc>
      </w:tr>
      <w:tr>
        <w:trPr>
          <w:trHeight w:val="209"/>
        </w:trPr>
        <w:tc>
          <w:tcPr>
            <w:tcW w:w="36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 Andrew Schwendenman</w:t>
            </w:r>
          </w:p>
        </w:tc>
      </w:tr>
      <w:tr>
        <w:trPr>
          <w:trHeight w:val="219"/>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 Chief Accounting Officer</w:t>
            </w:r>
          </w:p>
        </w:tc>
      </w:tr>
      <w:tr>
        <w:trPr>
          <w:trHeight w:val="223"/>
        </w:trPr>
        <w:tc>
          <w:tcPr>
            <w:tcW w:w="36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r>
    </w:tbl>
    <w:p>
      <w:pPr>
        <w:sectPr>
          <w:pgSz w:w="11900" w:h="16838" w:orient="portrait"/>
          <w:cols w:equalWidth="0" w:num="1">
            <w:col w:w="11200"/>
          </w:cols>
          <w:pgMar w:left="320" w:top="123" w:right="37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1"/>
          <w:szCs w:val="21"/>
          <w:color w:val="auto"/>
        </w:rPr>
        <w:t>December 2025 – Strategic Initiative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UK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90" w:type="dxa"/>
        <w:tblCellMar>
          <w:top w:w="0" w:type="dxa"/>
          <w:left w:w="0" w:type="dxa"/>
          <w:bottom w:w="0" w:type="dxa"/>
          <w:right w:w="0" w:type="dxa"/>
        </w:tblCellMar>
      </w:tblPr>
      <w:tr>
        <w:trPr>
          <w:trHeight w:val="245"/>
        </w:trPr>
        <w:tc>
          <w:tcPr>
            <w:tcW w:w="2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380" w:type="dxa"/>
            <w:vAlign w:val="bottom"/>
          </w:tcPr>
          <w:p>
            <w:pPr>
              <w:jc w:val="center"/>
              <w:ind w:right="3537"/>
              <w:spacing w:after="0"/>
              <w:rPr>
                <w:sz w:val="20"/>
                <w:szCs w:val="20"/>
                <w:color w:val="auto"/>
              </w:rPr>
            </w:pPr>
            <w:r>
              <w:rPr>
                <w:rFonts w:ascii="Times New Roman" w:cs="Times New Roman" w:eastAsia="Times New Roman" w:hAnsi="Times New Roman"/>
                <w:sz w:val="21"/>
                <w:szCs w:val="21"/>
                <w:color w:val="auto"/>
                <w:w w:val="97"/>
              </w:rPr>
              <w:t>REPLIMUNE GROUP, INC.</w:t>
            </w:r>
          </w:p>
        </w:tc>
      </w:tr>
      <w:tr>
        <w:trPr>
          <w:trHeight w:val="245"/>
        </w:trPr>
        <w:tc>
          <w:tcPr>
            <w:tcW w:w="2460" w:type="dxa"/>
            <w:vAlign w:val="bottom"/>
          </w:tcPr>
          <w:p>
            <w:pPr>
              <w:spacing w:after="0"/>
              <w:rPr>
                <w:sz w:val="21"/>
                <w:szCs w:val="21"/>
                <w:color w:val="auto"/>
              </w:rPr>
            </w:pPr>
          </w:p>
        </w:tc>
        <w:tc>
          <w:tcPr>
            <w:tcW w:w="7700" w:type="dxa"/>
            <w:vAlign w:val="bottom"/>
            <w:gridSpan w:val="2"/>
          </w:tcPr>
          <w:p>
            <w:pPr>
              <w:jc w:val="center"/>
              <w:ind w:right="2237"/>
              <w:spacing w:after="0"/>
              <w:rPr>
                <w:sz w:val="20"/>
                <w:szCs w:val="20"/>
                <w:color w:val="auto"/>
              </w:rPr>
            </w:pPr>
            <w:r>
              <w:rPr>
                <w:rFonts w:ascii="Times New Roman" w:cs="Times New Roman" w:eastAsia="Times New Roman" w:hAnsi="Times New Roman"/>
                <w:sz w:val="21"/>
                <w:szCs w:val="21"/>
                <w:color w:val="auto"/>
                <w:w w:val="97"/>
              </w:rPr>
              <w:t>2018 OMNIBUS INCENTIVE COMPENSATION PLAN</w:t>
            </w:r>
          </w:p>
        </w:tc>
      </w:tr>
      <w:tr>
        <w:trPr>
          <w:trHeight w:val="268"/>
        </w:trPr>
        <w:tc>
          <w:tcPr>
            <w:tcW w:w="2460" w:type="dxa"/>
            <w:vAlign w:val="bottom"/>
          </w:tcPr>
          <w:p>
            <w:pPr>
              <w:spacing w:after="0"/>
              <w:rPr>
                <w:sz w:val="23"/>
                <w:szCs w:val="23"/>
                <w:color w:val="auto"/>
              </w:rPr>
            </w:pPr>
          </w:p>
        </w:tc>
        <w:tc>
          <w:tcPr>
            <w:tcW w:w="7700" w:type="dxa"/>
            <w:vAlign w:val="bottom"/>
            <w:gridSpan w:val="2"/>
          </w:tcPr>
          <w:p>
            <w:pPr>
              <w:jc w:val="center"/>
              <w:ind w:right="2237"/>
              <w:spacing w:after="0"/>
              <w:rPr>
                <w:sz w:val="20"/>
                <w:szCs w:val="20"/>
                <w:color w:val="auto"/>
              </w:rPr>
            </w:pPr>
            <w:r>
              <w:rPr>
                <w:rFonts w:ascii="Times New Roman" w:cs="Times New Roman" w:eastAsia="Times New Roman" w:hAnsi="Times New Roman"/>
                <w:sz w:val="21"/>
                <w:szCs w:val="21"/>
                <w:color w:val="auto"/>
                <w:w w:val="98"/>
              </w:rPr>
              <w:t>RESTRICTED STOCK UNIT GRANT AGREEMENT</w:t>
            </w:r>
          </w:p>
        </w:tc>
      </w:tr>
      <w:tr>
        <w:trPr>
          <w:trHeight w:val="673"/>
        </w:trPr>
        <w:tc>
          <w:tcPr>
            <w:tcW w:w="2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r>
        <w:trPr>
          <w:trHeight w:val="261"/>
        </w:trPr>
        <w:tc>
          <w:tcPr>
            <w:tcW w:w="24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Participant:</w:t>
            </w:r>
          </w:p>
        </w:tc>
        <w:tc>
          <w:tcPr>
            <w:tcW w:w="13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%%FIRST_NAME%-% %%LAST_NAME%-%</w:t>
            </w:r>
          </w:p>
        </w:tc>
      </w:tr>
      <w:tr>
        <w:trPr>
          <w:trHeight w:val="28"/>
        </w:trPr>
        <w:tc>
          <w:tcPr>
            <w:tcW w:w="24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r>
        <w:trPr>
          <w:trHeight w:val="261"/>
        </w:trPr>
        <w:tc>
          <w:tcPr>
            <w:tcW w:w="24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Date of Grant:</w:t>
            </w:r>
          </w:p>
        </w:tc>
        <w:tc>
          <w:tcPr>
            <w:tcW w:w="13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%%OPTION_DATE,'Month DD, YYYY'%-%</w:t>
            </w:r>
          </w:p>
        </w:tc>
      </w:tr>
      <w:tr>
        <w:trPr>
          <w:trHeight w:val="28"/>
        </w:trPr>
        <w:tc>
          <w:tcPr>
            <w:tcW w:w="24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r>
        <w:trPr>
          <w:trHeight w:val="261"/>
        </w:trPr>
        <w:tc>
          <w:tcPr>
            <w:tcW w:w="24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Restricted Units Granted:</w:t>
            </w:r>
          </w:p>
        </w:tc>
        <w:tc>
          <w:tcPr>
            <w:tcW w:w="13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%%TOTAL_SHARES_GRANTED,'999,999,999'%-%</w:t>
            </w:r>
          </w:p>
        </w:tc>
      </w:tr>
      <w:tr>
        <w:trPr>
          <w:trHeight w:val="28"/>
        </w:trPr>
        <w:tc>
          <w:tcPr>
            <w:tcW w:w="24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1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21"/>
          <w:szCs w:val="21"/>
          <w:color w:val="auto"/>
        </w:rPr>
        <w:t>The Replimune Group, Inc. 2018 Omnibus Incentive Compensation Plan and the Sub-Plan for U.K. Employees thereunder (together,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restricted stock units. The Committee has decided to make this grant of restricted stock units as an inducement for the Participant to promote the best interests of the Replimune Group,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its stockholders. The Participant hereby acknowledges the receipt of a copy of the official prospectus for the Plan, which is available by accessing the Company’s intranet at www.replimune.com. Paper copies of the Plan and the official Plan prospectus are available by contacting the Chief Financial Officer of the Company at +1.781.222.9600. This Agreement is made pursuant to the Plan and is subject in its entirety to all applicable provisions of the Plan. Capitalized terms used herein and not otherwise defined will have the meanings set forth in the Plan.</w:t>
      </w:r>
    </w:p>
    <w:p>
      <w:pPr>
        <w:spacing w:after="0" w:line="153" w:lineRule="exact"/>
        <w:rPr>
          <w:sz w:val="20"/>
          <w:szCs w:val="20"/>
          <w:color w:val="auto"/>
        </w:rPr>
      </w:pPr>
    </w:p>
    <w:p>
      <w:pPr>
        <w:jc w:val="both"/>
        <w:ind w:firstLine="3"/>
        <w:spacing w:after="0" w:line="220" w:lineRule="auto"/>
        <w:tabs>
          <w:tab w:leader="none" w:pos="61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Stock Units</w:t>
      </w:r>
      <w:r>
        <w:rPr>
          <w:rFonts w:ascii="Times New Roman" w:cs="Times New Roman" w:eastAsia="Times New Roman" w:hAnsi="Times New Roman"/>
          <w:sz w:val="21"/>
          <w:szCs w:val="21"/>
          <w:color w:val="auto"/>
        </w:rPr>
        <w:t>. Subject to the terms and conditions set forth in this Restricted Stock Unit Grant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in the Plan, the Company hereby grants the Participant the number of restricted stock units set forth above, subject to the restrictions set forth below and in the Plan (the “</w:t>
      </w:r>
      <w:r>
        <w:rPr>
          <w:rFonts w:ascii="Times New Roman" w:cs="Times New Roman" w:eastAsia="Times New Roman" w:hAnsi="Times New Roman"/>
          <w:sz w:val="21"/>
          <w:szCs w:val="21"/>
          <w:u w:val="single" w:color="auto"/>
          <w:color w:val="auto"/>
        </w:rPr>
        <w:t>Stock Units</w:t>
      </w:r>
      <w:r>
        <w:rPr>
          <w:rFonts w:ascii="Times New Roman" w:cs="Times New Roman" w:eastAsia="Times New Roman" w:hAnsi="Times New Roman"/>
          <w:sz w:val="21"/>
          <w:szCs w:val="21"/>
          <w:color w:val="auto"/>
        </w:rPr>
        <w:t>”). Each Stock Unit represents the right of the Participant to receive a share of common stock of the Company (“</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on the applicable payment date set forth in Section 5 below.</w:t>
      </w:r>
    </w:p>
    <w:p>
      <w:pPr>
        <w:spacing w:after="0" w:line="145" w:lineRule="exact"/>
        <w:rPr>
          <w:rFonts w:ascii="Times New Roman" w:cs="Times New Roman" w:eastAsia="Times New Roman" w:hAnsi="Times New Roman"/>
          <w:sz w:val="21"/>
          <w:szCs w:val="21"/>
          <w:color w:val="auto"/>
        </w:rPr>
      </w:pPr>
    </w:p>
    <w:p>
      <w:pPr>
        <w:jc w:val="both"/>
        <w:ind w:firstLine="3"/>
        <w:spacing w:after="0" w:line="225" w:lineRule="auto"/>
        <w:tabs>
          <w:tab w:leader="none" w:pos="61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Unit Account</w:t>
      </w:r>
      <w:r>
        <w:rPr>
          <w:rFonts w:ascii="Times New Roman" w:cs="Times New Roman" w:eastAsia="Times New Roman" w:hAnsi="Times New Roman"/>
          <w:sz w:val="20"/>
          <w:szCs w:val="20"/>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150" w:lineRule="exact"/>
        <w:rPr>
          <w:rFonts w:ascii="Times New Roman" w:cs="Times New Roman" w:eastAsia="Times New Roman" w:hAnsi="Times New Roman"/>
          <w:sz w:val="20"/>
          <w:szCs w:val="20"/>
          <w:color w:val="auto"/>
        </w:rPr>
      </w:pPr>
    </w:p>
    <w:p>
      <w:pPr>
        <w:ind w:left="620" w:hanging="617"/>
        <w:spacing w:after="0"/>
        <w:tabs>
          <w:tab w:leader="none" w:pos="62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4"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Units shall become vested according to the vesting table in Exhibit A, detailing the vesting dates (each, an individual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provided that the Participant continues to be employed by, or provide approved service to, the Employer from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27" w:right="339" w:bottom="1440" w:gutter="0" w:footer="0" w:header="0"/>
        </w:sectPr>
      </w:pPr>
    </w:p>
    <w:bookmarkStart w:id="85" w:name="page86"/>
    <w:bookmarkEnd w:id="85"/>
    <w:p>
      <w:pPr>
        <w:spacing w:after="0" w:line="235" w:lineRule="auto"/>
        <w:rPr>
          <w:sz w:val="20"/>
          <w:szCs w:val="20"/>
          <w:color w:val="auto"/>
        </w:rPr>
      </w:pPr>
      <w:r>
        <w:rPr>
          <w:rFonts w:ascii="Times New Roman" w:cs="Times New Roman" w:eastAsia="Times New Roman" w:hAnsi="Times New Roman"/>
          <w:sz w:val="21"/>
          <w:szCs w:val="21"/>
          <w:color w:val="auto"/>
        </w:rPr>
        <w:t>Grant until the applicable Vesting Date. The following table defines which date is assigned as the annual vesting date (the “</w:t>
      </w:r>
      <w:r>
        <w:rPr>
          <w:rFonts w:ascii="Times New Roman" w:cs="Times New Roman" w:eastAsia="Times New Roman" w:hAnsi="Times New Roman"/>
          <w:sz w:val="21"/>
          <w:szCs w:val="21"/>
          <w:u w:val="single" w:color="auto"/>
          <w:color w:val="auto"/>
        </w:rPr>
        <w:t>Designated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based on the grant date:</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220" w:type="dxa"/>
            <w:vAlign w:val="bottom"/>
            <w:tcBorders>
              <w:top w:val="single" w:sz="8" w:color="auto"/>
              <w:left w:val="single" w:sz="8" w:color="auto"/>
            </w:tcBorders>
          </w:tcPr>
          <w:p>
            <w:pPr>
              <w:spacing w:after="0"/>
              <w:rPr>
                <w:sz w:val="17"/>
                <w:szCs w:val="17"/>
                <w:color w:val="auto"/>
              </w:rPr>
            </w:pPr>
          </w:p>
        </w:tc>
        <w:tc>
          <w:tcPr>
            <w:tcW w:w="3260" w:type="dxa"/>
            <w:vAlign w:val="bottom"/>
            <w:tcBorders>
              <w:top w:val="single" w:sz="8" w:color="auto"/>
              <w:right w:val="single" w:sz="8" w:color="auto"/>
            </w:tcBorders>
            <w:gridSpan w:val="2"/>
          </w:tcPr>
          <w:p>
            <w:pPr>
              <w:spacing w:after="0" w:line="206" w:lineRule="exact"/>
              <w:rPr>
                <w:sz w:val="20"/>
                <w:szCs w:val="20"/>
                <w:color w:val="auto"/>
              </w:rPr>
            </w:pPr>
            <w:r>
              <w:rPr>
                <w:rFonts w:ascii="Times New Roman" w:cs="Times New Roman" w:eastAsia="Times New Roman" w:hAnsi="Times New Roman"/>
                <w:sz w:val="19"/>
                <w:szCs w:val="19"/>
                <w:color w:val="auto"/>
              </w:rPr>
              <w:t>Date of Grant</w:t>
            </w:r>
          </w:p>
        </w:tc>
        <w:tc>
          <w:tcPr>
            <w:tcW w:w="5480" w:type="dxa"/>
            <w:vAlign w:val="bottom"/>
            <w:tcBorders>
              <w:top w:val="single" w:sz="8" w:color="auto"/>
              <w:right w:val="single" w:sz="8" w:color="auto"/>
            </w:tcBorders>
            <w:gridSpan w:val="3"/>
          </w:tcPr>
          <w:p>
            <w:pPr>
              <w:ind w:left="1760"/>
              <w:spacing w:after="0" w:line="206" w:lineRule="exact"/>
              <w:rPr>
                <w:sz w:val="20"/>
                <w:szCs w:val="20"/>
                <w:color w:val="auto"/>
              </w:rPr>
            </w:pPr>
            <w:r>
              <w:rPr>
                <w:rFonts w:ascii="Times New Roman" w:cs="Times New Roman" w:eastAsia="Times New Roman" w:hAnsi="Times New Roman"/>
                <w:sz w:val="19"/>
                <w:szCs w:val="19"/>
                <w:color w:val="auto"/>
              </w:rPr>
              <w:t>Designated Vesting Date*</w:t>
            </w:r>
          </w:p>
        </w:tc>
      </w:tr>
      <w:tr>
        <w:trPr>
          <w:trHeight w:val="32"/>
        </w:trPr>
        <w:tc>
          <w:tcPr>
            <w:tcW w:w="2220" w:type="dxa"/>
            <w:vAlign w:val="bottom"/>
            <w:tcBorders>
              <w:left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January 1 – March 31</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February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April 1 – June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May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July 1 – September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August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October 1 – December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November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bl>
    <w:p>
      <w:pPr>
        <w:spacing w:after="0" w:line="91" w:lineRule="exact"/>
        <w:rPr>
          <w:sz w:val="20"/>
          <w:szCs w:val="20"/>
          <w:color w:val="auto"/>
        </w:rPr>
      </w:pPr>
    </w:p>
    <w:p>
      <w:pPr>
        <w:ind w:firstLine="622"/>
        <w:spacing w:after="0" w:line="248" w:lineRule="auto"/>
        <w:tabs>
          <w:tab w:leader="none" w:pos="773"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i w:val="1"/>
          <w:iCs w:val="1"/>
          <w:color w:val="auto"/>
        </w:rPr>
        <w:t>If a Designated Vesting Date falls on a weekend, federal holiday or any other day the Nasdaq Global Market is closed for trading, such Designated Vesting Date will become the next active trading day of the Company’s common stock.</w:t>
      </w:r>
    </w:p>
    <w:p>
      <w:pPr>
        <w:spacing w:after="0" w:line="195" w:lineRule="exact"/>
        <w:rPr>
          <w:sz w:val="20"/>
          <w:szCs w:val="20"/>
          <w:color w:val="auto"/>
        </w:rPr>
      </w:pPr>
    </w:p>
    <w:p>
      <w:pPr>
        <w:jc w:val="both"/>
        <w:ind w:firstLine="622"/>
        <w:spacing w:after="0" w:line="220" w:lineRule="auto"/>
        <w:tabs>
          <w:tab w:leader="none" w:pos="131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employment or service terminates on account of the Participant’s death, Disability or on account of a termination by the Employer without Cause (for clarity, without Cause shall include termination or job elimination due to a reduction in force) or by the Participant for Good Reason (if applicable), in each case before the last Vesting Date, any unvested Stock Units shall become fully vested upon such termination of employment or service.</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3"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is not the surviving corporation (or survives only as a subsidiary of another corporation) as a result of a Change of Control and the surviving corporation (or a parent or subsidiary of the surviving corporation) does not assume or replace the Stock Units with an award with comparable terms, and the Participant is employed by, or providing services to, the Employer on the date of the Change of Control, any unvested Stock Units shall become fully vested upon the date of the Change of Control.</w:t>
      </w:r>
    </w:p>
    <w:p>
      <w:pPr>
        <w:spacing w:after="0" w:line="145" w:lineRule="exact"/>
        <w:rPr>
          <w:rFonts w:ascii="Times New Roman" w:cs="Times New Roman" w:eastAsia="Times New Roman" w:hAnsi="Times New Roman"/>
          <w:sz w:val="21"/>
          <w:szCs w:val="21"/>
          <w:color w:val="auto"/>
        </w:rPr>
      </w:pPr>
    </w:p>
    <w:p>
      <w:pPr>
        <w:jc w:val="both"/>
        <w:ind w:firstLine="622"/>
        <w:spacing w:after="0" w:line="213" w:lineRule="auto"/>
        <w:tabs>
          <w:tab w:leader="none" w:pos="123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the Participant’s employment or service will be deemed to terminate on the date that the Participant ceases to be actively employed by, or providing services to, the Employer and shall not be extended by any notice period mandated or implied under local law (i) during or for which the Participant receives pay in lieu of notice or severance pay or is on garden or similar leave or (ii) during which the Participant remains employed or providing services, but is not actively working. The Company shall have the sole discretion to determine when the Participant is no longer in active employment or service for purposes of this Agreement, without reference to any other agreement, written or oral, including the Participant’s contract of employment or service.</w:t>
      </w:r>
    </w:p>
    <w:p>
      <w:pPr>
        <w:spacing w:after="0" w:line="149" w:lineRule="exact"/>
        <w:rPr>
          <w:rFonts w:ascii="Times New Roman" w:cs="Times New Roman" w:eastAsia="Times New Roman" w:hAnsi="Times New Roman"/>
          <w:sz w:val="21"/>
          <w:szCs w:val="21"/>
          <w:color w:val="auto"/>
        </w:rPr>
      </w:pPr>
    </w:p>
    <w:p>
      <w:pPr>
        <w:jc w:val="both"/>
        <w:ind w:firstLine="3"/>
        <w:spacing w:after="0" w:line="220" w:lineRule="auto"/>
        <w:tabs>
          <w:tab w:leader="none" w:pos="61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Stock Units</w:t>
      </w:r>
      <w:r>
        <w:rPr>
          <w:rFonts w:ascii="Times New Roman" w:cs="Times New Roman" w:eastAsia="Times New Roman" w:hAnsi="Times New Roman"/>
          <w:sz w:val="21"/>
          <w:szCs w:val="21"/>
          <w:color w:val="auto"/>
        </w:rPr>
        <w:t>. If the Participant ceases to be employed by, or provide service to, the Employer for any reason, except for the reasons included in Section 3(c) or 3(d) above,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4.</w:t>
      </w:r>
    </w:p>
    <w:p>
      <w:pPr>
        <w:spacing w:after="0" w:line="14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Stock Units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firstLine="622"/>
        <w:spacing w:after="0" w:line="235" w:lineRule="auto"/>
        <w:tabs>
          <w:tab w:leader="none" w:pos="123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when the Stock Units vest in accordance with Section 3, the Company shall issue to the Participant one share of Company Stock for each vested Stock Unit, subject to</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33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1"/>
          <w:szCs w:val="21"/>
          <w:color w:val="auto"/>
        </w:rPr>
        <w:t>applicable Withholding Taxes (as defined below). Payment shall be made within 30 days after the applicable vesting date.</w:t>
      </w:r>
    </w:p>
    <w:p>
      <w:pPr>
        <w:spacing w:after="0" w:line="171" w:lineRule="exact"/>
        <w:rPr>
          <w:sz w:val="20"/>
          <w:szCs w:val="20"/>
          <w:color w:val="auto"/>
        </w:rPr>
      </w:pPr>
    </w:p>
    <w:p>
      <w:pPr>
        <w:jc w:val="both"/>
        <w:ind w:firstLine="622"/>
        <w:spacing w:after="0" w:line="210" w:lineRule="auto"/>
        <w:tabs>
          <w:tab w:leader="none" w:pos="123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under this Agreement shall be subject to the rights of the Employer as set forth in the Plan to withhold amounts required by law to be withheld, collected or accounted for with respect to any income tax (including U.S. federal, state, and local tax and/or foreign income tax), employment tax (including FICA), payroll tax, social security tax, social insurance, national insurance and other contributions, payment on account obligations, national and local tax or other amounts required to be withheld, collected or accounted for by the Employer in connection with any taxable event with respect to the payment of the Stock Units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The Participant irrevocably (i) has elected, as of the Date of Grant, to sell shares of Company Stock in an amount having an aggregate Fair Market Value equal to the Withholding Taxes, and to allow the Company’s designated broker (the “</w:t>
      </w:r>
      <w:r>
        <w:rPr>
          <w:rFonts w:ascii="Times New Roman" w:cs="Times New Roman" w:eastAsia="Times New Roman" w:hAnsi="Times New Roman"/>
          <w:sz w:val="21"/>
          <w:szCs w:val="21"/>
          <w:u w:val="single" w:color="auto"/>
          <w:color w:val="auto"/>
        </w:rPr>
        <w:t>Broker</w:t>
      </w:r>
      <w:r>
        <w:rPr>
          <w:rFonts w:ascii="Times New Roman" w:cs="Times New Roman" w:eastAsia="Times New Roman" w:hAnsi="Times New Roman"/>
          <w:sz w:val="21"/>
          <w:szCs w:val="21"/>
          <w:color w:val="auto"/>
        </w:rPr>
        <w:t>”) to remit the cash proceeds of such sale to the Employer (a “</w:t>
      </w:r>
      <w:r>
        <w:rPr>
          <w:rFonts w:ascii="Times New Roman" w:cs="Times New Roman" w:eastAsia="Times New Roman" w:hAnsi="Times New Roman"/>
          <w:sz w:val="21"/>
          <w:szCs w:val="21"/>
          <w:u w:val="single" w:color="auto"/>
          <w:color w:val="auto"/>
        </w:rPr>
        <w:t>Sell to Cover</w:t>
      </w:r>
      <w:r>
        <w:rPr>
          <w:rFonts w:ascii="Times New Roman" w:cs="Times New Roman" w:eastAsia="Times New Roman" w:hAnsi="Times New Roman"/>
          <w:sz w:val="21"/>
          <w:szCs w:val="21"/>
          <w:color w:val="auto"/>
        </w:rPr>
        <w:t>”) and (ii) directs the Employer to make a cash payment to satisfy the Withholding Taxes from the cash proceeds of such sale directly to the appropriate taxing authorities. To the extent the Sell to Cover does not cover all Withholding Taxes due, the Participant shall be required to pay to the Employer, or make other arrangements satisfactory to the Employer to provide for the payment of, any Withholding Taxes that the Employer is required to withhold with respect to the Stock Units.</w:t>
      </w:r>
    </w:p>
    <w:p>
      <w:pPr>
        <w:spacing w:after="0" w:line="145" w:lineRule="exact"/>
        <w:rPr>
          <w:rFonts w:ascii="Times New Roman" w:cs="Times New Roman" w:eastAsia="Times New Roman" w:hAnsi="Times New Roman"/>
          <w:sz w:val="21"/>
          <w:szCs w:val="21"/>
          <w:color w:val="auto"/>
        </w:rPr>
      </w:pPr>
    </w:p>
    <w:p>
      <w:pPr>
        <w:jc w:val="both"/>
        <w:ind w:firstLine="622"/>
        <w:spacing w:after="0" w:line="222" w:lineRule="auto"/>
        <w:tabs>
          <w:tab w:leader="none" w:pos="12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Regardless of any action the Employer takes with respect to any such Withholding Taxes, the Participant acknowledges that the ultimate liability for all such Withholding Taxes legally due by the Participant is and remains the Participant’s responsibility and may exceed the amount withheld by the Employer. The Participant further acknowledges that the Employer (i) makes no representations or undertakings regarding the treatment of any Withholding Taxes in connection with any aspect of the Stock Units, including the grant, vesting or payment of the Stock Units and the subsequent sale of any shares of Company Stock acquired upon payment of the Stock Units and (ii) does not commit to, and is under no obligation to, structure the terms of the grant or any aspect of the Stock Units to reduce or eliminate the Participant’s liability for Withholding Taxes. Further, if the Participant has become subject to tax in more than one jurisdiction between the date of grant and the date of any relevant taxable event, then the Participant acknowledges that the Employer may be required to collect, withhold or account for Withholding Taxes in more than one jurisdiction.</w:t>
      </w:r>
    </w:p>
    <w:p>
      <w:pPr>
        <w:spacing w:after="0" w:line="148" w:lineRule="exact"/>
        <w:rPr>
          <w:rFonts w:ascii="Times New Roman" w:cs="Times New Roman" w:eastAsia="Times New Roman" w:hAnsi="Times New Roman"/>
          <w:sz w:val="20"/>
          <w:szCs w:val="20"/>
          <w:color w:val="auto"/>
        </w:rPr>
      </w:pPr>
    </w:p>
    <w:p>
      <w:pPr>
        <w:jc w:val="both"/>
        <w:ind w:firstLine="622"/>
        <w:spacing w:after="0" w:line="211" w:lineRule="auto"/>
        <w:tabs>
          <w:tab w:leader="none" w:pos="123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participation in the Plan and the grant of the Stock Units, the Participant hereby agrees to accept all liability for and pay all secondary Class 1 National Insurance Contributions which would otherwise be payable by the Company (or any successor or any subsidiary employing or retaining or previously employing or retaining the Participant) with respect to the payment of the Stock Units or any other event giving rise to taxation in respect of the Stock Units (the “Employer NICs”). The Participant agrees that to the extent requested by the Company, the Participant will execute, within the time period specified by the Company, a joint election, and any other consent or elections required to effect the transfer of the Employer NICs. The Participant further agrees to execute such other joint elections as may be required between the Participant and any successor to the Company and/or the Participant’s employer. The Participant further agrees that the Company and/or the Participant’s employer may collect the Employer NICs by any of the means set forth in this Agreement.</w:t>
      </w:r>
    </w:p>
    <w:p>
      <w:pPr>
        <w:spacing w:after="0" w:line="151" w:lineRule="exact"/>
        <w:rPr>
          <w:rFonts w:ascii="Times New Roman" w:cs="Times New Roman" w:eastAsia="Times New Roman" w:hAnsi="Times New Roman"/>
          <w:sz w:val="21"/>
          <w:szCs w:val="21"/>
          <w:color w:val="auto"/>
        </w:rPr>
      </w:pPr>
    </w:p>
    <w:p>
      <w:pPr>
        <w:ind w:firstLine="622"/>
        <w:spacing w:after="0" w:line="254" w:lineRule="auto"/>
        <w:tabs>
          <w:tab w:leader="none" w:pos="12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indemnifies the Company and the Employer for any Withholding Taxes that may be payable with respect to the full number of shares of Company Stock vested and issued (including those shares of Company Stock that are deemed issued).</w:t>
      </w:r>
    </w:p>
    <w:p>
      <w:pPr>
        <w:spacing w:after="0" w:line="132" w:lineRule="exact"/>
        <w:rPr>
          <w:rFonts w:ascii="Times New Roman" w:cs="Times New Roman" w:eastAsia="Times New Roman" w:hAnsi="Times New Roman"/>
          <w:sz w:val="20"/>
          <w:szCs w:val="20"/>
          <w:color w:val="auto"/>
        </w:rPr>
      </w:pPr>
    </w:p>
    <w:p>
      <w:pPr>
        <w:ind w:firstLine="622"/>
        <w:spacing w:after="0" w:line="235" w:lineRule="auto"/>
        <w:tabs>
          <w:tab w:leader="none" w:pos="123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of the Company to deliver Company Stock following vesting of the Stock Units shall be subject to all applicable laws, rules, and regulations and such approvals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339" w:right="339" w:bottom="1440" w:gutter="0" w:footer="0" w:header="0"/>
        </w:sectPr>
      </w:pPr>
    </w:p>
    <w:bookmarkStart w:id="87" w:name="page88"/>
    <w:bookmarkEnd w:id="87"/>
    <w:p>
      <w:pPr>
        <w:spacing w:after="0" w:line="235" w:lineRule="auto"/>
        <w:rPr>
          <w:sz w:val="20"/>
          <w:szCs w:val="20"/>
          <w:color w:val="auto"/>
        </w:rPr>
      </w:pPr>
      <w:r>
        <w:rPr>
          <w:rFonts w:ascii="Times New Roman" w:cs="Times New Roman" w:eastAsia="Times New Roman" w:hAnsi="Times New Roman"/>
          <w:sz w:val="21"/>
          <w:szCs w:val="21"/>
          <w:color w:val="auto"/>
        </w:rPr>
        <w:t>by governmental agencies as may be deemed appropriate by the Committee, including such actions as Company counsel shall deem necessary or appropriate to comply with relevant securities laws and regulations.</w:t>
      </w:r>
    </w:p>
    <w:p>
      <w:pPr>
        <w:spacing w:after="0" w:line="146" w:lineRule="exact"/>
        <w:rPr>
          <w:sz w:val="20"/>
          <w:szCs w:val="20"/>
          <w:color w:val="auto"/>
        </w:rPr>
      </w:pPr>
    </w:p>
    <w:p>
      <w:pPr>
        <w:jc w:val="both"/>
        <w:ind w:firstLine="3"/>
        <w:spacing w:after="0" w:line="220" w:lineRule="auto"/>
        <w:tabs>
          <w:tab w:leader="none" w:pos="61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w:t>
      </w:r>
      <w:r>
        <w:rPr>
          <w:rFonts w:ascii="Times New Roman" w:cs="Times New Roman" w:eastAsia="Times New Roman" w:hAnsi="Times New Roman"/>
          <w:sz w:val="21"/>
          <w:szCs w:val="21"/>
          <w:color w:val="auto"/>
        </w:rPr>
        <w:t>. Neither the Participant, nor any person entitled to receive payment in the event of the Participant’s death, shall have any of the rights and privileges of a stockholder with respect to shares of Company Stock, including voting, dividend rights or dividend equivalent rights, until certificates for shares have been issued upon payment of Stock Units. The Participant acknowledges that no election under Section 83(b) of the Code is available with respect to Stock Units.</w:t>
      </w:r>
    </w:p>
    <w:p>
      <w:pPr>
        <w:spacing w:after="0" w:line="145" w:lineRule="exact"/>
        <w:rPr>
          <w:rFonts w:ascii="Times New Roman" w:cs="Times New Roman" w:eastAsia="Times New Roman" w:hAnsi="Times New Roman"/>
          <w:sz w:val="21"/>
          <w:szCs w:val="21"/>
          <w:color w:val="auto"/>
        </w:rPr>
      </w:pPr>
    </w:p>
    <w:p>
      <w:pPr>
        <w:jc w:val="both"/>
        <w:ind w:firstLine="3"/>
        <w:spacing w:after="0" w:line="224" w:lineRule="auto"/>
        <w:tabs>
          <w:tab w:leader="none" w:pos="61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Subject to Plan Provisions</w:t>
      </w:r>
      <w:r>
        <w:rPr>
          <w:rFonts w:ascii="Times New Roman" w:cs="Times New Roman" w:eastAsia="Times New Roman" w:hAnsi="Times New Roman"/>
          <w:sz w:val="20"/>
          <w:szCs w:val="20"/>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147" w:lineRule="exact"/>
        <w:rPr>
          <w:rFonts w:ascii="Times New Roman" w:cs="Times New Roman" w:eastAsia="Times New Roman" w:hAnsi="Times New Roman"/>
          <w:sz w:val="20"/>
          <w:szCs w:val="20"/>
          <w:color w:val="auto"/>
        </w:rPr>
      </w:pPr>
    </w:p>
    <w:p>
      <w:pPr>
        <w:jc w:val="both"/>
        <w:ind w:firstLine="3"/>
        <w:spacing w:after="0" w:line="217" w:lineRule="auto"/>
        <w:tabs>
          <w:tab w:leader="none" w:pos="61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Employment or Other Rights</w:t>
      </w:r>
      <w:r>
        <w:rPr>
          <w:rFonts w:ascii="Times New Roman" w:cs="Times New Roman" w:eastAsia="Times New Roman" w:hAnsi="Times New Roman"/>
          <w:sz w:val="21"/>
          <w:szCs w:val="21"/>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Subject to the terms of any employment agreement between the Participant and the Employer and applicable law, the right of any Employer to terminate at will the Participant’s employment or service at any time for any reason is specifically reserved.</w:t>
      </w:r>
    </w:p>
    <w:p>
      <w:pPr>
        <w:spacing w:after="0" w:line="145" w:lineRule="exact"/>
        <w:rPr>
          <w:rFonts w:ascii="Times New Roman" w:cs="Times New Roman" w:eastAsia="Times New Roman" w:hAnsi="Times New Roman"/>
          <w:sz w:val="21"/>
          <w:szCs w:val="21"/>
          <w:color w:val="auto"/>
        </w:rPr>
      </w:pPr>
    </w:p>
    <w:p>
      <w:pPr>
        <w:jc w:val="both"/>
        <w:ind w:firstLine="3"/>
        <w:spacing w:after="0" w:line="212" w:lineRule="auto"/>
        <w:tabs>
          <w:tab w:leader="none" w:pos="61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Transfers</w:t>
      </w:r>
      <w:r>
        <w:rPr>
          <w:rFonts w:ascii="Times New Roman" w:cs="Times New Roman" w:eastAsia="Times New Roman" w:hAnsi="Times New Roman"/>
          <w:sz w:val="21"/>
          <w:szCs w:val="21"/>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49" w:lineRule="exact"/>
        <w:rPr>
          <w:rFonts w:ascii="Times New Roman" w:cs="Times New Roman" w:eastAsia="Times New Roman" w:hAnsi="Times New Roman"/>
          <w:sz w:val="21"/>
          <w:szCs w:val="21"/>
          <w:color w:val="auto"/>
        </w:rPr>
      </w:pPr>
    </w:p>
    <w:p>
      <w:pPr>
        <w:jc w:val="both"/>
        <w:ind w:firstLine="3"/>
        <w:spacing w:after="0" w:line="213" w:lineRule="auto"/>
        <w:tabs>
          <w:tab w:leader="none" w:pos="61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Applicable Law; Jurisdiction</w:t>
      </w:r>
      <w:r>
        <w:rPr>
          <w:rFonts w:ascii="Times New Roman" w:cs="Times New Roman" w:eastAsia="Times New Roman" w:hAnsi="Times New Roman"/>
          <w:sz w:val="21"/>
          <w:szCs w:val="21"/>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 foregoing sentence, on and after the date a Participant receives shares of Company Stock hereunder, the Participant will be subject to the jurisdiction provision set forth in the Company’s bylaws.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339" w:right="339" w:bottom="1440" w:gutter="0" w:footer="0" w:header="0"/>
        </w:sectPr>
      </w:pPr>
    </w:p>
    <w:bookmarkStart w:id="88" w:name="page89"/>
    <w:bookmarkEnd w:id="88"/>
    <w:p>
      <w:pPr>
        <w:jc w:val="both"/>
        <w:ind w:firstLine="3"/>
        <w:spacing w:after="0" w:line="215" w:lineRule="auto"/>
        <w:tabs>
          <w:tab w:leader="none" w:pos="61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to the Company provided for in this instrument shall be addressed to the Company in care of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45" w:lineRule="exact"/>
        <w:rPr>
          <w:rFonts w:ascii="Times New Roman" w:cs="Times New Roman" w:eastAsia="Times New Roman" w:hAnsi="Times New Roman"/>
          <w:sz w:val="21"/>
          <w:szCs w:val="21"/>
          <w:color w:val="auto"/>
        </w:rPr>
      </w:pPr>
    </w:p>
    <w:p>
      <w:pPr>
        <w:jc w:val="both"/>
        <w:ind w:firstLine="3"/>
        <w:spacing w:after="0" w:line="217" w:lineRule="auto"/>
        <w:tabs>
          <w:tab w:leader="none" w:pos="61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Policies</w:t>
      </w:r>
      <w:r>
        <w:rPr>
          <w:rFonts w:ascii="Times New Roman" w:cs="Times New Roman" w:eastAsia="Times New Roman" w:hAnsi="Times New Roman"/>
          <w:sz w:val="21"/>
          <w:szCs w:val="21"/>
          <w:color w:val="auto"/>
        </w:rPr>
        <w:t>. The Participant agrees that payment to the Participant shall be made in such manner and on such terms and conditions as may be required by the Committee and the Employer shall be entitled to set off against the amount of any such payment any amounts otherwise owed to the Participant by the Employer, to the extent permitted by applicable law. In addition, the Participant agrees that the Stock Units shall be subject to any applicable clawback or recoupment policies, share trading policies and other policies that may be implemented by the Board or imposed under applicable rule or regulation from time to time.</w:t>
      </w:r>
    </w:p>
    <w:p>
      <w:pPr>
        <w:spacing w:after="0" w:line="145" w:lineRule="exact"/>
        <w:rPr>
          <w:rFonts w:ascii="Times New Roman" w:cs="Times New Roman" w:eastAsia="Times New Roman" w:hAnsi="Times New Roman"/>
          <w:sz w:val="21"/>
          <w:szCs w:val="21"/>
          <w:color w:val="auto"/>
        </w:rPr>
      </w:pPr>
    </w:p>
    <w:p>
      <w:pPr>
        <w:jc w:val="both"/>
        <w:ind w:firstLine="3"/>
        <w:spacing w:after="0" w:line="225" w:lineRule="auto"/>
        <w:tabs>
          <w:tab w:leader="none" w:pos="61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Section 409A of the Code</w:t>
      </w:r>
      <w:r>
        <w:rPr>
          <w:rFonts w:ascii="Times New Roman" w:cs="Times New Roman" w:eastAsia="Times New Roman" w:hAnsi="Times New Roman"/>
          <w:sz w:val="21"/>
          <w:szCs w:val="21"/>
          <w:color w:val="auto"/>
        </w:rPr>
        <w:t>. 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145" w:lineRule="exact"/>
        <w:rPr>
          <w:rFonts w:ascii="Times New Roman" w:cs="Times New Roman" w:eastAsia="Times New Roman" w:hAnsi="Times New Roman"/>
          <w:sz w:val="21"/>
          <w:szCs w:val="21"/>
          <w:color w:val="auto"/>
        </w:rPr>
      </w:pPr>
    </w:p>
    <w:p>
      <w:pPr>
        <w:ind w:firstLine="3"/>
        <w:spacing w:after="0" w:line="235" w:lineRule="auto"/>
        <w:tabs>
          <w:tab w:leader="none" w:pos="61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Entitlement or Claims for Compensation.</w:t>
      </w:r>
      <w:r>
        <w:rPr>
          <w:rFonts w:ascii="Times New Roman" w:cs="Times New Roman" w:eastAsia="Times New Roman" w:hAnsi="Times New Roman"/>
          <w:sz w:val="21"/>
          <w:szCs w:val="21"/>
          <w:color w:val="auto"/>
        </w:rPr>
        <w:t xml:space="preserve"> In connection with the acceptance of the grant of the Stock Units under this Agreement, the Participant acknowledges the following:</w:t>
      </w:r>
    </w:p>
    <w:p>
      <w:pPr>
        <w:spacing w:after="0" w:line="145" w:lineRule="exact"/>
        <w:rPr>
          <w:rFonts w:ascii="Times New Roman" w:cs="Times New Roman" w:eastAsia="Times New Roman" w:hAnsi="Times New Roman"/>
          <w:sz w:val="21"/>
          <w:szCs w:val="21"/>
          <w:color w:val="auto"/>
        </w:rPr>
      </w:pPr>
    </w:p>
    <w:p>
      <w:pPr>
        <w:ind w:firstLine="622"/>
        <w:spacing w:after="0" w:line="235" w:lineRule="auto"/>
        <w:tabs>
          <w:tab w:leader="none" w:pos="123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the grant of the Stock Units under the Plan is made at the discretion of the Committee and the Plan may be modified, amended, suspended or terminated by the Company at any time;</w:t>
      </w:r>
    </w:p>
    <w:p>
      <w:pPr>
        <w:spacing w:after="0" w:line="145" w:lineRule="exact"/>
        <w:rPr>
          <w:rFonts w:ascii="Times New Roman" w:cs="Times New Roman" w:eastAsia="Times New Roman" w:hAnsi="Times New Roman"/>
          <w:sz w:val="21"/>
          <w:szCs w:val="21"/>
          <w:color w:val="auto"/>
        </w:rPr>
      </w:pPr>
    </w:p>
    <w:p>
      <w:pPr>
        <w:ind w:firstLine="622"/>
        <w:spacing w:after="0" w:line="254" w:lineRule="auto"/>
        <w:tabs>
          <w:tab w:leader="none" w:pos="1233"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Stock Units under the Plan is voluntary and occasional and does not create any contractual or other right to receive future grants of equity awards, or benefits in lieu of them, even if equity awards have been granted repeatedly in the past;</w:t>
      </w:r>
    </w:p>
    <w:p>
      <w:pPr>
        <w:spacing w:after="0" w:line="132" w:lineRule="exact"/>
        <w:rPr>
          <w:rFonts w:ascii="Times New Roman" w:cs="Times New Roman" w:eastAsia="Times New Roman" w:hAnsi="Times New Roman"/>
          <w:sz w:val="20"/>
          <w:szCs w:val="20"/>
          <w:color w:val="auto"/>
        </w:rPr>
      </w:pPr>
    </w:p>
    <w:p>
      <w:pPr>
        <w:ind w:left="1240" w:hanging="618"/>
        <w:spacing w:after="0"/>
        <w:tabs>
          <w:tab w:leader="none" w:pos="124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grants of awards, if any, will be at the sole discretion of the Committee;</w:t>
      </w:r>
    </w:p>
    <w:p>
      <w:pPr>
        <w:spacing w:after="0" w:line="171"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is voluntarily participating in the Plan;</w:t>
      </w:r>
    </w:p>
    <w:p>
      <w:pPr>
        <w:spacing w:after="0" w:line="171" w:lineRule="exact"/>
        <w:rPr>
          <w:rFonts w:ascii="Times New Roman" w:cs="Times New Roman" w:eastAsia="Times New Roman" w:hAnsi="Times New Roman"/>
          <w:sz w:val="21"/>
          <w:szCs w:val="21"/>
          <w:color w:val="auto"/>
        </w:rPr>
      </w:pPr>
    </w:p>
    <w:p>
      <w:pPr>
        <w:jc w:val="both"/>
        <w:ind w:firstLine="622"/>
        <w:spacing w:after="0" w:line="225" w:lineRule="auto"/>
        <w:tabs>
          <w:tab w:leader="none" w:pos="1234"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Units and any shares of Company Stock acquired under the Plan are extraordinary items that do not constitute compensation of any kind for services of any kind rendered to the Employer or any affiliate and which are outside the scope of the Participant’s employment contract, if any;</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7"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Units and any shares of Company Stock acquired under the Plan are not to be considered part of the Participant’s normal or expected compensation or salary for any purpose, including, but not limited to, calculating any severance, resignation, termination, payment in lieu of notice, redundancy, end of service payments, bonuses, long-service awards, pension or retirement or welfare benefits or similar payments;</w:t>
      </w:r>
    </w:p>
    <w:p>
      <w:pPr>
        <w:spacing w:after="0" w:line="145" w:lineRule="exact"/>
        <w:rPr>
          <w:rFonts w:ascii="Times New Roman" w:cs="Times New Roman" w:eastAsia="Times New Roman" w:hAnsi="Times New Roman"/>
          <w:sz w:val="21"/>
          <w:szCs w:val="21"/>
          <w:color w:val="auto"/>
        </w:rPr>
      </w:pPr>
    </w:p>
    <w:p>
      <w:pPr>
        <w:ind w:firstLine="622"/>
        <w:spacing w:after="0" w:line="235" w:lineRule="auto"/>
        <w:tabs>
          <w:tab w:leader="none" w:pos="123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Units and the shares of Company Stock underlying the Stock Units are not intended to replace any pension rights or compensation;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339" w:right="339" w:bottom="1440" w:gutter="0" w:footer="0" w:header="0"/>
        </w:sectPr>
      </w:pPr>
    </w:p>
    <w:bookmarkStart w:id="89" w:name="page90"/>
    <w:bookmarkEnd w:id="89"/>
    <w:p>
      <w:pPr>
        <w:ind w:firstLine="622"/>
        <w:spacing w:after="0" w:line="235" w:lineRule="auto"/>
        <w:tabs>
          <w:tab w:leader="none" w:pos="123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Stock Units and the Participant’s participation in the Plan will not be interpreted to form an employment contract or relationship with the Employer;</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2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of Company Stock underlying the Stock Units is unknown and cannot be predicted with certainty. If the Stock Units are paid pursuant to this Agreement, the value of the acquired shares of Company Stock may increase or decrease;</w:t>
      </w:r>
    </w:p>
    <w:p>
      <w:pPr>
        <w:spacing w:after="0" w:line="145" w:lineRule="exact"/>
        <w:rPr>
          <w:rFonts w:ascii="Times New Roman" w:cs="Times New Roman" w:eastAsia="Times New Roman" w:hAnsi="Times New Roman"/>
          <w:sz w:val="21"/>
          <w:szCs w:val="21"/>
          <w:color w:val="auto"/>
        </w:rPr>
      </w:pPr>
    </w:p>
    <w:p>
      <w:pPr>
        <w:jc w:val="both"/>
        <w:ind w:firstLine="622"/>
        <w:spacing w:after="0" w:line="225" w:lineRule="auto"/>
        <w:tabs>
          <w:tab w:leader="none" w:pos="122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understands that the Company is not responsible for any foreign exchange fluctuation between the United States Dollar and the Participant’s local currency that may affect the value of the Stock Units or the underlying shares of Company Stock;</w:t>
      </w:r>
    </w:p>
    <w:p>
      <w:pPr>
        <w:spacing w:after="0" w:line="145"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have no rights, claim or entitlement to compensation or damages as a result of the Participant’s cessation of employment or service for any reason whatsoever, whether or not in breach of contract or local labor law, insofar as these rights, claim or entitlement arise or may arise from the Participant’s ceasing to have rights under or be entitled to the Stock Units as a result of such cessation or loss or diminution in value of the Stock Units or any of the shares received upon payment of the Stock Units as a result of such cessation, and the Participant irrevocably releases his or her Employer from any such rights, entitlement or claim that may arise. If, notwithstanding the foregoing, any such right or claim is found by a court of competent jurisdiction to have arisen, then, by signing this Agreement, the Participant shall be deemed to have irrevocably waived his or her entitlement to pursue such rights or claim; and</w:t>
      </w:r>
    </w:p>
    <w:p>
      <w:pPr>
        <w:spacing w:after="0" w:line="149" w:lineRule="exact"/>
        <w:rPr>
          <w:rFonts w:ascii="Times New Roman" w:cs="Times New Roman" w:eastAsia="Times New Roman" w:hAnsi="Times New Roman"/>
          <w:sz w:val="21"/>
          <w:szCs w:val="21"/>
          <w:color w:val="auto"/>
        </w:rPr>
      </w:pPr>
    </w:p>
    <w:p>
      <w:pPr>
        <w:jc w:val="both"/>
        <w:ind w:firstLine="622"/>
        <w:spacing w:after="0" w:line="217" w:lineRule="auto"/>
        <w:tabs>
          <w:tab w:leader="none" w:pos="1226"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has no right to compensation or damages on account of any loss in respect of the Stock Units where the loss arises or is claimed to arise in whole or part from: (i) the termination of Participant’s office or employment; or (ii) notice to terminate Participant’s office or employment. This exclusion of liability shall apply however termination of office or employment, or the giving of notice, is caused, and however compensation or damages are claimed. For the purpose of the Plan, the implied duty of trust and confidence is expressly excluded.</w:t>
      </w:r>
    </w:p>
    <w:p>
      <w:pPr>
        <w:spacing w:after="0" w:line="141"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Privacy</w:t>
      </w:r>
      <w:r>
        <w:rPr>
          <w:rFonts w:ascii="Times New Roman" w:cs="Times New Roman" w:eastAsia="Times New Roman" w:hAnsi="Times New Roman"/>
          <w:sz w:val="21"/>
          <w:szCs w:val="21"/>
          <w:b w:val="1"/>
          <w:bCs w:val="1"/>
          <w:color w:val="auto"/>
        </w:rPr>
        <w:t>.</w:t>
      </w:r>
    </w:p>
    <w:p>
      <w:pPr>
        <w:spacing w:after="0" w:line="171" w:lineRule="exact"/>
        <w:rPr>
          <w:rFonts w:ascii="Times New Roman" w:cs="Times New Roman" w:eastAsia="Times New Roman" w:hAnsi="Times New Roman"/>
          <w:sz w:val="21"/>
          <w:szCs w:val="21"/>
          <w:color w:val="auto"/>
        </w:rPr>
      </w:pPr>
    </w:p>
    <w:p>
      <w:pPr>
        <w:jc w:val="both"/>
        <w:ind w:firstLine="622"/>
        <w:spacing w:after="0" w:line="221" w:lineRule="auto"/>
        <w:tabs>
          <w:tab w:leader="none" w:pos="123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Participant hereby acknowledges and understands the collection, use, disclosure and transfer, in electronic or other form, of his or her personal data as described in this Agreement by and among, as applicable, his or her employer, the Company and its affiliates for the exclusive purpose of implementing, administering and managing his or her participation in the Plan.</w:t>
      </w:r>
    </w:p>
    <w:p>
      <w:pPr>
        <w:spacing w:after="0" w:line="141" w:lineRule="exact"/>
        <w:rPr>
          <w:rFonts w:ascii="Times New Roman" w:cs="Times New Roman" w:eastAsia="Times New Roman" w:hAnsi="Times New Roman"/>
          <w:sz w:val="21"/>
          <w:szCs w:val="21"/>
          <w:color w:val="auto"/>
        </w:rPr>
      </w:pPr>
    </w:p>
    <w:p>
      <w:pPr>
        <w:jc w:val="both"/>
        <w:ind w:firstLine="622"/>
        <w:spacing w:after="0" w:line="214" w:lineRule="auto"/>
        <w:tabs>
          <w:tab w:leader="none" w:pos="1233"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Participant understands that the Company and its affiliates (including his or her employer), as applicable, hold certain personal information about him or her regarding the Participant’s employment, the nature and amount of the Participant’s compensation and the fact and conditions of the Participant’s participation in the Plan, including, but not limited to, his or her name, home address, telephone number and e-mail address, date of birth, social insurance number or other identification number, salary, nationality, job title, any equity or directorships held in the Company and its affiliates, details of all stock units or any other entitlement to equity awarded, canceled, exercised, vested, unvested or outstanding in his or her favor, for the purpose of implementing, administering and managing the Plan (the “</w:t>
      </w:r>
      <w:r>
        <w:rPr>
          <w:rFonts w:ascii="Times New Roman" w:cs="Times New Roman" w:eastAsia="Times New Roman" w:hAnsi="Times New Roman"/>
          <w:sz w:val="21"/>
          <w:szCs w:val="21"/>
          <w:b w:val="1"/>
          <w:bCs w:val="1"/>
          <w:u w:val="single" w:color="auto"/>
          <w:color w:val="auto"/>
        </w:rPr>
        <w:t>Data</w:t>
      </w:r>
      <w:r>
        <w:rPr>
          <w:rFonts w:ascii="Times New Roman" w:cs="Times New Roman" w:eastAsia="Times New Roman" w:hAnsi="Times New Roman"/>
          <w:sz w:val="21"/>
          <w:szCs w:val="21"/>
          <w:b w:val="1"/>
          <w:bCs w:val="1"/>
          <w:color w:val="auto"/>
        </w:rPr>
        <w:t>”).</w:t>
      </w:r>
    </w:p>
    <w:p>
      <w:pPr>
        <w:spacing w:after="0" w:line="142" w:lineRule="exact"/>
        <w:rPr>
          <w:rFonts w:ascii="Times New Roman" w:cs="Times New Roman" w:eastAsia="Times New Roman" w:hAnsi="Times New Roman"/>
          <w:sz w:val="21"/>
          <w:szCs w:val="21"/>
          <w:color w:val="auto"/>
        </w:rPr>
      </w:pPr>
    </w:p>
    <w:p>
      <w:pPr>
        <w:jc w:val="both"/>
        <w:ind w:firstLine="622"/>
        <w:spacing w:after="0" w:line="226" w:lineRule="auto"/>
        <w:tabs>
          <w:tab w:leader="none" w:pos="123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The Participant understands that the Data may be transferred to the Company, its affiliates and any third parties assisting in the implementation, administration, and management of the Plan, that these recipients may be located in his or her country, or elsewhere, and that the recipient’s country may have a lower standard of</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339" w:right="339" w:bottom="1440" w:gutter="0" w:footer="0" w:header="0"/>
        </w:sectPr>
      </w:pPr>
    </w:p>
    <w:bookmarkStart w:id="90" w:name="page91"/>
    <w:bookmarkEnd w:id="90"/>
    <w:p>
      <w:pPr>
        <w:jc w:val="both"/>
        <w:spacing w:after="0" w:line="210" w:lineRule="auto"/>
        <w:rPr>
          <w:sz w:val="20"/>
          <w:szCs w:val="20"/>
          <w:color w:val="auto"/>
        </w:rPr>
      </w:pPr>
      <w:r>
        <w:rPr>
          <w:rFonts w:ascii="Times New Roman" w:cs="Times New Roman" w:eastAsia="Times New Roman" w:hAnsi="Times New Roman"/>
          <w:sz w:val="21"/>
          <w:szCs w:val="21"/>
          <w:b w:val="1"/>
          <w:bCs w:val="1"/>
          <w:color w:val="auto"/>
        </w:rPr>
        <w:t>data privacy laws and protections than the Participant’s country of residence. The Participant understands that he or she may request a list with the names and addresses of any potential recipients of the Data by contacting the Participant’s local human resources representative. The Participant understands that the recipients receive, possess, use, retain and transfer the Data, in electronic or other form, for the purposes of implementing, administering and managing his or her participation in the Plan, including any requisite transfer of such Data as may be required to a broker or other third party. The Participant understands that the Data will be held only as long as is necessary to implement, administer and manage his or her participation in the Plan. The Participant understands that he or she may, at any time, view the Data, request additional information about the storage and processing of the Data, require any necessary amendments to the Data, object to or request restriction of the processing of his or her Data or refuse or withdraw any consents provided to the Company herein, in any case without cost, by contacting in writing his or her local human resources representative. The Participant understands, however, that objecting to or requesting restriction of the processing of his or her Data may affect his or her ability to participate in the Plan. For more information on the processing of his or her Data and other personal data, the Participant is referred to the Privacy Notice provided to him or her by his or her employer.</w:t>
      </w:r>
    </w:p>
    <w:p>
      <w:pPr>
        <w:spacing w:after="0" w:line="171" w:lineRule="exact"/>
        <w:rPr>
          <w:sz w:val="20"/>
          <w:szCs w:val="20"/>
          <w:color w:val="auto"/>
        </w:rPr>
      </w:pPr>
    </w:p>
    <w:p>
      <w:pPr>
        <w:jc w:val="both"/>
        <w:ind w:firstLine="622"/>
        <w:spacing w:after="0" w:line="256" w:lineRule="auto"/>
        <w:tabs>
          <w:tab w:leader="none" w:pos="123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electronic acceptance, the Participant hereby accepts the award of Stock Units described in this Agreement, and agrees to be bound by the terms of the Plan and this Agreement. The Participant hereby agrees that all decisions and determinations of the Committee with respect to the Stock Units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40"/>
          </w:cols>
          <w:pgMar w:left="320" w:top="1335" w:right="33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Units Vesting</w:t>
            </w: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Vesting Date</w:t>
            </w: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1260"/>
          </w:cols>
          <w:pgMar w:left="320" w:top="1357" w:right="31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809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692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9</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119497549.2</w:t>
      </w:r>
    </w:p>
    <w:p>
      <w:pPr>
        <w:sectPr>
          <w:pgSz w:w="11900" w:h="16838" w:orient="portrait"/>
          <w:cols w:equalWidth="0" w:num="1">
            <w:col w:w="10139"/>
          </w:cols>
          <w:pgMar w:left="320" w:top="1440"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1"/>
          <w:szCs w:val="21"/>
          <w:color w:val="auto"/>
        </w:rPr>
        <w:t>December 2025 – Strategic Initiative</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U.S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90" w:type="dxa"/>
        <w:tblCellMar>
          <w:top w:w="0" w:type="dxa"/>
          <w:left w:w="0" w:type="dxa"/>
          <w:bottom w:w="0" w:type="dxa"/>
          <w:right w:w="0" w:type="dxa"/>
        </w:tblCellMar>
      </w:tblPr>
      <w:tr>
        <w:trPr>
          <w:trHeight w:val="245"/>
        </w:trPr>
        <w:tc>
          <w:tcPr>
            <w:tcW w:w="2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380" w:type="dxa"/>
            <w:vAlign w:val="bottom"/>
          </w:tcPr>
          <w:p>
            <w:pPr>
              <w:jc w:val="center"/>
              <w:ind w:right="3537"/>
              <w:spacing w:after="0"/>
              <w:rPr>
                <w:sz w:val="20"/>
                <w:szCs w:val="20"/>
                <w:color w:val="auto"/>
              </w:rPr>
            </w:pPr>
            <w:r>
              <w:rPr>
                <w:rFonts w:ascii="Times New Roman" w:cs="Times New Roman" w:eastAsia="Times New Roman" w:hAnsi="Times New Roman"/>
                <w:sz w:val="21"/>
                <w:szCs w:val="21"/>
                <w:color w:val="auto"/>
                <w:w w:val="97"/>
              </w:rPr>
              <w:t>REPLIMUNE GROUP, INC.</w:t>
            </w:r>
          </w:p>
        </w:tc>
      </w:tr>
      <w:tr>
        <w:trPr>
          <w:trHeight w:val="245"/>
        </w:trPr>
        <w:tc>
          <w:tcPr>
            <w:tcW w:w="2460" w:type="dxa"/>
            <w:vAlign w:val="bottom"/>
          </w:tcPr>
          <w:p>
            <w:pPr>
              <w:spacing w:after="0"/>
              <w:rPr>
                <w:sz w:val="21"/>
                <w:szCs w:val="21"/>
                <w:color w:val="auto"/>
              </w:rPr>
            </w:pPr>
          </w:p>
        </w:tc>
        <w:tc>
          <w:tcPr>
            <w:tcW w:w="7700" w:type="dxa"/>
            <w:vAlign w:val="bottom"/>
            <w:gridSpan w:val="2"/>
          </w:tcPr>
          <w:p>
            <w:pPr>
              <w:jc w:val="center"/>
              <w:ind w:right="2237"/>
              <w:spacing w:after="0"/>
              <w:rPr>
                <w:sz w:val="20"/>
                <w:szCs w:val="20"/>
                <w:color w:val="auto"/>
              </w:rPr>
            </w:pPr>
            <w:r>
              <w:rPr>
                <w:rFonts w:ascii="Times New Roman" w:cs="Times New Roman" w:eastAsia="Times New Roman" w:hAnsi="Times New Roman"/>
                <w:sz w:val="21"/>
                <w:szCs w:val="21"/>
                <w:color w:val="auto"/>
                <w:w w:val="97"/>
              </w:rPr>
              <w:t>2018 OMNIBUS INCENTIVE COMPENSATION PLAN</w:t>
            </w:r>
          </w:p>
        </w:tc>
      </w:tr>
      <w:tr>
        <w:trPr>
          <w:trHeight w:val="268"/>
        </w:trPr>
        <w:tc>
          <w:tcPr>
            <w:tcW w:w="2460" w:type="dxa"/>
            <w:vAlign w:val="bottom"/>
          </w:tcPr>
          <w:p>
            <w:pPr>
              <w:spacing w:after="0"/>
              <w:rPr>
                <w:sz w:val="23"/>
                <w:szCs w:val="23"/>
                <w:color w:val="auto"/>
              </w:rPr>
            </w:pPr>
          </w:p>
        </w:tc>
        <w:tc>
          <w:tcPr>
            <w:tcW w:w="7700" w:type="dxa"/>
            <w:vAlign w:val="bottom"/>
            <w:gridSpan w:val="2"/>
          </w:tcPr>
          <w:p>
            <w:pPr>
              <w:jc w:val="center"/>
              <w:ind w:right="2237"/>
              <w:spacing w:after="0"/>
              <w:rPr>
                <w:sz w:val="20"/>
                <w:szCs w:val="20"/>
                <w:color w:val="auto"/>
              </w:rPr>
            </w:pPr>
            <w:r>
              <w:rPr>
                <w:rFonts w:ascii="Times New Roman" w:cs="Times New Roman" w:eastAsia="Times New Roman" w:hAnsi="Times New Roman"/>
                <w:sz w:val="21"/>
                <w:szCs w:val="21"/>
                <w:color w:val="auto"/>
                <w:w w:val="98"/>
              </w:rPr>
              <w:t>RESTRICTED STOCK UNIT GRANT AGREEMENT</w:t>
            </w:r>
          </w:p>
        </w:tc>
      </w:tr>
      <w:tr>
        <w:trPr>
          <w:trHeight w:val="673"/>
        </w:trPr>
        <w:tc>
          <w:tcPr>
            <w:tcW w:w="2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r>
        <w:trPr>
          <w:trHeight w:val="261"/>
        </w:trPr>
        <w:tc>
          <w:tcPr>
            <w:tcW w:w="24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Participant:</w:t>
            </w:r>
          </w:p>
        </w:tc>
        <w:tc>
          <w:tcPr>
            <w:tcW w:w="13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%%FIRST_NAME%-% %%LAST_NAME%-%</w:t>
            </w:r>
          </w:p>
        </w:tc>
      </w:tr>
      <w:tr>
        <w:trPr>
          <w:trHeight w:val="28"/>
        </w:trPr>
        <w:tc>
          <w:tcPr>
            <w:tcW w:w="24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r>
        <w:trPr>
          <w:trHeight w:val="261"/>
        </w:trPr>
        <w:tc>
          <w:tcPr>
            <w:tcW w:w="24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Date of Grant:</w:t>
            </w:r>
          </w:p>
        </w:tc>
        <w:tc>
          <w:tcPr>
            <w:tcW w:w="13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%%OPTION_DATE,'Month DD, YYYY'%-%</w:t>
            </w:r>
          </w:p>
        </w:tc>
      </w:tr>
      <w:tr>
        <w:trPr>
          <w:trHeight w:val="28"/>
        </w:trPr>
        <w:tc>
          <w:tcPr>
            <w:tcW w:w="24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r>
        <w:trPr>
          <w:trHeight w:val="261"/>
        </w:trPr>
        <w:tc>
          <w:tcPr>
            <w:tcW w:w="24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Restricted Units Granted:</w:t>
            </w:r>
          </w:p>
        </w:tc>
        <w:tc>
          <w:tcPr>
            <w:tcW w:w="1320" w:type="dxa"/>
            <w:vAlign w:val="bottom"/>
            <w:tcBorders>
              <w:right w:val="single" w:sz="8" w:color="auto"/>
            </w:tcBorders>
          </w:tcPr>
          <w:p>
            <w:pPr>
              <w:spacing w:after="0"/>
              <w:rPr>
                <w:sz w:val="22"/>
                <w:szCs w:val="22"/>
                <w:color w:val="auto"/>
              </w:rPr>
            </w:pPr>
          </w:p>
        </w:tc>
        <w:tc>
          <w:tcPr>
            <w:tcW w:w="6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%%TOTAL_SHARES_GRANTED,'999,999,999'%-%</w:t>
            </w:r>
          </w:p>
        </w:tc>
      </w:tr>
      <w:tr>
        <w:trPr>
          <w:trHeight w:val="28"/>
        </w:trPr>
        <w:tc>
          <w:tcPr>
            <w:tcW w:w="24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6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RECITALS</w:t>
      </w:r>
    </w:p>
    <w:p>
      <w:pPr>
        <w:spacing w:after="0" w:line="21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21"/>
          <w:szCs w:val="21"/>
          <w:color w:val="auto"/>
        </w:rPr>
        <w:t>The Replimune Group, Inc. 2018 Omnibus Incentive Compensation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provides for the grant of restricted stock units. The Committee has decided to make this grant of restricted stock units as an inducement for the Participant to promote the best interests of the Replimune Group,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its stockholders. The Participant hereby acknowledges the receipt of a copy of the official prospectus for the Plan, which is available by accessing the Company’s intranet at www.replimune.com. Paper copies of the Plan and the official Plan prospectus are available by contacting the Chief Financial Officer of the Company at +1.781.222.9600. This Agreement is made pursuant to the Plan and is subject in its entirety to all applicable provisions of the Plan. Capitalized terms used herein and not otherwise defined will have the meanings set forth in the Plan.</w:t>
      </w:r>
    </w:p>
    <w:p>
      <w:pPr>
        <w:spacing w:after="0" w:line="146" w:lineRule="exact"/>
        <w:rPr>
          <w:sz w:val="20"/>
          <w:szCs w:val="20"/>
          <w:color w:val="auto"/>
        </w:rPr>
      </w:pPr>
    </w:p>
    <w:p>
      <w:pPr>
        <w:jc w:val="both"/>
        <w:ind w:firstLine="3"/>
        <w:spacing w:after="0" w:line="220" w:lineRule="auto"/>
        <w:tabs>
          <w:tab w:leader="none" w:pos="61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Stock Units</w:t>
      </w:r>
      <w:r>
        <w:rPr>
          <w:rFonts w:ascii="Times New Roman" w:cs="Times New Roman" w:eastAsia="Times New Roman" w:hAnsi="Times New Roman"/>
          <w:sz w:val="21"/>
          <w:szCs w:val="21"/>
          <w:color w:val="auto"/>
        </w:rPr>
        <w:t>. Subject to the terms and conditions set forth in this Restricted Stock Unit Grant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in the Plan, the Company hereby grants the Participant the number of restricted stock units set forth above, subject to the restrictions set forth below and in the Plan (the “</w:t>
      </w:r>
      <w:r>
        <w:rPr>
          <w:rFonts w:ascii="Times New Roman" w:cs="Times New Roman" w:eastAsia="Times New Roman" w:hAnsi="Times New Roman"/>
          <w:sz w:val="21"/>
          <w:szCs w:val="21"/>
          <w:u w:val="single" w:color="auto"/>
          <w:color w:val="auto"/>
        </w:rPr>
        <w:t>Stock Units</w:t>
      </w:r>
      <w:r>
        <w:rPr>
          <w:rFonts w:ascii="Times New Roman" w:cs="Times New Roman" w:eastAsia="Times New Roman" w:hAnsi="Times New Roman"/>
          <w:sz w:val="21"/>
          <w:szCs w:val="21"/>
          <w:color w:val="auto"/>
        </w:rPr>
        <w:t>”). Each Stock Unit represents the right of the Participant to receive a share of common stock of the Company (“</w:t>
      </w:r>
      <w:r>
        <w:rPr>
          <w:rFonts w:ascii="Times New Roman" w:cs="Times New Roman" w:eastAsia="Times New Roman" w:hAnsi="Times New Roman"/>
          <w:sz w:val="21"/>
          <w:szCs w:val="21"/>
          <w:u w:val="single" w:color="auto"/>
          <w:color w:val="auto"/>
        </w:rPr>
        <w:t>Company Stock</w:t>
      </w:r>
      <w:r>
        <w:rPr>
          <w:rFonts w:ascii="Times New Roman" w:cs="Times New Roman" w:eastAsia="Times New Roman" w:hAnsi="Times New Roman"/>
          <w:sz w:val="21"/>
          <w:szCs w:val="21"/>
          <w:color w:val="auto"/>
        </w:rPr>
        <w:t>”) on the applicable payment date set forth in Section 5 below.</w:t>
      </w:r>
    </w:p>
    <w:p>
      <w:pPr>
        <w:spacing w:after="0" w:line="145" w:lineRule="exact"/>
        <w:rPr>
          <w:rFonts w:ascii="Times New Roman" w:cs="Times New Roman" w:eastAsia="Times New Roman" w:hAnsi="Times New Roman"/>
          <w:sz w:val="21"/>
          <w:szCs w:val="21"/>
          <w:color w:val="auto"/>
        </w:rPr>
      </w:pPr>
    </w:p>
    <w:p>
      <w:pPr>
        <w:jc w:val="both"/>
        <w:ind w:firstLine="3"/>
        <w:spacing w:after="0" w:line="225" w:lineRule="auto"/>
        <w:tabs>
          <w:tab w:leader="none" w:pos="61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Unit Account</w:t>
      </w:r>
      <w:r>
        <w:rPr>
          <w:rFonts w:ascii="Times New Roman" w:cs="Times New Roman" w:eastAsia="Times New Roman" w:hAnsi="Times New Roman"/>
          <w:sz w:val="20"/>
          <w:szCs w:val="20"/>
          <w:color w:val="auto"/>
        </w:rPr>
        <w:t>. Stock Units represent hypothetical shares of Company Stock, and not actual shares of stock. The Company shall establish and maintain a Stock Unit account, as a bookkeeping account on its records, for the Participant and shall record in such account the number of Stock Units granted to the Participant. No shares of Company Stock shall be issued to the Participant at the time the grant is made, and the Participant shall not be, and shall not have any of the rights or privileges of, a stockholder of the Company with respect to any Stock Units recorded in the Stock Unit account. The Participant shall not have any interest in any fund or specific assets of the Company by reason of this award or the Stock Unit account established for the Participant.</w:t>
      </w:r>
    </w:p>
    <w:p>
      <w:pPr>
        <w:spacing w:after="0" w:line="150" w:lineRule="exact"/>
        <w:rPr>
          <w:rFonts w:ascii="Times New Roman" w:cs="Times New Roman" w:eastAsia="Times New Roman" w:hAnsi="Times New Roman"/>
          <w:sz w:val="20"/>
          <w:szCs w:val="20"/>
          <w:color w:val="auto"/>
        </w:rPr>
      </w:pPr>
    </w:p>
    <w:p>
      <w:pPr>
        <w:ind w:left="620" w:hanging="617"/>
        <w:spacing w:after="0"/>
        <w:tabs>
          <w:tab w:leader="none" w:pos="62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Units shall become vested according to the vesting table in Exhibit A, detailing the vesting dates (each, an individual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provided that the Participant continues to be employed by, or provide approved service to, the Employer from the Date of Grant until the applicable Vesting Date. The following table defines which date is assigned as the annual vesting date (the “</w:t>
      </w:r>
      <w:r>
        <w:rPr>
          <w:rFonts w:ascii="Times New Roman" w:cs="Times New Roman" w:eastAsia="Times New Roman" w:hAnsi="Times New Roman"/>
          <w:sz w:val="21"/>
          <w:szCs w:val="21"/>
          <w:u w:val="single" w:color="auto"/>
          <w:color w:val="auto"/>
        </w:rPr>
        <w:t>Designated Vesting Date</w:t>
      </w:r>
      <w:r>
        <w:rPr>
          <w:rFonts w:ascii="Times New Roman" w:cs="Times New Roman" w:eastAsia="Times New Roman" w:hAnsi="Times New Roman"/>
          <w:sz w:val="21"/>
          <w:szCs w:val="21"/>
          <w:color w:val="auto"/>
        </w:rPr>
        <w:t>”) based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165154595.2</w:t>
      </w:r>
    </w:p>
    <w:p>
      <w:pPr>
        <w:sectPr>
          <w:pgSz w:w="11900" w:h="16838" w:orient="portrait"/>
          <w:cols w:equalWidth="0" w:num="1">
            <w:col w:w="11240"/>
          </w:cols>
          <w:pgMar w:left="320" w:top="127" w:right="33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206"/>
        </w:trPr>
        <w:tc>
          <w:tcPr>
            <w:tcW w:w="2220" w:type="dxa"/>
            <w:vAlign w:val="bottom"/>
            <w:tcBorders>
              <w:top w:val="single" w:sz="8" w:color="auto"/>
              <w:left w:val="single" w:sz="8" w:color="auto"/>
            </w:tcBorders>
          </w:tcPr>
          <w:p>
            <w:pPr>
              <w:spacing w:after="0"/>
              <w:rPr>
                <w:sz w:val="17"/>
                <w:szCs w:val="17"/>
                <w:color w:val="auto"/>
              </w:rPr>
            </w:pPr>
          </w:p>
        </w:tc>
        <w:tc>
          <w:tcPr>
            <w:tcW w:w="3260" w:type="dxa"/>
            <w:vAlign w:val="bottom"/>
            <w:tcBorders>
              <w:top w:val="single" w:sz="8" w:color="auto"/>
              <w:right w:val="single" w:sz="8" w:color="auto"/>
            </w:tcBorders>
            <w:gridSpan w:val="2"/>
          </w:tcPr>
          <w:p>
            <w:pPr>
              <w:spacing w:after="0" w:line="206" w:lineRule="exact"/>
              <w:rPr>
                <w:sz w:val="20"/>
                <w:szCs w:val="20"/>
                <w:color w:val="auto"/>
              </w:rPr>
            </w:pPr>
            <w:r>
              <w:rPr>
                <w:rFonts w:ascii="Times New Roman" w:cs="Times New Roman" w:eastAsia="Times New Roman" w:hAnsi="Times New Roman"/>
                <w:sz w:val="19"/>
                <w:szCs w:val="19"/>
                <w:color w:val="auto"/>
              </w:rPr>
              <w:t>Date of Grant</w:t>
            </w:r>
          </w:p>
        </w:tc>
        <w:tc>
          <w:tcPr>
            <w:tcW w:w="5480" w:type="dxa"/>
            <w:vAlign w:val="bottom"/>
            <w:tcBorders>
              <w:top w:val="single" w:sz="8" w:color="auto"/>
              <w:right w:val="single" w:sz="8" w:color="auto"/>
            </w:tcBorders>
            <w:gridSpan w:val="3"/>
          </w:tcPr>
          <w:p>
            <w:pPr>
              <w:ind w:left="1760"/>
              <w:spacing w:after="0" w:line="206" w:lineRule="exact"/>
              <w:rPr>
                <w:sz w:val="20"/>
                <w:szCs w:val="20"/>
                <w:color w:val="auto"/>
              </w:rPr>
            </w:pPr>
            <w:r>
              <w:rPr>
                <w:rFonts w:ascii="Times New Roman" w:cs="Times New Roman" w:eastAsia="Times New Roman" w:hAnsi="Times New Roman"/>
                <w:sz w:val="19"/>
                <w:szCs w:val="19"/>
                <w:color w:val="auto"/>
              </w:rPr>
              <w:t>Designated Vesting Date*</w:t>
            </w:r>
          </w:p>
        </w:tc>
      </w:tr>
      <w:tr>
        <w:trPr>
          <w:trHeight w:val="32"/>
        </w:trPr>
        <w:tc>
          <w:tcPr>
            <w:tcW w:w="2220" w:type="dxa"/>
            <w:vAlign w:val="bottom"/>
            <w:tcBorders>
              <w:left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960" w:type="dxa"/>
            <w:vAlign w:val="bottom"/>
            <w:tcBorders>
              <w:top w:val="single" w:sz="8" w:color="auto"/>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January 1 – March 31</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February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April 1 – June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May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July 1 – September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August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r>
        <w:trPr>
          <w:trHeight w:val="277"/>
        </w:trPr>
        <w:tc>
          <w:tcPr>
            <w:tcW w:w="54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October 1 – December 30</w:t>
            </w:r>
          </w:p>
        </w:tc>
        <w:tc>
          <w:tcPr>
            <w:tcW w:w="548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9"/>
                <w:szCs w:val="19"/>
                <w:color w:val="auto"/>
              </w:rPr>
              <w:t>November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the next calendar year</w:t>
            </w:r>
          </w:p>
        </w:tc>
      </w:tr>
    </w:tbl>
    <w:p>
      <w:pPr>
        <w:spacing w:after="0" w:line="91" w:lineRule="exact"/>
        <w:rPr>
          <w:sz w:val="20"/>
          <w:szCs w:val="20"/>
          <w:color w:val="auto"/>
        </w:rPr>
      </w:pPr>
    </w:p>
    <w:p>
      <w:pPr>
        <w:ind w:firstLine="300"/>
        <w:spacing w:after="0" w:line="273" w:lineRule="auto"/>
        <w:tabs>
          <w:tab w:leader="none" w:pos="451"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If a Designated Vesting Date falls on a weekend, federal holiday or any other day the Nasdaq Global Market is closed for trading, such Designated Vesting Date will become the next active trading day of the Company’s common stock</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firstLine="622"/>
        <w:spacing w:after="0" w:line="220" w:lineRule="auto"/>
        <w:tabs>
          <w:tab w:leader="none" w:pos="1310"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vesting of the Stock Units shall be cumulative, but shall not exceed 100% of the Stock Units. If the foregoing schedule would produce fractional Stock Units, the number of Stock Units that vest shall be rounded down to the nearest whole Stock Unit and the fractional Stock Units will be accumulated so that the resulting whole Stock Units will be included in the number of Stock Units that become vested on the last Vesting Date.</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4"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employment or service terminates on account of the Participant’s death, Disability or on account of a termination by the Employer without Cause (for clarity, without Cause shall include termination or job elimination due to a reduction in force) or by the Participant for Good Reason (if applicable), in each case before the last Vesting Date, any unvested Stock Units shall become fully vested upon such termination of employment or service.</w:t>
      </w:r>
    </w:p>
    <w:p>
      <w:pPr>
        <w:spacing w:after="0" w:line="145" w:lineRule="exact"/>
        <w:rPr>
          <w:rFonts w:ascii="Times New Roman" w:cs="Times New Roman" w:eastAsia="Times New Roman" w:hAnsi="Times New Roman"/>
          <w:sz w:val="21"/>
          <w:szCs w:val="21"/>
          <w:color w:val="auto"/>
        </w:rPr>
      </w:pPr>
    </w:p>
    <w:p>
      <w:pPr>
        <w:jc w:val="both"/>
        <w:ind w:firstLine="622"/>
        <w:spacing w:after="0" w:line="220" w:lineRule="auto"/>
        <w:tabs>
          <w:tab w:leader="none" w:pos="1233"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is not the surviving corporation (or survives only as a subsidiary of another corporation) as a result of a Change of Control and the surviving corporation (or a parent or subsidiary of the surviving corporation) does not assume or replace the Stock Units with an award with comparable terms, and the Participant is employed by, or providing services to, the Employer on the date of the Change of Control, any unvested Stock Units shall become fully vested upon the date of the Change of Control.</w:t>
      </w:r>
    </w:p>
    <w:p>
      <w:pPr>
        <w:spacing w:after="0" w:line="145" w:lineRule="exact"/>
        <w:rPr>
          <w:rFonts w:ascii="Times New Roman" w:cs="Times New Roman" w:eastAsia="Times New Roman" w:hAnsi="Times New Roman"/>
          <w:sz w:val="21"/>
          <w:szCs w:val="21"/>
          <w:color w:val="auto"/>
        </w:rPr>
      </w:pPr>
    </w:p>
    <w:p>
      <w:pPr>
        <w:jc w:val="both"/>
        <w:ind w:firstLine="3"/>
        <w:spacing w:after="0" w:line="220" w:lineRule="auto"/>
        <w:tabs>
          <w:tab w:leader="none" w:pos="61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Stock Units</w:t>
      </w:r>
      <w:r>
        <w:rPr>
          <w:rFonts w:ascii="Times New Roman" w:cs="Times New Roman" w:eastAsia="Times New Roman" w:hAnsi="Times New Roman"/>
          <w:sz w:val="21"/>
          <w:szCs w:val="21"/>
          <w:color w:val="auto"/>
        </w:rPr>
        <w:t>. If the Participant ceases to be employed by, or provide service to, the Employer for any reason, except for the reasons included in Section 3(c) or 3(d) above, before all of the Stock Units vest, any unvested Stock Units shall automatically terminate and shall be forfeited as of the date of the Participant’s termination of employment or service. No payment shall be made with respect to any unvested Stock Units that terminate as described in this Section 4.</w:t>
      </w:r>
    </w:p>
    <w:p>
      <w:pPr>
        <w:spacing w:after="0" w:line="145"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Stock Units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622"/>
        <w:spacing w:after="0" w:line="226" w:lineRule="auto"/>
        <w:tabs>
          <w:tab w:leader="none" w:pos="1234"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when the Stock Units vest in accordance with Section 3, the Company shall issue to the Participant one share of Company Stock for each vested Stock Unit, subject to applicable Withholding Taxes (as defined below). Payment shall be made within</w:t>
      </w:r>
    </w:p>
    <w:p>
      <w:pPr>
        <w:spacing w:after="0" w:line="1" w:lineRule="exact"/>
        <w:rPr>
          <w:rFonts w:ascii="Times New Roman" w:cs="Times New Roman" w:eastAsia="Times New Roman" w:hAnsi="Times New Roman"/>
          <w:sz w:val="20"/>
          <w:szCs w:val="20"/>
          <w:color w:val="auto"/>
        </w:rPr>
      </w:pPr>
    </w:p>
    <w:p>
      <w:pPr>
        <w:ind w:left="260" w:hanging="257"/>
        <w:spacing w:after="0"/>
        <w:tabs>
          <w:tab w:leader="none" w:pos="2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applicable vesting date.</w:t>
      </w:r>
    </w:p>
    <w:p>
      <w:pPr>
        <w:spacing w:after="0" w:line="149" w:lineRule="exact"/>
        <w:rPr>
          <w:rFonts w:ascii="Times New Roman" w:cs="Times New Roman" w:eastAsia="Times New Roman" w:hAnsi="Times New Roman"/>
          <w:sz w:val="21"/>
          <w:szCs w:val="21"/>
          <w:color w:val="auto"/>
        </w:rPr>
      </w:pPr>
    </w:p>
    <w:p>
      <w:pPr>
        <w:jc w:val="both"/>
        <w:ind w:firstLine="622"/>
        <w:spacing w:after="0" w:line="212" w:lineRule="auto"/>
        <w:tabs>
          <w:tab w:leader="none" w:pos="1233"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under this Agreement shall be subject to the rights of the Employer as set forth in the Plan to withhold amounts required by law to be withheld for any federal (including FICA), state, local and other taxes with respect to the payment of the Stock Units (“</w:t>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 The Participant irrevocably (i) has elected, as of the Date of Grant to sell shares of Company Stock in an amount having an aggregate Fair Market Value equal to the Withholding Taxes, and to allow the Company’s designated broker (the “</w:t>
      </w:r>
      <w:r>
        <w:rPr>
          <w:rFonts w:ascii="Times New Roman" w:cs="Times New Roman" w:eastAsia="Times New Roman" w:hAnsi="Times New Roman"/>
          <w:sz w:val="21"/>
          <w:szCs w:val="21"/>
          <w:u w:val="single" w:color="auto"/>
          <w:color w:val="auto"/>
        </w:rPr>
        <w:t>Broker</w:t>
      </w:r>
      <w:r>
        <w:rPr>
          <w:rFonts w:ascii="Times New Roman" w:cs="Times New Roman" w:eastAsia="Times New Roman" w:hAnsi="Times New Roman"/>
          <w:sz w:val="21"/>
          <w:szCs w:val="21"/>
          <w:color w:val="auto"/>
        </w:rPr>
        <w:t>”) to remit the cash proceeds of such sale to the Employer (a “</w:t>
      </w:r>
      <w:r>
        <w:rPr>
          <w:rFonts w:ascii="Times New Roman" w:cs="Times New Roman" w:eastAsia="Times New Roman" w:hAnsi="Times New Roman"/>
          <w:sz w:val="21"/>
          <w:szCs w:val="21"/>
          <w:u w:val="single" w:color="auto"/>
          <w:color w:val="auto"/>
        </w:rPr>
        <w:t>Sell to Cover</w:t>
      </w:r>
      <w:r>
        <w:rPr>
          <w:rFonts w:ascii="Times New Roman" w:cs="Times New Roman" w:eastAsia="Times New Roman" w:hAnsi="Times New Roman"/>
          <w:sz w:val="21"/>
          <w:szCs w:val="21"/>
          <w:color w:val="auto"/>
        </w:rPr>
        <w:t>”) and (ii) directs the Employer to make a cash payment to satisfy the Withholding Taxes from the cash proceeds of such sale directly to the appropriate taxing authorities. To the extent the Sell to Cover does not cover all Withholding Taxes due, the Participant shall be required to pay to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165154595.2</w:t>
      </w:r>
    </w:p>
    <w:p>
      <w:pPr>
        <w:sectPr>
          <w:pgSz w:w="11900" w:h="16838" w:orient="portrait"/>
          <w:cols w:equalWidth="0" w:num="1">
            <w:col w:w="11240"/>
          </w:cols>
          <w:pgMar w:left="320" w:top="1383" w:right="339" w:bottom="1440" w:gutter="0" w:footer="0" w:header="0"/>
        </w:sectPr>
      </w:pPr>
    </w:p>
    <w:bookmarkStart w:id="95" w:name="page96"/>
    <w:bookmarkEnd w:id="95"/>
    <w:p>
      <w:pPr>
        <w:spacing w:after="0" w:line="235" w:lineRule="auto"/>
        <w:rPr>
          <w:sz w:val="20"/>
          <w:szCs w:val="20"/>
          <w:color w:val="auto"/>
        </w:rPr>
      </w:pPr>
      <w:r>
        <w:rPr>
          <w:rFonts w:ascii="Times New Roman" w:cs="Times New Roman" w:eastAsia="Times New Roman" w:hAnsi="Times New Roman"/>
          <w:sz w:val="21"/>
          <w:szCs w:val="21"/>
          <w:color w:val="auto"/>
        </w:rPr>
        <w:t>Employer, or make other arrangements satisfactory to the Employer to provide for the payment of, any Withholding Taxes that the Employer is required to withhold with respect to the Stock Units.</w:t>
      </w:r>
    </w:p>
    <w:p>
      <w:pPr>
        <w:spacing w:after="0" w:line="146" w:lineRule="exact"/>
        <w:rPr>
          <w:sz w:val="20"/>
          <w:szCs w:val="20"/>
          <w:color w:val="auto"/>
        </w:rPr>
      </w:pPr>
    </w:p>
    <w:p>
      <w:pPr>
        <w:jc w:val="both"/>
        <w:ind w:firstLine="622"/>
        <w:spacing w:after="0" w:line="220" w:lineRule="auto"/>
        <w:tabs>
          <w:tab w:leader="none" w:pos="123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 of the Company to deliver Company Stock following vesting of the Stock Units shall be subject to all applicable laws, rules, and regulations and such approvals by governmental agencies as may be deemed appropriate by the Committee, including such actions as Company counsel shall deem necessary or appropriate to comply with relevant securities laws and regulations.</w:t>
      </w:r>
    </w:p>
    <w:p>
      <w:pPr>
        <w:spacing w:after="0" w:line="145" w:lineRule="exact"/>
        <w:rPr>
          <w:rFonts w:ascii="Times New Roman" w:cs="Times New Roman" w:eastAsia="Times New Roman" w:hAnsi="Times New Roman"/>
          <w:sz w:val="21"/>
          <w:szCs w:val="21"/>
          <w:color w:val="auto"/>
        </w:rPr>
      </w:pPr>
    </w:p>
    <w:p>
      <w:pPr>
        <w:jc w:val="both"/>
        <w:ind w:firstLine="3"/>
        <w:spacing w:after="0" w:line="220" w:lineRule="auto"/>
        <w:tabs>
          <w:tab w:leader="none" w:pos="61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Stockholder Rights</w:t>
      </w:r>
      <w:r>
        <w:rPr>
          <w:rFonts w:ascii="Times New Roman" w:cs="Times New Roman" w:eastAsia="Times New Roman" w:hAnsi="Times New Roman"/>
          <w:sz w:val="21"/>
          <w:szCs w:val="21"/>
          <w:color w:val="auto"/>
        </w:rPr>
        <w:t>. Neither the Participant, nor any person entitled to receive payment in the event of the Participant’s death, shall have any of the rights and privileges of a stockholder with respect to shares of Company Stock, including voting, dividend rights or dividend equivalent rights, until certificates for shares have been issued upon payment of Stock Units. The Participant acknowledges that no election under Section 83(b) of the Code is available with respect to Stock Units.</w:t>
      </w:r>
    </w:p>
    <w:p>
      <w:pPr>
        <w:spacing w:after="0" w:line="145" w:lineRule="exact"/>
        <w:rPr>
          <w:rFonts w:ascii="Times New Roman" w:cs="Times New Roman" w:eastAsia="Times New Roman" w:hAnsi="Times New Roman"/>
          <w:sz w:val="21"/>
          <w:szCs w:val="21"/>
          <w:color w:val="auto"/>
        </w:rPr>
      </w:pPr>
    </w:p>
    <w:p>
      <w:pPr>
        <w:jc w:val="both"/>
        <w:ind w:firstLine="3"/>
        <w:spacing w:after="0" w:line="224" w:lineRule="auto"/>
        <w:tabs>
          <w:tab w:leader="none" w:pos="61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Subject to Plan Provisions</w:t>
      </w:r>
      <w:r>
        <w:rPr>
          <w:rFonts w:ascii="Times New Roman" w:cs="Times New Roman" w:eastAsia="Times New Roman" w:hAnsi="Times New Roman"/>
          <w:sz w:val="20"/>
          <w:szCs w:val="20"/>
          <w:color w:val="auto"/>
        </w:rPr>
        <w:t>. This grant is made pursuant to the Plan, the terms of which are incorporated herein by reference, and in all respects shall be interpreted in accordance with the Plan. The grant and payment of the Stock Units are subject to the provisions of the Plan and to interpretations, regulations and determinations concerning the Plan established from time to time by the Committee in accordance with the provisions of the Plan, including, but not limited to, provisions pertaining to (a) rights and obligations with respect to Withholding Taxes, (b) the registration, qualification or listing of the shares of Company Stock, (c) changes in capitalization of the Company and (d) other requirements of applicable law. The Committee shall have the authority to interpret and construe the Stock Units pursuant to the terms of the Plan, and its decisions shall be conclusive as to any questions arising hereunder.</w:t>
      </w:r>
    </w:p>
    <w:p>
      <w:pPr>
        <w:spacing w:after="0" w:line="147" w:lineRule="exact"/>
        <w:rPr>
          <w:rFonts w:ascii="Times New Roman" w:cs="Times New Roman" w:eastAsia="Times New Roman" w:hAnsi="Times New Roman"/>
          <w:sz w:val="20"/>
          <w:szCs w:val="20"/>
          <w:color w:val="auto"/>
        </w:rPr>
      </w:pPr>
    </w:p>
    <w:p>
      <w:pPr>
        <w:jc w:val="both"/>
        <w:ind w:firstLine="3"/>
        <w:spacing w:after="0" w:line="220" w:lineRule="auto"/>
        <w:tabs>
          <w:tab w:leader="none" w:pos="61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Employment or Other Rights</w:t>
      </w:r>
      <w:r>
        <w:rPr>
          <w:rFonts w:ascii="Times New Roman" w:cs="Times New Roman" w:eastAsia="Times New Roman" w:hAnsi="Times New Roman"/>
          <w:sz w:val="21"/>
          <w:szCs w:val="21"/>
          <w:color w:val="auto"/>
        </w:rPr>
        <w:t>. The grant of the Stock Units shall not confer upon the Participant any right to be retained by or in the employ or service of any Employer and shall not interfere in any way with the right of any Employer to terminate the Participant’s employment or service at any time. The right of any Employer to terminate at will the Participant’s employment or service at any time for any reason is specifically reserved.</w:t>
      </w:r>
    </w:p>
    <w:p>
      <w:pPr>
        <w:spacing w:after="0" w:line="145" w:lineRule="exact"/>
        <w:rPr>
          <w:rFonts w:ascii="Times New Roman" w:cs="Times New Roman" w:eastAsia="Times New Roman" w:hAnsi="Times New Roman"/>
          <w:sz w:val="21"/>
          <w:szCs w:val="21"/>
          <w:color w:val="auto"/>
        </w:rPr>
      </w:pPr>
    </w:p>
    <w:p>
      <w:pPr>
        <w:jc w:val="both"/>
        <w:ind w:firstLine="3"/>
        <w:spacing w:after="0" w:line="212" w:lineRule="auto"/>
        <w:tabs>
          <w:tab w:leader="none" w:pos="61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Transfers</w:t>
      </w:r>
      <w:r>
        <w:rPr>
          <w:rFonts w:ascii="Times New Roman" w:cs="Times New Roman" w:eastAsia="Times New Roman" w:hAnsi="Times New Roman"/>
          <w:sz w:val="21"/>
          <w:szCs w:val="21"/>
          <w:color w:val="auto"/>
        </w:rPr>
        <w:t>. Except as the Committee may otherwise permit pursuant to the Plan, the rights and interests of the Participant under this Agreement may not be sold, assigned, encumbered or otherwise transferred except, in the event of the death of the Participant, by will or by the laws of descent and distribution. In the event of any attempt by the Participant to alienate, assign, pledge, hypothecate, or otherwise dispose of the Stock Units or any right hereunder, except as provided for in this Agreement, or in the event of the levy or any attachment, execution or similar process upon the rights or interests hereby conferred, the Company may terminate the Stock Units by notice to the Participant, and the Stock Units and all rights hereunder shall thereupon become null and void. The rights and protections of the Company hereunder shall extend to any successors or assigns of the Company and to the Company’s parents, subsidiaries, and affiliates. This Agreement may be assigned by the Company without the Participant’s consent.</w:t>
      </w:r>
    </w:p>
    <w:p>
      <w:pPr>
        <w:spacing w:after="0" w:line="149" w:lineRule="exact"/>
        <w:rPr>
          <w:rFonts w:ascii="Times New Roman" w:cs="Times New Roman" w:eastAsia="Times New Roman" w:hAnsi="Times New Roman"/>
          <w:sz w:val="21"/>
          <w:szCs w:val="21"/>
          <w:color w:val="auto"/>
        </w:rPr>
      </w:pPr>
    </w:p>
    <w:p>
      <w:pPr>
        <w:jc w:val="both"/>
        <w:ind w:firstLine="3"/>
        <w:spacing w:after="0" w:line="228" w:lineRule="auto"/>
        <w:tabs>
          <w:tab w:leader="none" w:pos="61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 Jurisdiction</w:t>
      </w:r>
      <w:r>
        <w:rPr>
          <w:rFonts w:ascii="Times New Roman" w:cs="Times New Roman" w:eastAsia="Times New Roman" w:hAnsi="Times New Roman"/>
          <w:sz w:val="20"/>
          <w:szCs w:val="20"/>
          <w:color w:val="auto"/>
        </w:rPr>
        <w:t>. The validity, construction, interpretation and effect of this Agreement shall be governed by and construed in accordance with the laws of the State of Delaware, without giving effect to the conflicts of laws provisions thereof. Any action arising out of, or relating to, any of the provisions of this Agreement shall be brought only in the United States District Court for the District of Massachusetts, or if such court does not have jurisdiction or will not accept jurisdiction, in any court of general jurisdiction in Boston, Massachusetts, and the jurisdiction of such court in any such proceeding shall be exclusive. Notwithstanding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165154595.2</w:t>
      </w:r>
    </w:p>
    <w:p>
      <w:pPr>
        <w:sectPr>
          <w:pgSz w:w="11900" w:h="16838" w:orient="portrait"/>
          <w:cols w:equalWidth="0" w:num="1">
            <w:col w:w="11240"/>
          </w:cols>
          <w:pgMar w:left="320" w:top="1339" w:right="339" w:bottom="1440" w:gutter="0" w:footer="0" w:header="0"/>
        </w:sectPr>
      </w:pPr>
    </w:p>
    <w:bookmarkStart w:id="96" w:name="page97"/>
    <w:bookmarkEnd w:id="96"/>
    <w:p>
      <w:pPr>
        <w:spacing w:after="0" w:line="235" w:lineRule="auto"/>
        <w:rPr>
          <w:sz w:val="20"/>
          <w:szCs w:val="20"/>
          <w:color w:val="auto"/>
        </w:rPr>
      </w:pPr>
      <w:r>
        <w:rPr>
          <w:rFonts w:ascii="Times New Roman" w:cs="Times New Roman" w:eastAsia="Times New Roman" w:hAnsi="Times New Roman"/>
          <w:sz w:val="21"/>
          <w:szCs w:val="21"/>
          <w:color w:val="auto"/>
        </w:rPr>
        <w:t>foregoing sentence, on and after the date a Participant receives shares of Company Stock hereunder, the Participant will be subject to the jurisdiction provision set forth in the Company’s bylaws.</w:t>
      </w:r>
    </w:p>
    <w:p>
      <w:pPr>
        <w:spacing w:after="0" w:line="146" w:lineRule="exact"/>
        <w:rPr>
          <w:sz w:val="20"/>
          <w:szCs w:val="20"/>
          <w:color w:val="auto"/>
        </w:rPr>
      </w:pPr>
    </w:p>
    <w:p>
      <w:pPr>
        <w:jc w:val="both"/>
        <w:ind w:firstLine="3"/>
        <w:spacing w:after="0" w:line="215" w:lineRule="auto"/>
        <w:tabs>
          <w:tab w:leader="none" w:pos="611"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Any notice to the Company provided for in this instrument shall be addressed to the Company in care of the Chief Financial Officer at the corporate headquarters of the Company, and any notice to the Participant shall be addressed to such Participant at the current address shown on the payroll of the Employer, or to such other address as the Participant may designate to the Employer in writing. Any notice shall be delivered by hand, or enclosed in a properly sealed envelope addressed as stated above, registered and deposited, postage prepaid, in a post office regularly maintained by the United States Postal Service or by the postal authority of the country in which the Participant resides or to an internationally recognized expedited mail courier.</w:t>
      </w:r>
    </w:p>
    <w:p>
      <w:pPr>
        <w:spacing w:after="0" w:line="145" w:lineRule="exact"/>
        <w:rPr>
          <w:rFonts w:ascii="Times New Roman" w:cs="Times New Roman" w:eastAsia="Times New Roman" w:hAnsi="Times New Roman"/>
          <w:sz w:val="21"/>
          <w:szCs w:val="21"/>
          <w:color w:val="auto"/>
        </w:rPr>
      </w:pPr>
    </w:p>
    <w:p>
      <w:pPr>
        <w:jc w:val="both"/>
        <w:ind w:firstLine="3"/>
        <w:spacing w:after="0" w:line="217" w:lineRule="auto"/>
        <w:tabs>
          <w:tab w:leader="none" w:pos="61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Policies</w:t>
      </w:r>
      <w:r>
        <w:rPr>
          <w:rFonts w:ascii="Times New Roman" w:cs="Times New Roman" w:eastAsia="Times New Roman" w:hAnsi="Times New Roman"/>
          <w:sz w:val="21"/>
          <w:szCs w:val="21"/>
          <w:color w:val="auto"/>
        </w:rPr>
        <w:t>. The Participant agrees that payment to the Participant shall be made in such manner and on such terms and conditions as may be required by the Committee and the Employer shall be entitled to set off against the amount of any such payment any amounts otherwise owed to the Participant by the Employer, to the extent permitted by applicable law. In addition, the Participant agrees that the Stock Units shall be subject to any applicable clawback or recoupment policies, share trading policies and other policies that may be implemented by the Board or imposed under applicable rule or regulation from time to time.</w:t>
      </w:r>
    </w:p>
    <w:p>
      <w:pPr>
        <w:spacing w:after="0" w:line="145" w:lineRule="exact"/>
        <w:rPr>
          <w:rFonts w:ascii="Times New Roman" w:cs="Times New Roman" w:eastAsia="Times New Roman" w:hAnsi="Times New Roman"/>
          <w:sz w:val="21"/>
          <w:szCs w:val="21"/>
          <w:color w:val="auto"/>
        </w:rPr>
      </w:pPr>
    </w:p>
    <w:p>
      <w:pPr>
        <w:jc w:val="both"/>
        <w:ind w:firstLine="3"/>
        <w:spacing w:after="0" w:line="225" w:lineRule="auto"/>
        <w:tabs>
          <w:tab w:leader="none" w:pos="619"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Section 409A of the Code</w:t>
      </w:r>
      <w:r>
        <w:rPr>
          <w:rFonts w:ascii="Times New Roman" w:cs="Times New Roman" w:eastAsia="Times New Roman" w:hAnsi="Times New Roman"/>
          <w:sz w:val="21"/>
          <w:szCs w:val="21"/>
          <w:color w:val="auto"/>
        </w:rPr>
        <w:t>. This Agreement is intended to be exempt from section 409A of the Code under the “short-term deferral” exception and to the extent this Agreement is subject to section 409A of the Code, it will in all respects be administered in accordance with section 409A of the Code.</w:t>
      </w:r>
    </w:p>
    <w:p>
      <w:pPr>
        <w:spacing w:after="0" w:line="171" w:lineRule="exact"/>
        <w:rPr>
          <w:rFonts w:ascii="Times New Roman" w:cs="Times New Roman" w:eastAsia="Times New Roman" w:hAnsi="Times New Roman"/>
          <w:sz w:val="21"/>
          <w:szCs w:val="21"/>
          <w:color w:val="auto"/>
        </w:rPr>
      </w:pPr>
    </w:p>
    <w:p>
      <w:pPr>
        <w:jc w:val="both"/>
        <w:ind w:firstLine="622"/>
        <w:spacing w:after="0" w:line="256" w:lineRule="auto"/>
        <w:tabs>
          <w:tab w:leader="none" w:pos="1238"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electronic acceptance, the Participant hereby accepts the award of Stock Units described in this Agreement, and agrees to be bound by the terms of the Plan and this Agreement. The Participant hereby agrees that all decisions and determinations of the Committee with respect to the Stock Units shall be final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165154595.2</w:t>
      </w:r>
    </w:p>
    <w:p>
      <w:pPr>
        <w:sectPr>
          <w:pgSz w:w="11900" w:h="16838" w:orient="portrait"/>
          <w:cols w:equalWidth="0" w:num="1">
            <w:col w:w="11240"/>
          </w:cols>
          <w:pgMar w:left="320" w:top="1339"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Units Vesting</w:t>
            </w: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Vesting Date</w:t>
            </w: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r>
        <w:trPr>
          <w:trHeight w:val="238"/>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165154595.2</w:t>
      </w:r>
    </w:p>
    <w:p>
      <w:pPr>
        <w:sectPr>
          <w:pgSz w:w="11900" w:h="16838" w:orient="portrait"/>
          <w:cols w:equalWidth="0" w:num="1">
            <w:col w:w="11260"/>
          </w:cols>
          <w:pgMar w:left="320" w:top="1357" w:right="31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890905</wp:posOffset>
            </wp:positionV>
            <wp:extent cx="7146925" cy="1809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6925"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6</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DB1/ 165154595.2</w:t>
      </w:r>
    </w:p>
    <w:p>
      <w:pPr>
        <w:sectPr>
          <w:pgSz w:w="11900" w:h="16838" w:orient="portrait"/>
          <w:cols w:equalWidth="0" w:num="1">
            <w:col w:w="10139"/>
          </w:cols>
          <w:pgMar w:left="320" w:top="1440"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340" w:right="520"/>
        <w:spacing w:after="0" w:line="283" w:lineRule="auto"/>
        <w:rPr>
          <w:sz w:val="20"/>
          <w:szCs w:val="20"/>
          <w:color w:val="auto"/>
        </w:rPr>
      </w:pPr>
      <w:r>
        <w:rPr>
          <w:rFonts w:ascii="Times New Roman" w:cs="Times New Roman" w:eastAsia="Times New Roman" w:hAnsi="Times New Roman"/>
          <w:sz w:val="24"/>
          <w:szCs w:val="24"/>
          <w:b w:val="1"/>
          <w:bCs w:val="1"/>
          <w:color w:val="auto"/>
        </w:rPr>
        <w:t>CERTAIN IDENTIFIED INFORMATION HAS BEEN REDACTED FROM THIS EXHIBIT FOR SECURITY PURPOSES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THIRD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LOAN AND SECURITY AGREEMENT</w:t>
      </w:r>
    </w:p>
    <w:p>
      <w:pPr>
        <w:spacing w:after="0" w:line="229" w:lineRule="exact"/>
        <w:rPr>
          <w:sz w:val="20"/>
          <w:szCs w:val="20"/>
          <w:color w:val="auto"/>
        </w:rPr>
      </w:pPr>
    </w:p>
    <w:p>
      <w:pPr>
        <w:jc w:val="both"/>
        <w:ind w:firstLine="247"/>
        <w:spacing w:after="0" w:line="255"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Third Amendment to Loan and Security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is dated as of January 29, 2026 and is entered into by and among Replimune Group, Inc., a Delaware corporation, and each of its Subsidiaries (other than Excluded Subsidiaries and the MSC Subsidiary) party to the Loan Agreement as borrower (individually and collectively referred to as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the several banks and other financial institutions or entities from time to time parties to the Loan Agreement (collectively referred to as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and HERCULES CAPITAL, INC., a Maryland corporation, in its capacity as administrative agent and collateral agent for itself and Lenders (in such capacity, “</w:t>
      </w:r>
      <w:r>
        <w:rPr>
          <w:rFonts w:ascii="Times New Roman" w:cs="Times New Roman" w:eastAsia="Times New Roman" w:hAnsi="Times New Roman"/>
          <w:sz w:val="19"/>
          <w:szCs w:val="19"/>
          <w:b w:val="1"/>
          <w:bCs w:val="1"/>
          <w:color w:val="auto"/>
        </w:rPr>
        <w:t>Agent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Capitalized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terms used herein without definition shall have the same meanings given them in the Loan Agreement (as defined below)</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224" w:lineRule="exact"/>
        <w:rPr>
          <w:sz w:val="20"/>
          <w:szCs w:val="20"/>
          <w:color w:val="auto"/>
        </w:rPr>
      </w:pPr>
    </w:p>
    <w:p>
      <w:pPr>
        <w:jc w:val="both"/>
        <w:ind w:firstLine="622"/>
        <w:spacing w:after="0" w:line="254" w:lineRule="auto"/>
        <w:tabs>
          <w:tab w:leader="none" w:pos="1228"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Borrower, Agent and Lenders have entered into that certain Loan and Security Agreement dated as of October 6, 2022, among Borrower, Agent and Lenders (as amended by that certain First Amendment to Loan and Security Agreement dated as of June 28, 2023, as amended by that certain Second Amendment to Loan and Security Agreement dated as of December 22, 2023 and as further amended, restated, amended and restated, supplemented or otherwise modified from time to time, the “</w:t>
      </w:r>
      <w:r>
        <w:rPr>
          <w:rFonts w:ascii="Times New Roman" w:cs="Times New Roman" w:eastAsia="Times New Roman" w:hAnsi="Times New Roman"/>
          <w:sz w:val="19"/>
          <w:szCs w:val="19"/>
          <w:b w:val="1"/>
          <w:bCs w:val="1"/>
          <w:color w:val="auto"/>
        </w:rPr>
        <w:t>Loan Agreement</w:t>
      </w:r>
      <w:r>
        <w:rPr>
          <w:rFonts w:ascii="Times New Roman" w:cs="Times New Roman" w:eastAsia="Times New Roman" w:hAnsi="Times New Roman"/>
          <w:sz w:val="19"/>
          <w:szCs w:val="19"/>
          <w:color w:val="auto"/>
        </w:rPr>
        <w:t>”), pursuant to which Lenders have agreed to extend and make available to Borrower certain advances of money.</w:t>
      </w:r>
    </w:p>
    <w:p>
      <w:pPr>
        <w:spacing w:after="0" w:line="184" w:lineRule="exact"/>
        <w:rPr>
          <w:rFonts w:ascii="Times New Roman" w:cs="Times New Roman" w:eastAsia="Times New Roman" w:hAnsi="Times New Roman"/>
          <w:sz w:val="19"/>
          <w:szCs w:val="19"/>
          <w:b w:val="1"/>
          <w:bCs w:val="1"/>
          <w:color w:val="auto"/>
        </w:rPr>
      </w:pPr>
    </w:p>
    <w:p>
      <w:pPr>
        <w:ind w:firstLine="622"/>
        <w:spacing w:after="0" w:line="269" w:lineRule="auto"/>
        <w:tabs>
          <w:tab w:leader="none" w:pos="1230"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accordance with Section 11.3 of the Loan Agreement, Borrower has requested that Agent and Lenders agree to amend certain provisions of the Loan Agreement.</w:t>
      </w:r>
    </w:p>
    <w:p>
      <w:pPr>
        <w:spacing w:after="0" w:line="167" w:lineRule="exact"/>
        <w:rPr>
          <w:rFonts w:ascii="Times New Roman" w:cs="Times New Roman" w:eastAsia="Times New Roman" w:hAnsi="Times New Roman"/>
          <w:sz w:val="19"/>
          <w:szCs w:val="19"/>
          <w:b w:val="1"/>
          <w:bCs w:val="1"/>
          <w:color w:val="auto"/>
        </w:rPr>
      </w:pPr>
    </w:p>
    <w:p>
      <w:pPr>
        <w:ind w:left="1240" w:hanging="618"/>
        <w:spacing w:after="0"/>
        <w:tabs>
          <w:tab w:leader="none" w:pos="1240" w:val="left"/>
        </w:tabs>
        <w:numPr>
          <w:ilvl w:val="0"/>
          <w:numId w:val="6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Agent and Lenders have agreed to so amend the Loan Agreement upon the terms and conditions more fully set forth herein.</w:t>
      </w:r>
    </w:p>
    <w:p>
      <w:pPr>
        <w:spacing w:after="0" w:line="202" w:lineRule="exact"/>
        <w:rPr>
          <w:rFonts w:ascii="Times New Roman" w:cs="Times New Roman" w:eastAsia="Times New Roman" w:hAnsi="Times New Roman"/>
          <w:sz w:val="19"/>
          <w:szCs w:val="19"/>
          <w:b w:val="1"/>
          <w:bCs w:val="1"/>
          <w:color w:val="auto"/>
        </w:rPr>
      </w:pPr>
    </w:p>
    <w:p>
      <w:pPr>
        <w:ind w:left="518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Agreement</w:t>
      </w:r>
    </w:p>
    <w:p>
      <w:pPr>
        <w:spacing w:after="0" w:line="224" w:lineRule="exact"/>
        <w:rPr>
          <w:sz w:val="20"/>
          <w:szCs w:val="20"/>
          <w:color w:val="auto"/>
        </w:rPr>
      </w:pPr>
    </w:p>
    <w:p>
      <w:pPr>
        <w:ind w:firstLine="204"/>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foregoing Recitals and other good and valuable consideration, the receipt and adequacy of which is hereby acknowledged, and intending to be legally bound, the parties hereto agree as follows:</w:t>
      </w:r>
    </w:p>
    <w:p>
      <w:pPr>
        <w:spacing w:after="0" w:line="125" w:lineRule="exact"/>
        <w:rPr>
          <w:sz w:val="20"/>
          <w:szCs w:val="20"/>
          <w:color w:val="auto"/>
        </w:rPr>
      </w:pPr>
    </w:p>
    <w:p>
      <w:pPr>
        <w:ind w:left="1240" w:hanging="618"/>
        <w:spacing w:after="0"/>
        <w:tabs>
          <w:tab w:leader="none" w:pos="1240"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Amendments</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9"/>
          <w:szCs w:val="19"/>
          <w:color w:val="auto"/>
        </w:rPr>
        <w:t>Effective as of the Third Amendment Closing Date the Loan Agreement (including the Exhibits and Schedules</w:t>
      </w:r>
    </w:p>
    <w:p>
      <w:pPr>
        <w:ind w:left="620"/>
        <w:spacing w:after="0" w:line="198" w:lineRule="auto"/>
        <w:rPr>
          <w:sz w:val="20"/>
          <w:szCs w:val="20"/>
          <w:color w:val="auto"/>
        </w:rPr>
      </w:pPr>
      <w:r>
        <w:rPr>
          <w:rFonts w:ascii="Times New Roman" w:cs="Times New Roman" w:eastAsia="Times New Roman" w:hAnsi="Times New Roman"/>
          <w:sz w:val="19"/>
          <w:szCs w:val="19"/>
          <w:color w:val="auto"/>
        </w:rPr>
        <w:t xml:space="preserve">thereto) is amended to delete the stricken text (indicated textually in the same manner as the following example: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and to add</w:t>
      </w:r>
    </w:p>
    <w:p>
      <w:pPr>
        <w:ind w:left="620"/>
        <w:spacing w:after="0" w:line="229" w:lineRule="auto"/>
        <w:rPr>
          <w:sz w:val="20"/>
          <w:szCs w:val="20"/>
          <w:color w:val="auto"/>
        </w:rPr>
      </w:pPr>
      <w:r>
        <w:rPr>
          <w:rFonts w:ascii="Times New Roman" w:cs="Times New Roman" w:eastAsia="Times New Roman" w:hAnsi="Times New Roman"/>
          <w:sz w:val="19"/>
          <w:szCs w:val="19"/>
          <w:color w:val="auto"/>
        </w:rPr>
        <w:t xml:space="preserve">the double-underlined text (indicated textually in the same manner as the following example: </w:t>
      </w:r>
      <w:r>
        <w:rPr>
          <w:rFonts w:ascii="Times New Roman" w:cs="Times New Roman" w:eastAsia="Times New Roman" w:hAnsi="Times New Roman"/>
          <w:sz w:val="19"/>
          <w:szCs w:val="19"/>
          <w:b w:val="1"/>
          <w:bCs w:val="1"/>
          <w:u w:val="single" w:color="auto"/>
          <w:color w:val="0070C0"/>
        </w:rPr>
        <w:t>double-underlined text</w:t>
      </w:r>
      <w:r>
        <w:rPr>
          <w:rFonts w:ascii="Times New Roman" w:cs="Times New Roman" w:eastAsia="Times New Roman" w:hAnsi="Times New Roman"/>
          <w:sz w:val="19"/>
          <w:szCs w:val="19"/>
          <w:color w:val="auto"/>
        </w:rPr>
        <w:t xml:space="preserve">) as set forth in the Loan Agreement attached as </w:t>
      </w:r>
      <w:r>
        <w:rPr>
          <w:rFonts w:ascii="Times New Roman" w:cs="Times New Roman" w:eastAsia="Times New Roman" w:hAnsi="Times New Roman"/>
          <w:sz w:val="19"/>
          <w:szCs w:val="19"/>
          <w:u w:val="single" w:color="auto"/>
          <w:color w:val="auto"/>
        </w:rPr>
        <w:t>Annex A.</w:t>
      </w:r>
    </w:p>
    <w:p>
      <w:pPr>
        <w:spacing w:after="0" w:line="152" w:lineRule="exact"/>
        <w:rPr>
          <w:sz w:val="20"/>
          <w:szCs w:val="20"/>
          <w:color w:val="auto"/>
        </w:rPr>
      </w:pPr>
    </w:p>
    <w:p>
      <w:pPr>
        <w:ind w:left="620" w:firstLine="1238"/>
        <w:spacing w:after="0" w:line="218" w:lineRule="auto"/>
        <w:rPr>
          <w:sz w:val="20"/>
          <w:szCs w:val="20"/>
          <w:color w:val="auto"/>
        </w:rPr>
      </w:pPr>
      <w:r>
        <w:rPr>
          <w:rFonts w:ascii="Times New Roman" w:cs="Times New Roman" w:eastAsia="Times New Roman" w:hAnsi="Times New Roman"/>
          <w:sz w:val="19"/>
          <w:szCs w:val="19"/>
          <w:b w:val="1"/>
          <w:bCs w:val="1"/>
          <w:color w:val="auto"/>
        </w:rPr>
        <w:t>1.2 Amendment and Restatement of Schedules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5.9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(Current Company IP Claims),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5.10(a)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(Current Company IP), </w:t>
      </w:r>
      <w:r>
        <w:rPr>
          <w:rFonts w:ascii="Times New Roman" w:cs="Times New Roman" w:eastAsia="Times New Roman" w:hAnsi="Times New Roman"/>
          <w:sz w:val="19"/>
          <w:szCs w:val="19"/>
          <w:u w:val="single" w:color="auto"/>
          <w:color w:val="auto"/>
        </w:rPr>
        <w:t>Schedule 5.10(f)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Schedule 5.10(i)</w:t>
      </w:r>
      <w:r>
        <w:rPr>
          <w:rFonts w:ascii="Times New Roman" w:cs="Times New Roman" w:eastAsia="Times New Roman" w:hAnsi="Times New Roman"/>
          <w:sz w:val="19"/>
          <w:szCs w:val="19"/>
          <w:color w:val="auto"/>
        </w:rPr>
        <w:t xml:space="preserve"> (Third Party IP Claims), and </w:t>
      </w:r>
      <w:r>
        <w:rPr>
          <w:rFonts w:ascii="Times New Roman" w:cs="Times New Roman" w:eastAsia="Times New Roman" w:hAnsi="Times New Roman"/>
          <w:sz w:val="19"/>
          <w:szCs w:val="19"/>
          <w:u w:val="single" w:color="auto"/>
          <w:color w:val="auto"/>
        </w:rPr>
        <w:t>Schedule 5.11</w:t>
      </w:r>
      <w:r>
        <w:rPr>
          <w:rFonts w:ascii="Times New Roman" w:cs="Times New Roman" w:eastAsia="Times New Roman" w:hAnsi="Times New Roman"/>
          <w:sz w:val="19"/>
          <w:szCs w:val="19"/>
          <w:color w:val="auto"/>
        </w:rPr>
        <w:t xml:space="preserve"> (Borrower Products) of the Loan</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Agreement are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1240"/>
          </w:cols>
          <w:pgMar w:left="320" w:top="121" w:right="339" w:bottom="1440"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19"/>
          <w:szCs w:val="19"/>
          <w:color w:val="auto"/>
        </w:rPr>
        <w:t>hereby amended, restated and replaced with the form of such Schedule as set forth on Annex B attached to this Amendment.</w:t>
      </w:r>
    </w:p>
    <w:p>
      <w:pPr>
        <w:spacing w:after="0" w:line="177" w:lineRule="exact"/>
        <w:rPr>
          <w:sz w:val="20"/>
          <w:szCs w:val="20"/>
          <w:color w:val="auto"/>
        </w:rPr>
      </w:pPr>
    </w:p>
    <w:p>
      <w:pPr>
        <w:ind w:left="620" w:firstLine="1238"/>
        <w:spacing w:after="0" w:line="235" w:lineRule="auto"/>
        <w:rPr>
          <w:sz w:val="20"/>
          <w:szCs w:val="20"/>
          <w:color w:val="auto"/>
        </w:rPr>
      </w:pPr>
      <w:r>
        <w:rPr>
          <w:rFonts w:ascii="Times New Roman" w:cs="Times New Roman" w:eastAsia="Times New Roman" w:hAnsi="Times New Roman"/>
          <w:sz w:val="19"/>
          <w:szCs w:val="19"/>
          <w:b w:val="1"/>
          <w:bCs w:val="1"/>
          <w:color w:val="auto"/>
        </w:rPr>
        <w:t xml:space="preserve">1.3 </w:t>
      </w:r>
      <w:r>
        <w:rPr>
          <w:rFonts w:ascii="Times New Roman" w:cs="Times New Roman" w:eastAsia="Times New Roman" w:hAnsi="Times New Roman"/>
          <w:sz w:val="19"/>
          <w:szCs w:val="19"/>
          <w:color w:val="auto"/>
        </w:rPr>
        <w:t>Each reference in the Loan Agreement to “this Agreement” and the words “hereof,” “herein,” “hereunder,”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words of like import, shall mean and be a reference to the Loan Agreement as amended by this Amendment.</w:t>
      </w:r>
    </w:p>
    <w:p>
      <w:pPr>
        <w:spacing w:after="0" w:line="152" w:lineRule="exact"/>
        <w:rPr>
          <w:sz w:val="20"/>
          <w:szCs w:val="20"/>
          <w:color w:val="auto"/>
        </w:rPr>
      </w:pPr>
    </w:p>
    <w:p>
      <w:pPr>
        <w:ind w:left="1240" w:hanging="618"/>
        <w:spacing w:after="0"/>
        <w:tabs>
          <w:tab w:leader="none" w:pos="1240" w:val="left"/>
        </w:tabs>
        <w:numPr>
          <w:ilvl w:val="0"/>
          <w:numId w:val="6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Borrower’s Representations And Warranties</w:t>
      </w:r>
      <w:r>
        <w:rPr>
          <w:rFonts w:ascii="Times New Roman" w:cs="Times New Roman" w:eastAsia="Times New Roman" w:hAnsi="Times New Roman"/>
          <w:sz w:val="19"/>
          <w:szCs w:val="19"/>
          <w:color w:val="auto"/>
        </w:rPr>
        <w:t>. Borrower represents and warrants that:</w:t>
      </w:r>
    </w:p>
    <w:p>
      <w:pPr>
        <w:spacing w:after="0" w:line="181" w:lineRule="exact"/>
        <w:rPr>
          <w:sz w:val="20"/>
          <w:szCs w:val="20"/>
          <w:color w:val="auto"/>
        </w:rPr>
      </w:pPr>
    </w:p>
    <w:p>
      <w:pPr>
        <w:ind w:left="620" w:firstLine="1238"/>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Immediately upon giving effect to this Amendment, (i) the representations and warranties contained in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are true and correct in all material respects except to the extent such representations and warranties expressly relate to an earlier</w:t>
      </w:r>
    </w:p>
    <w:p>
      <w:pPr>
        <w:spacing w:after="0" w:line="1" w:lineRule="exact"/>
        <w:rPr>
          <w:sz w:val="20"/>
          <w:szCs w:val="20"/>
          <w:color w:val="auto"/>
        </w:rPr>
      </w:pPr>
    </w:p>
    <w:p>
      <w:pPr>
        <w:ind w:left="620"/>
        <w:spacing w:after="0" w:line="229" w:lineRule="auto"/>
        <w:rPr>
          <w:sz w:val="20"/>
          <w:szCs w:val="20"/>
          <w:color w:val="auto"/>
        </w:rPr>
      </w:pPr>
      <w:r>
        <w:rPr>
          <w:rFonts w:ascii="Times New Roman" w:cs="Times New Roman" w:eastAsia="Times New Roman" w:hAnsi="Times New Roman"/>
          <w:sz w:val="19"/>
          <w:szCs w:val="19"/>
          <w:color w:val="auto"/>
        </w:rPr>
        <w:t>date, in which case they are true and correct in all material respects as of such date and (ii) no Default or Event of Default has occurred and is continuing with respect to which Borrower has not been notified in writing by Agent or Lenders.</w:t>
      </w:r>
    </w:p>
    <w:p>
      <w:pPr>
        <w:spacing w:after="0" w:line="139" w:lineRule="exact"/>
        <w:rPr>
          <w:sz w:val="20"/>
          <w:szCs w:val="20"/>
          <w:color w:val="auto"/>
        </w:rPr>
      </w:pPr>
    </w:p>
    <w:p>
      <w:pPr>
        <w:ind w:left="620" w:firstLine="1238"/>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2.2 </w:t>
      </w:r>
      <w:r>
        <w:rPr>
          <w:rFonts w:ascii="Times New Roman" w:cs="Times New Roman" w:eastAsia="Times New Roman" w:hAnsi="Times New Roman"/>
          <w:sz w:val="19"/>
          <w:szCs w:val="19"/>
          <w:color w:val="auto"/>
        </w:rPr>
        <w:t>Borrower has the corporate power and authority to execute and deliver this Amendment and to perform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under the Loan Agreement, as amended by this Amendment.</w:t>
      </w:r>
    </w:p>
    <w:p>
      <w:pPr>
        <w:spacing w:after="0" w:line="147" w:lineRule="exact"/>
        <w:rPr>
          <w:sz w:val="20"/>
          <w:szCs w:val="20"/>
          <w:color w:val="auto"/>
        </w:rPr>
      </w:pPr>
    </w:p>
    <w:p>
      <w:pPr>
        <w:ind w:left="620" w:firstLine="1238"/>
        <w:spacing w:after="0" w:line="218" w:lineRule="auto"/>
        <w:rPr>
          <w:sz w:val="20"/>
          <w:szCs w:val="20"/>
          <w:color w:val="auto"/>
        </w:rPr>
      </w:pPr>
      <w:r>
        <w:rPr>
          <w:rFonts w:ascii="Times New Roman" w:cs="Times New Roman" w:eastAsia="Times New Roman" w:hAnsi="Times New Roman"/>
          <w:sz w:val="19"/>
          <w:szCs w:val="19"/>
          <w:b w:val="1"/>
          <w:bCs w:val="1"/>
          <w:color w:val="auto"/>
        </w:rPr>
        <w:t xml:space="preserve">2.3 </w:t>
      </w:r>
      <w:r>
        <w:rPr>
          <w:rFonts w:ascii="Times New Roman" w:cs="Times New Roman" w:eastAsia="Times New Roman" w:hAnsi="Times New Roman"/>
          <w:sz w:val="19"/>
          <w:szCs w:val="19"/>
          <w:color w:val="auto"/>
        </w:rPr>
        <w:t>The execution and delivery by Borrower of this Amendment and the performance by Borrower of its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Loan Agreement, as amended by this Amendment, have been duly authorized by all necessary corporate action on the part of</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Borrower.</w:t>
      </w:r>
    </w:p>
    <w:p>
      <w:pPr>
        <w:spacing w:after="0" w:line="157" w:lineRule="exact"/>
        <w:rPr>
          <w:sz w:val="20"/>
          <w:szCs w:val="20"/>
          <w:color w:val="auto"/>
        </w:rPr>
      </w:pPr>
    </w:p>
    <w:p>
      <w:pPr>
        <w:jc w:val="both"/>
        <w:ind w:left="620" w:firstLine="1238"/>
        <w:spacing w:after="0" w:line="218" w:lineRule="auto"/>
        <w:rPr>
          <w:sz w:val="20"/>
          <w:szCs w:val="20"/>
          <w:color w:val="auto"/>
        </w:rPr>
      </w:pPr>
      <w:r>
        <w:rPr>
          <w:rFonts w:ascii="Times New Roman" w:cs="Times New Roman" w:eastAsia="Times New Roman" w:hAnsi="Times New Roman"/>
          <w:sz w:val="19"/>
          <w:szCs w:val="19"/>
          <w:b w:val="1"/>
          <w:bCs w:val="1"/>
          <w:color w:val="auto"/>
        </w:rPr>
        <w:t xml:space="preserve">2.4 </w:t>
      </w:r>
      <w:r>
        <w:rPr>
          <w:rFonts w:ascii="Times New Roman" w:cs="Times New Roman" w:eastAsia="Times New Roman" w:hAnsi="Times New Roman"/>
          <w:sz w:val="19"/>
          <w:szCs w:val="19"/>
          <w:color w:val="auto"/>
        </w:rPr>
        <w:t>This Amendment has been duly executed and delivered by Borrower and is the binding obligation of Borrower,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enforceable against it in accordance with its terms, except as such enforceability may be limited by bankruptcy, insolvency, reorganization,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liquidation, moratorium or other similar laws of general application and equitable principles relating to or affecting creditors’ rights.</w:t>
      </w:r>
    </w:p>
    <w:p>
      <w:pPr>
        <w:spacing w:after="0" w:line="157" w:lineRule="exact"/>
        <w:rPr>
          <w:sz w:val="20"/>
          <w:szCs w:val="20"/>
          <w:color w:val="auto"/>
        </w:rPr>
      </w:pPr>
    </w:p>
    <w:p>
      <w:pPr>
        <w:ind w:left="620" w:firstLine="1238"/>
        <w:spacing w:after="0" w:line="218" w:lineRule="auto"/>
        <w:rPr>
          <w:sz w:val="20"/>
          <w:szCs w:val="20"/>
          <w:color w:val="auto"/>
        </w:rPr>
      </w:pPr>
      <w:r>
        <w:rPr>
          <w:rFonts w:ascii="Times New Roman" w:cs="Times New Roman" w:eastAsia="Times New Roman" w:hAnsi="Times New Roman"/>
          <w:sz w:val="19"/>
          <w:szCs w:val="19"/>
          <w:b w:val="1"/>
          <w:bCs w:val="1"/>
          <w:color w:val="auto"/>
        </w:rPr>
        <w:t xml:space="preserve">2.5 </w:t>
      </w:r>
      <w:r>
        <w:rPr>
          <w:rFonts w:ascii="Times New Roman" w:cs="Times New Roman" w:eastAsia="Times New Roman" w:hAnsi="Times New Roman"/>
          <w:sz w:val="19"/>
          <w:szCs w:val="19"/>
          <w:color w:val="auto"/>
        </w:rPr>
        <w:t>As of the date hereof, it has no defenses against the obligations to pay any amounts under the Secured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acknowledges that each of Agent and Lenders has, as of the date hereof, acted in good faith and has conducted in a commercially</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reasonable manner its relationships with Borrower in connection with this Amendment and in connection with the Loan Documents.</w:t>
      </w:r>
    </w:p>
    <w:p>
      <w:pPr>
        <w:spacing w:after="0" w:line="161"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Borrower understands and acknowledges that each of Agent and Lenders is entering into this Amendment in reliance upon, and in partial consideration for, the above representations and warranties, and agrees that such reliance is reasonable and appropriate.</w:t>
      </w:r>
    </w:p>
    <w:p>
      <w:pPr>
        <w:spacing w:after="0" w:line="138" w:lineRule="exact"/>
        <w:rPr>
          <w:sz w:val="20"/>
          <w:szCs w:val="20"/>
          <w:color w:val="auto"/>
        </w:rPr>
      </w:pPr>
    </w:p>
    <w:p>
      <w:pPr>
        <w:jc w:val="both"/>
        <w:ind w:firstLine="622"/>
        <w:spacing w:after="0" w:line="217" w:lineRule="auto"/>
        <w:tabs>
          <w:tab w:leader="none" w:pos="1237"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Limitation</w:t>
      </w:r>
      <w:r>
        <w:rPr>
          <w:rFonts w:ascii="Times New Roman" w:cs="Times New Roman" w:eastAsia="Times New Roman" w:hAnsi="Times New Roman"/>
          <w:sz w:val="19"/>
          <w:szCs w:val="19"/>
          <w:color w:val="auto"/>
        </w:rPr>
        <w:t>. The amendments set forth in this Amendment shall be limited precisely as written and shall not be deemed (a) to be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waiver or modification of any other term or condition of the Loan Agreement or of any other instrument or agreement referred to therein or to prejudice any right or remedy which Agent and/or Lenders may now have or may have in the future under or in connection with the Loan Agreement (as amended hereby) or any instrument or agreement referred to therein; or (b) to be a consent to any future amendment or modification or waiver to any instrument or agreement the execution and delivery of which is consented to hereby. Except as expressly amended hereby, the Loan Agreement shall continue in full force and effect.</w:t>
      </w:r>
    </w:p>
    <w:p>
      <w:pPr>
        <w:spacing w:after="0" w:line="155" w:lineRule="exact"/>
        <w:rPr>
          <w:rFonts w:ascii="Times New Roman" w:cs="Times New Roman" w:eastAsia="Times New Roman" w:hAnsi="Times New Roman"/>
          <w:sz w:val="19"/>
          <w:szCs w:val="19"/>
          <w:b w:val="1"/>
          <w:bCs w:val="1"/>
          <w:color w:val="auto"/>
        </w:rPr>
      </w:pPr>
    </w:p>
    <w:p>
      <w:pPr>
        <w:ind w:firstLine="622"/>
        <w:spacing w:after="0" w:line="235" w:lineRule="auto"/>
        <w:tabs>
          <w:tab w:leader="none" w:pos="1237"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Effectiveness</w:t>
      </w:r>
      <w:r>
        <w:rPr>
          <w:rFonts w:ascii="Times New Roman" w:cs="Times New Roman" w:eastAsia="Times New Roman" w:hAnsi="Times New Roman"/>
          <w:sz w:val="19"/>
          <w:szCs w:val="19"/>
          <w:color w:val="auto"/>
        </w:rPr>
        <w:t>. This Amendment shall become effective upon the satisfaction of all of the following conditions precedent (such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satisfaction of such condition precedents, the “</w:t>
      </w:r>
      <w:r>
        <w:rPr>
          <w:rFonts w:ascii="Times New Roman" w:cs="Times New Roman" w:eastAsia="Times New Roman" w:hAnsi="Times New Roman"/>
          <w:sz w:val="19"/>
          <w:szCs w:val="19"/>
          <w:b w:val="1"/>
          <w:bCs w:val="1"/>
          <w:color w:val="auto"/>
        </w:rPr>
        <w:t>Third Amendment Closing Date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left="620" w:firstLine="1238"/>
        <w:spacing w:after="0" w:line="245" w:lineRule="auto"/>
        <w:rPr>
          <w:sz w:val="20"/>
          <w:szCs w:val="20"/>
          <w:color w:val="auto"/>
        </w:rPr>
      </w:pPr>
      <w:r>
        <w:rPr>
          <w:rFonts w:ascii="Times New Roman" w:cs="Times New Roman" w:eastAsia="Times New Roman" w:hAnsi="Times New Roman"/>
          <w:sz w:val="19"/>
          <w:szCs w:val="19"/>
          <w:b w:val="1"/>
          <w:bCs w:val="1"/>
          <w:color w:val="auto"/>
        </w:rPr>
        <w:t>4.1 Amendment Documents</w:t>
      </w:r>
      <w:r>
        <w:rPr>
          <w:rFonts w:ascii="Times New Roman" w:cs="Times New Roman" w:eastAsia="Times New Roman" w:hAnsi="Times New Roman"/>
          <w:sz w:val="19"/>
          <w:szCs w:val="19"/>
          <w:color w:val="auto"/>
        </w:rPr>
        <w:t>. Borrower, Agent and Lenders shall have duly executed and delivered this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Intellectual Property Security Agreement, and the Supplemental Debenture to English Debenture to Lenders.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1240"/>
          </w:cols>
          <w:pgMar w:left="320" w:top="1343" w:right="339" w:bottom="1440" w:gutter="0" w:footer="0" w:header="0"/>
        </w:sectPr>
      </w:pPr>
    </w:p>
    <w:bookmarkStart w:id="101" w:name="page102"/>
    <w:bookmarkEnd w:id="101"/>
    <w:p>
      <w:pPr>
        <w:ind w:left="620" w:firstLine="1238"/>
        <w:spacing w:after="0" w:line="245" w:lineRule="auto"/>
        <w:rPr>
          <w:sz w:val="20"/>
          <w:szCs w:val="20"/>
          <w:color w:val="auto"/>
        </w:rPr>
      </w:pPr>
      <w:r>
        <w:rPr>
          <w:rFonts w:ascii="Times New Roman" w:cs="Times New Roman" w:eastAsia="Times New Roman" w:hAnsi="Times New Roman"/>
          <w:sz w:val="19"/>
          <w:szCs w:val="19"/>
          <w:b w:val="1"/>
          <w:bCs w:val="1"/>
          <w:color w:val="auto"/>
        </w:rPr>
        <w:t>4.2 English Law Legal Opinion</w:t>
      </w:r>
      <w:r>
        <w:rPr>
          <w:rFonts w:ascii="Times New Roman" w:cs="Times New Roman" w:eastAsia="Times New Roman" w:hAnsi="Times New Roman"/>
          <w:sz w:val="19"/>
          <w:szCs w:val="19"/>
          <w:color w:val="auto"/>
        </w:rPr>
        <w:t>. Agent shall have received a legal opinion of Agent’s English counsel in form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substance reasonably acceptable to Agent;</w:t>
      </w:r>
    </w:p>
    <w:p>
      <w:pPr>
        <w:spacing w:after="0" w:line="134" w:lineRule="exact"/>
        <w:rPr>
          <w:sz w:val="20"/>
          <w:szCs w:val="20"/>
          <w:color w:val="auto"/>
        </w:rPr>
      </w:pPr>
    </w:p>
    <w:p>
      <w:pPr>
        <w:ind w:left="620" w:firstLine="1238"/>
        <w:spacing w:after="0" w:line="225" w:lineRule="auto"/>
        <w:rPr>
          <w:sz w:val="20"/>
          <w:szCs w:val="20"/>
          <w:color w:val="auto"/>
        </w:rPr>
      </w:pPr>
      <w:r>
        <w:rPr>
          <w:rFonts w:ascii="Times New Roman" w:cs="Times New Roman" w:eastAsia="Times New Roman" w:hAnsi="Times New Roman"/>
          <w:sz w:val="19"/>
          <w:szCs w:val="19"/>
          <w:b w:val="1"/>
          <w:bCs w:val="1"/>
          <w:color w:val="auto"/>
        </w:rPr>
        <w:t>4.3 Tranche 3 Milestone</w:t>
      </w:r>
      <w:r>
        <w:rPr>
          <w:rFonts w:ascii="Times New Roman" w:cs="Times New Roman" w:eastAsia="Times New Roman" w:hAnsi="Times New Roman"/>
          <w:sz w:val="19"/>
          <w:szCs w:val="19"/>
          <w:color w:val="auto"/>
        </w:rPr>
        <w:t>. Agent shall have received evidence satisfactory to Agent of each of the following events: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Default or Event of Default shall have occurred and be continuing and (b) Borrower shall have delivered evidence satisfactory to Agent</w:t>
      </w:r>
    </w:p>
    <w:p>
      <w:pPr>
        <w:spacing w:after="0" w:line="1" w:lineRule="exact"/>
        <w:rPr>
          <w:sz w:val="20"/>
          <w:szCs w:val="20"/>
          <w:color w:val="auto"/>
        </w:rPr>
      </w:pPr>
    </w:p>
    <w:p>
      <w:pPr>
        <w:jc w:val="both"/>
        <w:ind w:left="620"/>
        <w:spacing w:after="0" w:line="205" w:lineRule="auto"/>
        <w:rPr>
          <w:sz w:val="20"/>
          <w:szCs w:val="20"/>
          <w:color w:val="auto"/>
        </w:rPr>
      </w:pPr>
      <w:r>
        <w:rPr>
          <w:rFonts w:ascii="Times New Roman" w:cs="Times New Roman" w:eastAsia="Times New Roman" w:hAnsi="Times New Roman"/>
          <w:sz w:val="19"/>
          <w:szCs w:val="19"/>
          <w:color w:val="auto"/>
        </w:rPr>
        <w:t>(as determined by Agent in its sole discretion) that after January 2, 2026 and prior to the Third Amendment Closing Date, unrestricted and unencumbered net cash proceeds of at least Twenty Million Dollars ($20,000,000) from any of (a) the issuance of Borrower’s equity, (b)</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Permitted Convertible Debt or (c) Subordinated Indebtedness.</w:t>
      </w:r>
    </w:p>
    <w:p>
      <w:pPr>
        <w:spacing w:after="0" w:line="157" w:lineRule="exact"/>
        <w:rPr>
          <w:sz w:val="20"/>
          <w:szCs w:val="20"/>
          <w:color w:val="auto"/>
        </w:rPr>
      </w:pPr>
    </w:p>
    <w:p>
      <w:pPr>
        <w:ind w:left="620" w:firstLine="1238"/>
        <w:spacing w:after="0" w:line="235" w:lineRule="auto"/>
        <w:rPr>
          <w:sz w:val="20"/>
          <w:szCs w:val="20"/>
          <w:color w:val="auto"/>
        </w:rPr>
      </w:pPr>
      <w:r>
        <w:rPr>
          <w:rFonts w:ascii="Times New Roman" w:cs="Times New Roman" w:eastAsia="Times New Roman" w:hAnsi="Times New Roman"/>
          <w:sz w:val="19"/>
          <w:szCs w:val="19"/>
          <w:b w:val="1"/>
          <w:bCs w:val="1"/>
          <w:color w:val="auto"/>
        </w:rPr>
        <w:t>4.4 Advance Request</w:t>
      </w:r>
      <w:r>
        <w:rPr>
          <w:rFonts w:ascii="Times New Roman" w:cs="Times New Roman" w:eastAsia="Times New Roman" w:hAnsi="Times New Roman"/>
          <w:sz w:val="19"/>
          <w:szCs w:val="19"/>
          <w:color w:val="auto"/>
        </w:rPr>
        <w:t>. Agent shall have received a duly executed Advance Request with respect to the Tranche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Advance to be made on the Third Amendment Closing Date at least one (1) Business Day before the Third Amendment Closing Date.</w:t>
      </w:r>
    </w:p>
    <w:p>
      <w:pPr>
        <w:spacing w:after="0" w:line="151"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19"/>
          <w:szCs w:val="19"/>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Company IP Searches</w:t>
      </w:r>
      <w:r>
        <w:rPr>
          <w:rFonts w:ascii="Times New Roman" w:cs="Times New Roman" w:eastAsia="Times New Roman" w:hAnsi="Times New Roman"/>
          <w:sz w:val="19"/>
          <w:szCs w:val="19"/>
          <w:color w:val="auto"/>
        </w:rPr>
        <w:t>. Borrower shall have delivered reasonably recent searches at the U.S. Patent and</w:t>
      </w:r>
    </w:p>
    <w:p>
      <w:pPr>
        <w:ind w:left="620"/>
        <w:spacing w:after="0" w:line="205" w:lineRule="auto"/>
        <w:rPr>
          <w:sz w:val="20"/>
          <w:szCs w:val="20"/>
          <w:color w:val="auto"/>
        </w:rPr>
      </w:pPr>
      <w:r>
        <w:rPr>
          <w:rFonts w:ascii="Times New Roman" w:cs="Times New Roman" w:eastAsia="Times New Roman" w:hAnsi="Times New Roman"/>
          <w:sz w:val="19"/>
          <w:szCs w:val="19"/>
          <w:color w:val="auto"/>
        </w:rPr>
        <w:t>Trademark Office or the U.S. Copyright Office, as applicable, and searches of the patent and trademark registers, as applicable, of the UK Intellectual Property Office listing issued or pending applicable registered Intellectual Property included in the Current Company IP of</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Borrower;</w:t>
      </w:r>
    </w:p>
    <w:p>
      <w:pPr>
        <w:spacing w:after="0" w:line="157" w:lineRule="exact"/>
        <w:rPr>
          <w:sz w:val="20"/>
          <w:szCs w:val="20"/>
          <w:color w:val="auto"/>
        </w:rPr>
      </w:pPr>
    </w:p>
    <w:p>
      <w:pPr>
        <w:ind w:left="620" w:firstLine="1238"/>
        <w:spacing w:after="0" w:line="230" w:lineRule="auto"/>
        <w:rPr>
          <w:sz w:val="20"/>
          <w:szCs w:val="20"/>
          <w:color w:val="auto"/>
        </w:rPr>
      </w:pPr>
      <w:r>
        <w:rPr>
          <w:rFonts w:ascii="Times New Roman" w:cs="Times New Roman" w:eastAsia="Times New Roman" w:hAnsi="Times New Roman"/>
          <w:sz w:val="18"/>
          <w:szCs w:val="18"/>
          <w:b w:val="1"/>
          <w:bCs w:val="1"/>
          <w:color w:val="auto"/>
        </w:rPr>
        <w:t>4.6 Payment of Lender Expenses</w:t>
      </w:r>
      <w:r>
        <w:rPr>
          <w:rFonts w:ascii="Times New Roman" w:cs="Times New Roman" w:eastAsia="Times New Roman" w:hAnsi="Times New Roman"/>
          <w:sz w:val="18"/>
          <w:szCs w:val="18"/>
          <w:color w:val="auto"/>
        </w:rPr>
        <w:t>. Borrower shall have paid (a) to Agent, for the ratable benefit of the Lenders,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Tranche 3 Facility Charge in an amount of One Hundred Seventy-Five Thousand Dollars ($175,000) and (b) all reasonable Lender expenses</w:t>
      </w:r>
    </w:p>
    <w:p>
      <w:pPr>
        <w:spacing w:after="0" w:line="1" w:lineRule="exact"/>
        <w:rPr>
          <w:sz w:val="20"/>
          <w:szCs w:val="20"/>
          <w:color w:val="auto"/>
        </w:rPr>
      </w:pPr>
    </w:p>
    <w:p>
      <w:pPr>
        <w:ind w:left="620"/>
        <w:spacing w:after="0" w:line="229" w:lineRule="auto"/>
        <w:rPr>
          <w:sz w:val="20"/>
          <w:szCs w:val="20"/>
          <w:color w:val="auto"/>
        </w:rPr>
      </w:pPr>
      <w:r>
        <w:rPr>
          <w:rFonts w:ascii="Times New Roman" w:cs="Times New Roman" w:eastAsia="Times New Roman" w:hAnsi="Times New Roman"/>
          <w:sz w:val="19"/>
          <w:szCs w:val="19"/>
          <w:color w:val="auto"/>
        </w:rPr>
        <w:t>(including all reasonable attorneys' fees and reasonable expenses) incurred through the date of this Amendment for the documentation and negotiation of this Amendment, in each case, to the extent invoiced on or prior to the Third Amendment Closing Date.</w:t>
      </w:r>
    </w:p>
    <w:p>
      <w:pPr>
        <w:spacing w:after="0" w:line="139" w:lineRule="exact"/>
        <w:rPr>
          <w:sz w:val="20"/>
          <w:szCs w:val="20"/>
          <w:color w:val="auto"/>
        </w:rPr>
      </w:pPr>
    </w:p>
    <w:p>
      <w:pPr>
        <w:jc w:val="both"/>
        <w:ind w:firstLine="622"/>
        <w:spacing w:after="0" w:line="211" w:lineRule="auto"/>
        <w:tabs>
          <w:tab w:leader="none" w:pos="1237"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9"/>
          <w:szCs w:val="19"/>
          <w:color w:val="auto"/>
        </w:rPr>
        <w:t>. In consideration of the agreements of Agent and each Lender contained herein and for other good and valuable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 and all such other persons being hereinafter referred to collectively as the “Releasees” and individually as a “Releasee”),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prior to the execution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existing prior to the execution of this Amendment which could now be asserted or which may hereafter be discovered shall affect in any manner the final, absolute and unconditional nature of the release set forth above.</w:t>
      </w:r>
    </w:p>
    <w:p>
      <w:pPr>
        <w:spacing w:after="0" w:line="162" w:lineRule="exact"/>
        <w:rPr>
          <w:rFonts w:ascii="Times New Roman" w:cs="Times New Roman" w:eastAsia="Times New Roman" w:hAnsi="Times New Roman"/>
          <w:sz w:val="19"/>
          <w:szCs w:val="19"/>
          <w:b w:val="1"/>
          <w:bCs w:val="1"/>
          <w:color w:val="auto"/>
        </w:rPr>
      </w:pPr>
    </w:p>
    <w:p>
      <w:pPr>
        <w:jc w:val="both"/>
        <w:ind w:firstLine="622"/>
        <w:spacing w:after="0" w:line="223" w:lineRule="auto"/>
        <w:tabs>
          <w:tab w:leader="none" w:pos="1237"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19"/>
          <w:szCs w:val="19"/>
          <w:color w:val="auto"/>
        </w:rPr>
        <w:t>. This Amendment may be signed in any number of counterparts, and by different parties hereto in separate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counterparts, with the same effect as if the signatures to each such counterpart were upon a single instrument. All counterparts shall be deemed an original of this Amendment. This Amendment may be executed by facsimile, portable document format (.pdf) or similar technology signature, and such signature shall constitute an original for all purposes.</w:t>
      </w:r>
    </w:p>
    <w:p>
      <w:pPr>
        <w:spacing w:after="0" w:line="141" w:lineRule="exact"/>
        <w:rPr>
          <w:rFonts w:ascii="Times New Roman" w:cs="Times New Roman" w:eastAsia="Times New Roman" w:hAnsi="Times New Roman"/>
          <w:sz w:val="19"/>
          <w:szCs w:val="19"/>
          <w:b w:val="1"/>
          <w:bCs w:val="1"/>
          <w:color w:val="auto"/>
        </w:rPr>
      </w:pPr>
    </w:p>
    <w:p>
      <w:pPr>
        <w:ind w:firstLine="622"/>
        <w:spacing w:after="0" w:line="245" w:lineRule="auto"/>
        <w:tabs>
          <w:tab w:leader="none" w:pos="1237"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Incorporation By Reference. </w:t>
      </w:r>
      <w:r>
        <w:rPr>
          <w:rFonts w:ascii="Times New Roman" w:cs="Times New Roman" w:eastAsia="Times New Roman" w:hAnsi="Times New Roman"/>
          <w:sz w:val="19"/>
          <w:szCs w:val="19"/>
          <w:color w:val="auto"/>
        </w:rPr>
        <w:t>The provisions of Section 11 of the Loan Agreement shall be deemed incorporated herein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reference,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1240"/>
          </w:cols>
          <w:pgMar w:left="320" w:top="1339" w:right="339" w:bottom="1440" w:gutter="0" w:footer="0" w:header="0"/>
        </w:sectPr>
      </w:pPr>
    </w:p>
    <w:bookmarkStart w:id="102" w:name="page103"/>
    <w:bookmarkEnd w:id="102"/>
    <w:p>
      <w:pPr>
        <w:jc w:val="both"/>
        <w:ind w:firstLine="622"/>
        <w:spacing w:after="0" w:line="212" w:lineRule="auto"/>
        <w:tabs>
          <w:tab w:leader="none" w:pos="1237"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Reaffirmation</w:t>
      </w:r>
      <w:r>
        <w:rPr>
          <w:rFonts w:ascii="Times New Roman" w:cs="Times New Roman" w:eastAsia="Times New Roman" w:hAnsi="Times New Roman"/>
          <w:sz w:val="19"/>
          <w:szCs w:val="19"/>
          <w:color w:val="auto"/>
        </w:rPr>
        <w:t>. By executing and delivering a counterpart hereof, (i) Borrower hereby agrees that all Advances incurred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shall be secured by the Collateral pursuant to the applicable Loan Documents in accordance with the terms and provisions thereof and (ii) Borrower hereby (A) agrees that, notwithstanding the effectiveness of this Amendment, after giving effect to this Amendment, the Loan Documents continue to be in full force and effect, (B) agrees that all of the Liens and security interests created and arising under the Loan Documents remain in full force and effect on a continuous basis, and the perfected status and priority of each such Lien and security interest continues in full force and effect on a continuous basis, unimpaired, uninterrupted and undischarged, as collateral security for its obligations, liabilities and indebtedness under the Loan Agreement to the extent provided in, and subject to the limitations and qualifications set forth in, such Loan Documents (as amended by this Amendment) and (C) affirms and confirms all of its obligations, liabilities and indebtedness under the Loan Agreement and each other Loan Document, in each case after giving effect to this Amendment, including the pledge of and/or grant of a security interest in its assets as Collateral pursuant to the Loan Documents to secure such Secured Obligations, all as provided in the Loan Documents, and acknowledges and agrees that such obligations, liabilities, guarantee, pledge and grant continue in full force and effect in respect of, and to secure, such Secured Obligations under the Loan Agreement and the other Loan Documents, in each case, to the extent provided in, and subject to the limitations and qualifications set forth in, such Loan Documents (as amended by this Amendment).</w:t>
      </w:r>
    </w:p>
    <w:p>
      <w:pPr>
        <w:spacing w:after="0" w:line="18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1240"/>
          </w:cols>
          <w:pgMar w:left="320" w:top="1339" w:right="339" w:bottom="1440" w:gutter="0" w:footer="0" w:header="0"/>
        </w:sectPr>
      </w:pPr>
    </w:p>
    <w:bookmarkStart w:id="103" w:name="page104"/>
    <w:bookmarkEnd w:id="103"/>
    <w:p>
      <w:pPr>
        <w:ind w:left="60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duly authorized and caused this Amendment to be executed as of the date first written above.</w:t>
      </w:r>
    </w:p>
    <w:p>
      <w:pPr>
        <w:spacing w:after="0" w:line="200" w:lineRule="exact"/>
        <w:rPr>
          <w:sz w:val="20"/>
          <w:szCs w:val="20"/>
          <w:color w:val="auto"/>
        </w:rPr>
      </w:pPr>
    </w:p>
    <w:p>
      <w:pPr>
        <w:spacing w:after="0" w:line="3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BORROWER:</w:t>
      </w:r>
    </w:p>
    <w:p>
      <w:pPr>
        <w:spacing w:after="0" w:line="21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REPLIMUNE GROUP, INC.</w:t>
      </w:r>
    </w:p>
    <w:p>
      <w:pPr>
        <w:spacing w:after="0" w:line="220" w:lineRule="exact"/>
        <w:rPr>
          <w:sz w:val="20"/>
          <w:szCs w:val="20"/>
          <w:color w:val="auto"/>
        </w:rPr>
      </w:pPr>
    </w:p>
    <w:p>
      <w:pPr>
        <w:ind w:left="4380"/>
        <w:spacing w:after="0"/>
        <w:tabs>
          <w:tab w:leader="none" w:pos="53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___/Sushil Patel/________</w:t>
      </w:r>
    </w:p>
    <w:p>
      <w:pPr>
        <w:spacing w:after="0" w:line="207"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8"/>
          <w:szCs w:val="18"/>
          <w:color w:val="auto"/>
        </w:rPr>
        <w:t>Sushil Patel</w:t>
      </w:r>
    </w:p>
    <w:p>
      <w:pPr>
        <w:spacing w:after="0" w:line="220" w:lineRule="exact"/>
        <w:rPr>
          <w:sz w:val="20"/>
          <w:szCs w:val="20"/>
          <w:color w:val="auto"/>
        </w:rPr>
      </w:pPr>
    </w:p>
    <w:p>
      <w:pPr>
        <w:ind w:left="438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CEO</w:t>
      </w:r>
    </w:p>
    <w:p>
      <w:pPr>
        <w:spacing w:after="0" w:line="200" w:lineRule="exact"/>
        <w:rPr>
          <w:sz w:val="20"/>
          <w:szCs w:val="20"/>
          <w:color w:val="auto"/>
        </w:rPr>
      </w:pPr>
    </w:p>
    <w:p>
      <w:pPr>
        <w:spacing w:after="0" w:line="2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REPLIMUNE, INC.</w:t>
      </w:r>
    </w:p>
    <w:p>
      <w:pPr>
        <w:spacing w:after="0" w:line="207" w:lineRule="exact"/>
        <w:rPr>
          <w:sz w:val="20"/>
          <w:szCs w:val="20"/>
          <w:color w:val="auto"/>
        </w:rPr>
      </w:pPr>
    </w:p>
    <w:p>
      <w:pPr>
        <w:ind w:left="4380"/>
        <w:spacing w:after="0"/>
        <w:tabs>
          <w:tab w:leader="none" w:pos="53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___/Sushil Patel/_________</w:t>
      </w:r>
    </w:p>
    <w:p>
      <w:pPr>
        <w:spacing w:after="0" w:line="220"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8"/>
          <w:szCs w:val="18"/>
          <w:color w:val="auto"/>
        </w:rPr>
        <w:t>Sushil Patel</w:t>
      </w:r>
    </w:p>
    <w:p>
      <w:pPr>
        <w:spacing w:after="0" w:line="207" w:lineRule="exact"/>
        <w:rPr>
          <w:sz w:val="20"/>
          <w:szCs w:val="20"/>
          <w:color w:val="auto"/>
        </w:rPr>
      </w:pPr>
    </w:p>
    <w:p>
      <w:pPr>
        <w:ind w:left="438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CEO</w:t>
      </w:r>
    </w:p>
    <w:p>
      <w:pPr>
        <w:spacing w:after="0" w:line="200" w:lineRule="exact"/>
        <w:rPr>
          <w:sz w:val="20"/>
          <w:szCs w:val="20"/>
          <w:color w:val="auto"/>
        </w:rPr>
      </w:pPr>
    </w:p>
    <w:p>
      <w:pPr>
        <w:spacing w:after="0" w:line="2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REPLIMUNE LIMITED</w:t>
      </w:r>
    </w:p>
    <w:p>
      <w:pPr>
        <w:spacing w:after="0" w:line="220" w:lineRule="exact"/>
        <w:rPr>
          <w:sz w:val="20"/>
          <w:szCs w:val="20"/>
          <w:color w:val="auto"/>
        </w:rPr>
      </w:pPr>
    </w:p>
    <w:p>
      <w:pPr>
        <w:ind w:left="4380"/>
        <w:spacing w:after="0"/>
        <w:tabs>
          <w:tab w:leader="none" w:pos="53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____/Sushil Patel/________</w:t>
      </w:r>
    </w:p>
    <w:p>
      <w:pPr>
        <w:spacing w:after="0" w:line="207" w:lineRule="exact"/>
        <w:rPr>
          <w:sz w:val="20"/>
          <w:szCs w:val="20"/>
          <w:color w:val="auto"/>
        </w:rPr>
      </w:pPr>
    </w:p>
    <w:p>
      <w:pPr>
        <w:ind w:left="4380"/>
        <w:spacing w:after="0"/>
        <w:tabs>
          <w:tab w:leader="none" w:pos="5460" w:val="left"/>
        </w:tabs>
        <w:rPr>
          <w:sz w:val="20"/>
          <w:szCs w:val="20"/>
          <w:color w:val="auto"/>
        </w:rPr>
      </w:pPr>
      <w:r>
        <w:rPr>
          <w:rFonts w:ascii="Times New Roman" w:cs="Times New Roman" w:eastAsia="Times New Roman" w:hAnsi="Times New Roman"/>
          <w:sz w:val="19"/>
          <w:szCs w:val="19"/>
          <w:color w:val="auto"/>
        </w:rPr>
        <w:t>Print Name:</w:t>
      </w:r>
      <w:r>
        <w:rPr>
          <w:sz w:val="20"/>
          <w:szCs w:val="20"/>
          <w:color w:val="auto"/>
        </w:rPr>
        <w:tab/>
      </w:r>
      <w:r>
        <w:rPr>
          <w:rFonts w:ascii="Times New Roman" w:cs="Times New Roman" w:eastAsia="Times New Roman" w:hAnsi="Times New Roman"/>
          <w:sz w:val="18"/>
          <w:szCs w:val="18"/>
          <w:color w:val="auto"/>
        </w:rPr>
        <w:t>Sushil Patel</w:t>
      </w:r>
    </w:p>
    <w:p>
      <w:pPr>
        <w:spacing w:after="0" w:line="220" w:lineRule="exact"/>
        <w:rPr>
          <w:sz w:val="20"/>
          <w:szCs w:val="20"/>
          <w:color w:val="auto"/>
        </w:rPr>
      </w:pPr>
    </w:p>
    <w:p>
      <w:pPr>
        <w:ind w:left="4380"/>
        <w:spacing w:after="0"/>
        <w:tabs>
          <w:tab w:leader="none" w:pos="514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[Signature Page – Third Amendment to LSA (Replimune)]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0560"/>
          </w:cols>
          <w:pgMar w:left="340" w:top="1352"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color w:val="auto"/>
        </w:rPr>
        <w:t>Accepted in Palo Alto, California:</w:t>
      </w:r>
    </w:p>
    <w:p>
      <w:pPr>
        <w:spacing w:after="0" w:line="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AGENT:</w:t>
      </w:r>
    </w:p>
    <w:p>
      <w:pPr>
        <w:spacing w:after="0" w:line="1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20" w:lineRule="exact"/>
        <w:rPr>
          <w:sz w:val="20"/>
          <w:szCs w:val="20"/>
          <w:color w:val="auto"/>
        </w:rPr>
      </w:pPr>
    </w:p>
    <w:p>
      <w:pPr>
        <w:ind w:left="4340"/>
        <w:spacing w:after="0"/>
        <w:tabs>
          <w:tab w:leader="none" w:pos="5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____/Seth Meyer/__________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Seth Meyer</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 CFO</w:t>
      </w: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LENDERS:</w:t>
      </w:r>
    </w:p>
    <w:p>
      <w:pPr>
        <w:spacing w:after="0" w:line="2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CAPITAL, INC.</w:t>
      </w:r>
    </w:p>
    <w:p>
      <w:pPr>
        <w:spacing w:after="0" w:line="220" w:lineRule="exact"/>
        <w:rPr>
          <w:sz w:val="20"/>
          <w:szCs w:val="20"/>
          <w:color w:val="auto"/>
        </w:rPr>
      </w:pPr>
    </w:p>
    <w:p>
      <w:pPr>
        <w:ind w:left="4340"/>
        <w:spacing w:after="0"/>
        <w:tabs>
          <w:tab w:leader="none" w:pos="5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____/Seth Meyer/_______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Seth Meyer</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Title: CFO</w:t>
      </w: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PRIVATE CREDIT FUND 1 L.P.</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Hercules Private Global Venture Growth Fund GP I LLC, its general partner</w:t>
      </w:r>
    </w:p>
    <w:p>
      <w:pPr>
        <w:spacing w:after="0" w:line="231" w:lineRule="exact"/>
        <w:rPr>
          <w:sz w:val="20"/>
          <w:szCs w:val="20"/>
          <w:color w:val="auto"/>
        </w:rPr>
      </w:pPr>
    </w:p>
    <w:p>
      <w:pPr>
        <w:ind w:left="4340"/>
        <w:spacing w:after="0"/>
        <w:tabs>
          <w:tab w:leader="none" w:pos="528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8"/>
          <w:szCs w:val="18"/>
          <w:color w:val="auto"/>
        </w:rPr>
        <w:t>___/Seth Meyer/_________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Print Name: Seth Meyer</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HERCULES PRIVATE GLOBAL VENTURE GROWTH FUND I L.P.</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 Hercules Private Global Venture Growth Fund GP I LLC, its general partner</w:t>
      </w:r>
    </w:p>
    <w:p>
      <w:pPr>
        <w:spacing w:after="0" w:line="2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Signature: ___/Seth Meyer/_____</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[Signature Page – Third Amendment to LSA (Replimune)]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0420"/>
          </w:cols>
          <w:pgMar w:left="320" w:top="1356" w:right="1159" w:bottom="1440" w:gutter="0" w:footer="0" w:header="0"/>
        </w:sectPr>
      </w:pPr>
    </w:p>
    <w:bookmarkStart w:id="105" w:name="page106"/>
    <w:bookmarkEnd w:id="105"/>
    <w:p>
      <w:pPr>
        <w:ind w:left="4320"/>
        <w:spacing w:after="0"/>
        <w:rPr>
          <w:sz w:val="20"/>
          <w:szCs w:val="20"/>
          <w:color w:val="auto"/>
        </w:rPr>
      </w:pPr>
      <w:r>
        <w:rPr>
          <w:rFonts w:ascii="Times New Roman" w:cs="Times New Roman" w:eastAsia="Times New Roman" w:hAnsi="Times New Roman"/>
          <w:sz w:val="19"/>
          <w:szCs w:val="19"/>
          <w:color w:val="auto"/>
        </w:rPr>
        <w:t>HERCULES VENTURE GROWTH CREDIT OPPORTUNITIES FUND 1 L.P.</w:t>
      </w:r>
    </w:p>
    <w:p>
      <w:pPr>
        <w:spacing w:after="0" w:line="2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 Hercules Venture Growth Credit Opportunities Fund GP I LLC, its general partner</w:t>
      </w:r>
    </w:p>
    <w:p>
      <w:pPr>
        <w:spacing w:after="0" w:line="2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Signature: ___/Seth Meyer/_________</w:t>
      </w:r>
    </w:p>
    <w:p>
      <w:pPr>
        <w:spacing w:after="0" w:line="2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HERCULES GROWTH LENDING FUND IV LP</w:t>
      </w:r>
    </w:p>
    <w:p>
      <w:pPr>
        <w:spacing w:after="0" w:line="2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By: Hercules Growth Lending Fund GP LLC, its general partner</w:t>
      </w:r>
    </w:p>
    <w:p>
      <w:pPr>
        <w:spacing w:after="0" w:line="2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Signature: __/Seth Meyer/_________</w:t>
      </w:r>
    </w:p>
    <w:p>
      <w:pPr>
        <w:spacing w:after="0" w:line="2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HERCULES EVERGREEN FUND LP</w:t>
      </w:r>
    </w:p>
    <w:p>
      <w:pPr>
        <w:spacing w:after="0" w:line="2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By: Hercules Evergreen Fund GP LLC, its general partner</w:t>
      </w:r>
    </w:p>
    <w:p>
      <w:pPr>
        <w:spacing w:after="0" w:line="2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Signature: __/Seth Meyer/__________</w:t>
      </w:r>
    </w:p>
    <w:p>
      <w:pPr>
        <w:spacing w:after="0" w:line="2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color w:val="auto"/>
        </w:rPr>
        <w:t>Name: Seth Meyer</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[Signature Page – Third Amendment to LSA (Replimune)]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0860"/>
          </w:cols>
          <w:pgMar w:left="340" w:top="1356" w:right="699" w:bottom="1440" w:gutter="0" w:footer="0" w:header="0"/>
        </w:sectPr>
      </w:pPr>
    </w:p>
    <w:bookmarkStart w:id="106" w:name="page107"/>
    <w:bookmarkEnd w:id="106"/>
    <w:p>
      <w:pPr>
        <w:jc w:val="right"/>
        <w:ind w:left="3440"/>
        <w:spacing w:after="0" w:line="275" w:lineRule="auto"/>
        <w:rPr>
          <w:sz w:val="20"/>
          <w:szCs w:val="20"/>
          <w:color w:val="auto"/>
        </w:rPr>
      </w:pPr>
      <w:r>
        <w:rPr>
          <w:rFonts w:ascii="Times New Roman" w:cs="Times New Roman" w:eastAsia="Times New Roman" w:hAnsi="Times New Roman"/>
          <w:sz w:val="21"/>
          <w:szCs w:val="21"/>
          <w:b w:val="1"/>
          <w:bCs w:val="1"/>
          <w:i w:val="1"/>
          <w:iCs w:val="1"/>
          <w:color w:val="auto"/>
        </w:rPr>
        <w:t>(Conformed Copy through Amendment No.3 to Loan and Security Agreement) Execution Version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u w:val="single" w:color="auto"/>
          <w:color w:val="auto"/>
        </w:rPr>
        <w:t>Annex A</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Conformed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20"/>
          </w:cols>
          <w:pgMar w:left="144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1"/>
          <w:szCs w:val="21"/>
          <w:b w:val="1"/>
          <w:bCs w:val="1"/>
          <w:color w:val="auto"/>
        </w:rPr>
        <w:t>LOAN AND SECURITY AGREEMENT</w:t>
      </w:r>
    </w:p>
    <w:p>
      <w:pPr>
        <w:spacing w:after="0" w:line="214" w:lineRule="exact"/>
        <w:rPr>
          <w:sz w:val="20"/>
          <w:szCs w:val="20"/>
          <w:color w:val="auto"/>
        </w:rPr>
      </w:pPr>
    </w:p>
    <w:p>
      <w:pPr>
        <w:ind w:right="320" w:firstLine="619"/>
        <w:spacing w:after="0" w:line="251" w:lineRule="auto"/>
        <w:rPr>
          <w:sz w:val="20"/>
          <w:szCs w:val="20"/>
          <w:color w:val="auto"/>
        </w:rPr>
      </w:pPr>
      <w:r>
        <w:rPr>
          <w:rFonts w:ascii="Times New Roman" w:cs="Times New Roman" w:eastAsia="Times New Roman" w:hAnsi="Times New Roman"/>
          <w:sz w:val="21"/>
          <w:szCs w:val="21"/>
          <w:color w:val="auto"/>
        </w:rPr>
        <w:t>THIS LOAN AND SECURITY AGREEMENT is made and dated as of October 6, 2022 and is entered into by and among Replimune Group, Inc., a Delaware corporation, and each of its Subsidiaries (other than Excluded Subsidiaries and the MSC Subsidiary) (hereinafter individually and collectively referred to as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27" w:lineRule="exact"/>
        <w:rPr>
          <w:sz w:val="20"/>
          <w:szCs w:val="20"/>
          <w:color w:val="auto"/>
        </w:rPr>
      </w:pPr>
    </w:p>
    <w:p>
      <w:pPr>
        <w:ind w:right="100" w:firstLine="622"/>
        <w:spacing w:after="0" w:line="269" w:lineRule="auto"/>
        <w:tabs>
          <w:tab w:leader="none" w:pos="102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has requested the Lenders make available to Borrower term loans in an aggregate principal amount of up to Two Hundred Million Dollars ($200,000,000) (collectively, the “Term Loan”); and</w:t>
      </w:r>
    </w:p>
    <w:p>
      <w:pPr>
        <w:spacing w:after="0" w:line="154" w:lineRule="exact"/>
        <w:rPr>
          <w:rFonts w:ascii="Times New Roman" w:cs="Times New Roman" w:eastAsia="Times New Roman" w:hAnsi="Times New Roman"/>
          <w:sz w:val="21"/>
          <w:szCs w:val="21"/>
          <w:color w:val="auto"/>
        </w:rPr>
      </w:pPr>
    </w:p>
    <w:p>
      <w:pPr>
        <w:ind w:left="1020" w:hanging="398"/>
        <w:spacing w:after="0"/>
        <w:tabs>
          <w:tab w:leader="none" w:pos="10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Lenders are willing to make the Term Loan on the terms and conditions set forth in this Agreement.</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Borrower, Agent and the Lenders agree as follows:</w:t>
      </w:r>
    </w:p>
    <w:p>
      <w:pPr>
        <w:spacing w:after="0" w:line="18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b w:val="1"/>
          <w:bCs w:val="1"/>
          <w:color w:val="auto"/>
        </w:rPr>
        <w:t xml:space="preserve">SECTION 1  </w:t>
      </w:r>
      <w:r>
        <w:rPr>
          <w:rFonts w:ascii="Times New Roman" w:cs="Times New Roman" w:eastAsia="Times New Roman" w:hAnsi="Times New Roman"/>
          <w:sz w:val="21"/>
          <w:szCs w:val="21"/>
          <w:b w:val="1"/>
          <w:bCs w:val="1"/>
          <w:u w:val="single" w:color="auto"/>
          <w:color w:val="auto"/>
        </w:rPr>
        <w:t>DEFINITIONS AND RULES OF CONSTRUCTION</w:t>
      </w:r>
    </w:p>
    <w:p>
      <w:pPr>
        <w:spacing w:after="0" w:line="17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0"/>
          <w:szCs w:val="20"/>
          <w:color w:val="auto"/>
        </w:rPr>
        <w:t>Unless otherwise defined herein, the following capitalized terms shall have the following meanings:</w:t>
      </w:r>
    </w:p>
    <w:p>
      <w:pPr>
        <w:spacing w:after="0" w:line="197" w:lineRule="exact"/>
        <w:rPr>
          <w:sz w:val="20"/>
          <w:szCs w:val="20"/>
          <w:color w:val="auto"/>
        </w:rPr>
      </w:pPr>
    </w:p>
    <w:p>
      <w:pPr>
        <w:ind w:firstLine="1238"/>
        <w:spacing w:after="0" w:line="253" w:lineRule="auto"/>
        <w:rPr>
          <w:sz w:val="20"/>
          <w:szCs w:val="20"/>
          <w:color w:val="auto"/>
        </w:rPr>
      </w:pPr>
      <w:r>
        <w:rPr>
          <w:rFonts w:ascii="Times New Roman" w:cs="Times New Roman" w:eastAsia="Times New Roman" w:hAnsi="Times New Roman"/>
          <w:sz w:val="21"/>
          <w:szCs w:val="21"/>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 or in the case of a jurisdiction outside of the United States, any agreements in favor of the Agent pledging the accounts of the applicable Borrower as security, in form and substance reasonably satisfactory to the Agent.</w:t>
      </w:r>
    </w:p>
    <w:p>
      <w:pPr>
        <w:spacing w:after="0" w:line="171" w:lineRule="exact"/>
        <w:rPr>
          <w:sz w:val="20"/>
          <w:szCs w:val="20"/>
          <w:color w:val="auto"/>
        </w:rPr>
      </w:pPr>
    </w:p>
    <w:p>
      <w:pPr>
        <w:ind w:right="380" w:firstLine="1238"/>
        <w:spacing w:after="0" w:line="282" w:lineRule="auto"/>
        <w:rPr>
          <w:sz w:val="20"/>
          <w:szCs w:val="20"/>
          <w:color w:val="auto"/>
        </w:rPr>
      </w:pPr>
      <w:r>
        <w:rPr>
          <w:rFonts w:ascii="Times New Roman" w:cs="Times New Roman" w:eastAsia="Times New Roman" w:hAnsi="Times New Roman"/>
          <w:sz w:val="21"/>
          <w:szCs w:val="21"/>
          <w:color w:val="auto"/>
        </w:rPr>
        <w:t>“ACH Authorization” means the ACH Debit Authorization Agreement in substantially the form of Exhibit G, which account numbers shall be redacted for security purposes if and when filed publicly by the relevant Borrower.</w:t>
      </w:r>
    </w:p>
    <w:p>
      <w:pPr>
        <w:spacing w:after="0" w:line="142" w:lineRule="exact"/>
        <w:rPr>
          <w:sz w:val="20"/>
          <w:szCs w:val="20"/>
          <w:color w:val="auto"/>
        </w:rPr>
      </w:pPr>
    </w:p>
    <w:p>
      <w:pPr>
        <w:ind w:right="20" w:firstLine="1238"/>
        <w:spacing w:after="0" w:line="253" w:lineRule="auto"/>
        <w:rPr>
          <w:sz w:val="20"/>
          <w:szCs w:val="20"/>
          <w:color w:val="auto"/>
        </w:rPr>
      </w:pPr>
      <w:r>
        <w:rPr>
          <w:rFonts w:ascii="Times New Roman" w:cs="Times New Roman" w:eastAsia="Times New Roman" w:hAnsi="Times New Roman"/>
          <w:sz w:val="21"/>
          <w:szCs w:val="21"/>
          <w:color w:val="auto"/>
        </w:rPr>
        <w:t>“Acquisition” means any transaction or series of related transactions for the purpose of or resulting, directly or indirectly, in (a) the acquisition of all or substantially all of the assets of a Person, or of any business, line of business or division or other unit of operation of a Person, (b) the acquisition of the Equity Interests of any Person, whether or not involving a merger, consolidation or similar transaction with such other Person, or otherwise causing any Person to become a Subsidiary of Borrower, or (c) the acquisition of, or the right to use, develop</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color w:val="auto"/>
        </w:rPr>
        <w:t>or sell (in each case, including through licensing), any product, product line or Intellectual Property of or from any other Person.</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“Advance(s)” means a Term Loan Advance.</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“Advance Date” means the funding date of any Advance.</w:t>
      </w:r>
    </w:p>
    <w:p>
      <w:pPr>
        <w:spacing w:after="0" w:line="223"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“Advance Request” means a request for an Advance submitted by Borrower to Agent in substantially the form of Exhibit A, which account numbers shall be redacted for security purposes if and when filed publicly by Borrower.</w:t>
      </w:r>
    </w:p>
    <w:p>
      <w:pPr>
        <w:spacing w:after="0" w:line="155" w:lineRule="exact"/>
        <w:rPr>
          <w:sz w:val="20"/>
          <w:szCs w:val="20"/>
          <w:color w:val="auto"/>
        </w:rPr>
      </w:pPr>
    </w:p>
    <w:p>
      <w:pPr>
        <w:ind w:right="280" w:firstLine="1238"/>
        <w:spacing w:after="0" w:line="264" w:lineRule="auto"/>
        <w:rPr>
          <w:sz w:val="20"/>
          <w:szCs w:val="20"/>
          <w:color w:val="auto"/>
        </w:rPr>
      </w:pPr>
      <w:r>
        <w:rPr>
          <w:rFonts w:ascii="Times New Roman" w:cs="Times New Roman" w:eastAsia="Times New Roman" w:hAnsi="Times New Roman"/>
          <w:sz w:val="20"/>
          <w:szCs w:val="20"/>
          <w:color w:val="auto"/>
        </w:rPr>
        <w:t>“Affiliate” means (a) any Person that directly or indirectly controls, is controlled by, or is under common control with the Person in question, (b) any Person directly or indirectly owning, controlling or holding with power to vote ten percent (10%) or more of the outstanding voting securities of another Person, (c) any Person ten percent (10%) or more of whose outstanding voting securities are directly or indirectly owned, controlled or held by another Person with power to vote such securities, or (d) any Person related by blood or marriage to any Person described in subsection (a), (b) or (c) of this paragraph.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“Agreement” means this Loan and Security Agreement, as amended from time to time.</w:t>
      </w:r>
    </w:p>
    <w:p>
      <w:pPr>
        <w:spacing w:after="0" w:line="210" w:lineRule="exact"/>
        <w:rPr>
          <w:sz w:val="20"/>
          <w:szCs w:val="20"/>
          <w:color w:val="auto"/>
        </w:rPr>
      </w:pPr>
    </w:p>
    <w:p>
      <w:pPr>
        <w:ind w:right="400" w:firstLine="1238"/>
        <w:spacing w:after="0" w:line="282" w:lineRule="auto"/>
        <w:rPr>
          <w:sz w:val="20"/>
          <w:szCs w:val="20"/>
          <w:color w:val="auto"/>
        </w:rPr>
      </w:pPr>
      <w:r>
        <w:rPr>
          <w:rFonts w:ascii="Times New Roman" w:cs="Times New Roman" w:eastAsia="Times New Roman" w:hAnsi="Times New Roman"/>
          <w:sz w:val="21"/>
          <w:szCs w:val="21"/>
          <w:color w:val="auto"/>
        </w:rPr>
        <w:t>“Amortization Date” means initially, October 1, 2027; provided however, that if the Approval Milestone is achieved prior to October 1, 2027, such date shall be extended to October 1, 2029.</w:t>
      </w:r>
    </w:p>
    <w:p>
      <w:pPr>
        <w:spacing w:after="0" w:line="142" w:lineRule="exact"/>
        <w:rPr>
          <w:sz w:val="20"/>
          <w:szCs w:val="20"/>
          <w:color w:val="auto"/>
        </w:rPr>
      </w:pPr>
    </w:p>
    <w:p>
      <w:pPr>
        <w:ind w:right="160" w:firstLine="1238"/>
        <w:spacing w:after="0" w:line="275" w:lineRule="auto"/>
        <w:rPr>
          <w:sz w:val="20"/>
          <w:szCs w:val="20"/>
          <w:color w:val="auto"/>
        </w:rPr>
      </w:pPr>
      <w:r>
        <w:rPr>
          <w:rFonts w:ascii="Times New Roman" w:cs="Times New Roman" w:eastAsia="Times New Roman" w:hAnsi="Times New Roman"/>
          <w:sz w:val="20"/>
          <w:szCs w:val="20"/>
          <w:color w:val="auto"/>
        </w:rPr>
        <w:t>“Anti-Corruption Laws” shall mean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51" w:lineRule="exact"/>
        <w:rPr>
          <w:sz w:val="20"/>
          <w:szCs w:val="20"/>
          <w:color w:val="auto"/>
        </w:rPr>
      </w:pPr>
    </w:p>
    <w:p>
      <w:pPr>
        <w:ind w:right="40" w:firstLine="1238"/>
        <w:spacing w:after="0" w:line="262" w:lineRule="auto"/>
        <w:rPr>
          <w:sz w:val="20"/>
          <w:szCs w:val="20"/>
          <w:color w:val="auto"/>
        </w:rPr>
      </w:pPr>
      <w:r>
        <w:rPr>
          <w:rFonts w:ascii="Times New Roman" w:cs="Times New Roman" w:eastAsia="Times New Roman" w:hAnsi="Times New Roman"/>
          <w:sz w:val="21"/>
          <w:szCs w:val="21"/>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63" w:lineRule="exact"/>
        <w:rPr>
          <w:sz w:val="20"/>
          <w:szCs w:val="20"/>
          <w:color w:val="auto"/>
        </w:rPr>
      </w:pPr>
    </w:p>
    <w:p>
      <w:pPr>
        <w:ind w:right="20" w:firstLine="1238"/>
        <w:spacing w:after="0" w:line="253" w:lineRule="auto"/>
        <w:rPr>
          <w:sz w:val="20"/>
          <w:szCs w:val="20"/>
          <w:color w:val="auto"/>
        </w:rPr>
      </w:pPr>
      <w:r>
        <w:rPr>
          <w:rFonts w:ascii="Times New Roman" w:cs="Times New Roman" w:eastAsia="Times New Roman" w:hAnsi="Times New Roman"/>
          <w:sz w:val="21"/>
          <w:szCs w:val="21"/>
          <w:color w:val="auto"/>
        </w:rPr>
        <w:t>“Approval Milestone” means the satisfaction of each of the following events: (a) no Default or Event of Default shall have occurred and be continuing and (b) Parent shall have stated in Parent’s public filings with the Securities and Exchange Commission (as confirmed by Agent in its reasonable discretion) that the FDA has approved the commercialization in the United States of RP1 for either indications related to: (i) the treatment of patients with CSCC or (ii) the treatment of patients with Melanoma who failed anti-PD1 therapy, in each case with a</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1"/>
          <w:szCs w:val="21"/>
          <w:color w:val="auto"/>
        </w:rPr>
        <w:t>label claim that is generally consistent in all material respects with that sought in Borrower’s BLA filing.</w:t>
      </w:r>
    </w:p>
    <w:p>
      <w:pPr>
        <w:spacing w:after="0" w:line="107"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“Article 55 BRRD” means Article 55 of Directive 2014/59/EU (as amended or reenacted from time to time) establishing a framework for the recovery and resolution of credit institutions and investment firms.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“Bail-In Action” means the exercise of any Write-down and Conversion Powers.</w:t>
      </w:r>
    </w:p>
    <w:p>
      <w:pPr>
        <w:spacing w:after="0" w:line="210" w:lineRule="exact"/>
        <w:rPr>
          <w:sz w:val="20"/>
          <w:szCs w:val="20"/>
          <w:color w:val="auto"/>
        </w:rPr>
      </w:pPr>
    </w:p>
    <w:p>
      <w:pPr>
        <w:ind w:right="160" w:firstLine="1238"/>
        <w:spacing w:after="0" w:line="253" w:lineRule="auto"/>
        <w:rPr>
          <w:sz w:val="20"/>
          <w:szCs w:val="20"/>
          <w:color w:val="auto"/>
        </w:rPr>
      </w:pPr>
      <w:r>
        <w:rPr>
          <w:rFonts w:ascii="Times New Roman" w:cs="Times New Roman" w:eastAsia="Times New Roman" w:hAnsi="Times New Roman"/>
          <w:sz w:val="21"/>
          <w:szCs w:val="21"/>
          <w:color w:val="auto"/>
        </w:rPr>
        <w:t>“Bail-In Legislation” means: (a) in relation to an EEA Member Country which has implemented, or which at any time implements, Article 55 BRRD, the relevant implementing law or regulation as described in the EU Bail-In Legislation Schedule from time to time; and (b) 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“BLA” has the meaning set forth in the definition of BLA Filing.</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“BLA Filing” means a Biologics License Application (“BLA”) with respect to RP1 that was submitted by Borrower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FDA.</w:t>
      </w:r>
    </w:p>
    <w:p>
      <w:pPr>
        <w:spacing w:after="0" w:line="85" w:lineRule="exact"/>
        <w:rPr>
          <w:sz w:val="20"/>
          <w:szCs w:val="20"/>
          <w:color w:val="auto"/>
        </w:rPr>
      </w:pPr>
    </w:p>
    <w:p>
      <w:pPr>
        <w:ind w:right="260" w:firstLine="1238"/>
        <w:spacing w:after="0" w:line="251" w:lineRule="auto"/>
        <w:rPr>
          <w:sz w:val="20"/>
          <w:szCs w:val="20"/>
          <w:color w:val="auto"/>
        </w:rPr>
      </w:pPr>
      <w:r>
        <w:rPr>
          <w:rFonts w:ascii="Times New Roman" w:cs="Times New Roman" w:eastAsia="Times New Roman" w:hAnsi="Times New Roman"/>
          <w:sz w:val="21"/>
          <w:szCs w:val="21"/>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 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74" w:lineRule="exact"/>
        <w:rPr>
          <w:sz w:val="20"/>
          <w:szCs w:val="20"/>
          <w:color w:val="auto"/>
        </w:rPr>
      </w:pPr>
    </w:p>
    <w:p>
      <w:pPr>
        <w:ind w:right="140" w:firstLine="1238"/>
        <w:spacing w:after="0" w:line="282" w:lineRule="auto"/>
        <w:rPr>
          <w:sz w:val="20"/>
          <w:szCs w:val="20"/>
          <w:color w:val="auto"/>
        </w:rPr>
      </w:pPr>
      <w:r>
        <w:rPr>
          <w:rFonts w:ascii="Times New Roman" w:cs="Times New Roman" w:eastAsia="Times New Roman" w:hAnsi="Times New Roman"/>
          <w:sz w:val="21"/>
          <w:szCs w:val="21"/>
          <w:color w:val="auto"/>
        </w:rPr>
        <w:t>“Board of Directors” means the board of directors or comparable governing body of such Person, or any subcommittee thereof, as applicable.</w:t>
      </w:r>
    </w:p>
    <w:p>
      <w:pPr>
        <w:spacing w:after="0" w:line="142" w:lineRule="exact"/>
        <w:rPr>
          <w:sz w:val="20"/>
          <w:szCs w:val="20"/>
          <w:color w:val="auto"/>
        </w:rPr>
      </w:pPr>
    </w:p>
    <w:p>
      <w:pPr>
        <w:ind w:right="160" w:firstLine="1238"/>
        <w:spacing w:after="0" w:line="252" w:lineRule="auto"/>
        <w:rPr>
          <w:sz w:val="20"/>
          <w:szCs w:val="20"/>
          <w:color w:val="auto"/>
        </w:rPr>
      </w:pPr>
      <w:r>
        <w:rPr>
          <w:rFonts w:ascii="Times New Roman" w:cs="Times New Roman" w:eastAsia="Times New Roman" w:hAnsi="Times New Roman"/>
          <w:sz w:val="21"/>
          <w:szCs w:val="21"/>
          <w:color w:val="auto"/>
        </w:rPr>
        <w:t>“Borrower Products” means all products, software, service offerings, technical data or technology currently being designed, manufactured or sold by Borrower or which Borrower intends to sell, license, or distribute in the future including any products or service offerings under development, collectively, together with all products, software, service offerings, technical data or technology that have been sold, licensed or distributed by Borrower since its incorporation and remain material to its business.</w:t>
      </w:r>
    </w:p>
    <w:p>
      <w:pPr>
        <w:spacing w:after="0" w:line="185"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7</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365" w:right="379" w:bottom="1440" w:gutter="0" w:footer="0" w:header="0"/>
        </w:sectPr>
      </w:pPr>
    </w:p>
    <w:bookmarkStart w:id="110" w:name="page111"/>
    <w:bookmarkEnd w:id="110"/>
    <w:p>
      <w:pPr>
        <w:ind w:firstLine="1238"/>
        <w:spacing w:after="0" w:line="269" w:lineRule="auto"/>
        <w:rPr>
          <w:sz w:val="20"/>
          <w:szCs w:val="20"/>
          <w:color w:val="auto"/>
        </w:rPr>
      </w:pPr>
      <w:r>
        <w:rPr>
          <w:rFonts w:ascii="Times New Roman" w:cs="Times New Roman" w:eastAsia="Times New Roman" w:hAnsi="Times New Roman"/>
          <w:sz w:val="21"/>
          <w:szCs w:val="21"/>
          <w:color w:val="auto"/>
        </w:rPr>
        <w:t>“Business Day” means any day other than Saturday, Sunday and any other day on which banking institutions in the State of California are closed for business.</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“Cash” means all cash, cash equivalents and liquid funds.</w:t>
      </w:r>
    </w:p>
    <w:p>
      <w:pPr>
        <w:spacing w:after="0" w:line="223" w:lineRule="exact"/>
        <w:rPr>
          <w:sz w:val="20"/>
          <w:szCs w:val="20"/>
          <w:color w:val="auto"/>
        </w:rPr>
      </w:pPr>
    </w:p>
    <w:p>
      <w:pPr>
        <w:ind w:right="80" w:firstLine="1238"/>
        <w:spacing w:after="0" w:line="248" w:lineRule="auto"/>
        <w:rPr>
          <w:sz w:val="20"/>
          <w:szCs w:val="20"/>
          <w:color w:val="auto"/>
        </w:rPr>
      </w:pPr>
      <w:r>
        <w:rPr>
          <w:rFonts w:ascii="Times New Roman" w:cs="Times New Roman" w:eastAsia="Times New Roman" w:hAnsi="Times New Roman"/>
          <w:sz w:val="21"/>
          <w:szCs w:val="21"/>
          <w:color w:val="auto"/>
        </w:rPr>
        <w:t>“Change in Control” means (a) any reorganization, recapitalization, consolidation or merger (or similar transaction or series of related transactions) of Parent, sale or exchange of outstanding shares (or similar transaction or series of related transactions) of Parent in which the holders of Parent’s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Parent is the surviving entity or (b) Borrower ceases to own, directly or indirectly, 100% of the ownership interests in each Subsidiary of such Borrower (except for mergers or consolidations of a Subsidiary into another Subsidiary or into Borrower, or the dissolution of a Subsidiary to the extent permitted hereunder).</w:t>
      </w:r>
    </w:p>
    <w:p>
      <w:pPr>
        <w:spacing w:after="0" w:line="1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“Closing Date” means the date of this Agreement.</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“Code” means the Internal Revenue Code of 1986, as amended.</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“Common Stock” means the common stock of Parent.</w:t>
      </w:r>
    </w:p>
    <w:p>
      <w:pPr>
        <w:spacing w:after="0" w:line="210" w:lineRule="exact"/>
        <w:rPr>
          <w:sz w:val="20"/>
          <w:szCs w:val="20"/>
          <w:color w:val="auto"/>
        </w:rPr>
      </w:pPr>
    </w:p>
    <w:p>
      <w:pPr>
        <w:ind w:right="20" w:firstLine="1238"/>
        <w:spacing w:after="0" w:line="248" w:lineRule="auto"/>
        <w:rPr>
          <w:sz w:val="20"/>
          <w:szCs w:val="20"/>
          <w:color w:val="auto"/>
        </w:rPr>
      </w:pPr>
      <w:r>
        <w:rPr>
          <w:rFonts w:ascii="Times New Roman" w:cs="Times New Roman" w:eastAsia="Times New Roman" w:hAnsi="Times New Roman"/>
          <w:sz w:val="21"/>
          <w:szCs w:val="21"/>
          <w:color w:val="auto"/>
        </w:rPr>
        <w:t>“Company IP” means any and all of the following, as they exist in and throughout the United States of America: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Products in the United States of America,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Products; and (d) any and all IP Ancillary Rights specifically relating to any of the foregoing.</w:t>
      </w:r>
    </w:p>
    <w:p>
      <w:pPr>
        <w:spacing w:after="0" w:line="74" w:lineRule="exact"/>
        <w:rPr>
          <w:sz w:val="20"/>
          <w:szCs w:val="20"/>
          <w:color w:val="auto"/>
        </w:rPr>
      </w:pPr>
    </w:p>
    <w:p>
      <w:pPr>
        <w:ind w:right="20" w:firstLine="1238"/>
        <w:spacing w:after="0" w:line="256" w:lineRule="auto"/>
        <w:rPr>
          <w:sz w:val="20"/>
          <w:szCs w:val="20"/>
          <w:color w:val="auto"/>
        </w:rPr>
      </w:pPr>
      <w:r>
        <w:rPr>
          <w:rFonts w:ascii="Times New Roman" w:cs="Times New Roman" w:eastAsia="Times New Roman" w:hAnsi="Times New Roman"/>
          <w:sz w:val="21"/>
          <w:szCs w:val="21"/>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8</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365" w:right="379" w:bottom="1440" w:gutter="0" w:footer="0" w:header="0"/>
        </w:sectPr>
      </w:pPr>
    </w:p>
    <w:bookmarkStart w:id="111" w:name="page112"/>
    <w:bookmarkEnd w:id="111"/>
    <w:p>
      <w:pPr>
        <w:ind w:right="40"/>
        <w:spacing w:after="0" w:line="249" w:lineRule="auto"/>
        <w:rPr>
          <w:sz w:val="20"/>
          <w:szCs w:val="20"/>
          <w:color w:val="auto"/>
        </w:rPr>
      </w:pPr>
      <w:r>
        <w:rPr>
          <w:rFonts w:ascii="Times New Roman" w:cs="Times New Roman" w:eastAsia="Times New Roman" w:hAnsi="Times New Roman"/>
          <w:sz w:val="21"/>
          <w:szCs w:val="21"/>
          <w:color w:val="auto"/>
        </w:rPr>
        <w:t>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2" w:lineRule="exact"/>
        <w:rPr>
          <w:sz w:val="20"/>
          <w:szCs w:val="20"/>
          <w:color w:val="auto"/>
        </w:rPr>
      </w:pPr>
    </w:p>
    <w:p>
      <w:pPr>
        <w:ind w:right="220" w:firstLine="1238"/>
        <w:spacing w:after="0" w:line="269" w:lineRule="auto"/>
        <w:rPr>
          <w:sz w:val="20"/>
          <w:szCs w:val="20"/>
          <w:color w:val="auto"/>
        </w:rPr>
      </w:pPr>
      <w:r>
        <w:rPr>
          <w:rFonts w:ascii="Times New Roman" w:cs="Times New Roman" w:eastAsia="Times New Roman" w:hAnsi="Times New Roman"/>
          <w:sz w:val="21"/>
          <w:szCs w:val="21"/>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55"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“Copyrights” means all copyrights, whether registered or unregistered, held pursuant to the laws of the United States of America, any State thereof, the United Kingdom, or of any other country.</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“CSCC” means Cutaneous Squamous Cell Carcinoma.</w:t>
      </w:r>
    </w:p>
    <w:p>
      <w:pPr>
        <w:spacing w:after="0" w:line="223" w:lineRule="exact"/>
        <w:rPr>
          <w:sz w:val="20"/>
          <w:szCs w:val="20"/>
          <w:color w:val="auto"/>
        </w:rPr>
      </w:pPr>
    </w:p>
    <w:p>
      <w:pPr>
        <w:ind w:right="160" w:firstLine="1238"/>
        <w:spacing w:after="0" w:line="269" w:lineRule="auto"/>
        <w:rPr>
          <w:sz w:val="20"/>
          <w:szCs w:val="20"/>
          <w:color w:val="auto"/>
        </w:rPr>
      </w:pPr>
      <w:r>
        <w:rPr>
          <w:rFonts w:ascii="Times New Roman" w:cs="Times New Roman" w:eastAsia="Times New Roman" w:hAnsi="Times New Roman"/>
          <w:sz w:val="21"/>
          <w:szCs w:val="21"/>
          <w:color w:val="auto"/>
        </w:rPr>
        <w:t>“Default” means a fact, event or condition that constitutes an Event of Default or that, with the giving of notice or the lapse of time, or both, would, unless cured or waived, constitute an Event of Default.</w:t>
      </w:r>
    </w:p>
    <w:p>
      <w:pPr>
        <w:spacing w:after="0" w:line="155" w:lineRule="exact"/>
        <w:rPr>
          <w:sz w:val="20"/>
          <w:szCs w:val="20"/>
          <w:color w:val="auto"/>
        </w:rPr>
      </w:pPr>
    </w:p>
    <w:p>
      <w:pPr>
        <w:ind w:right="400" w:firstLine="1238"/>
        <w:spacing w:after="0" w:line="269" w:lineRule="auto"/>
        <w:rPr>
          <w:sz w:val="20"/>
          <w:szCs w:val="20"/>
          <w:color w:val="auto"/>
        </w:rPr>
      </w:pPr>
      <w:r>
        <w:rPr>
          <w:rFonts w:ascii="Times New Roman" w:cs="Times New Roman" w:eastAsia="Times New Roman" w:hAnsi="Times New Roman"/>
          <w:sz w:val="21"/>
          <w:szCs w:val="21"/>
          <w:color w:val="auto"/>
        </w:rPr>
        <w:t>“Deposit Accounts” means any “deposit accounts,” as such term is defined in the UCC, and includes any checking account, savings account, or certificate of deposit.</w:t>
      </w:r>
    </w:p>
    <w:p>
      <w:pPr>
        <w:spacing w:after="0" w:line="155" w:lineRule="exact"/>
        <w:rPr>
          <w:sz w:val="20"/>
          <w:szCs w:val="20"/>
          <w:color w:val="auto"/>
        </w:rPr>
      </w:pPr>
    </w:p>
    <w:p>
      <w:pPr>
        <w:ind w:right="440" w:firstLine="1238"/>
        <w:spacing w:after="0" w:line="282" w:lineRule="auto"/>
        <w:rPr>
          <w:sz w:val="20"/>
          <w:szCs w:val="20"/>
          <w:color w:val="auto"/>
        </w:rPr>
      </w:pPr>
      <w:r>
        <w:rPr>
          <w:rFonts w:ascii="Times New Roman" w:cs="Times New Roman" w:eastAsia="Times New Roman" w:hAnsi="Times New Roman"/>
          <w:sz w:val="21"/>
          <w:szCs w:val="21"/>
          <w:color w:val="auto"/>
        </w:rPr>
        <w:t>“Domestic Subsidiary” means any Subsidiary organized under the laws of the United States of America, any State thereof, the District of Columbia, or any other jurisdiction within the United States of America.</w:t>
      </w:r>
    </w:p>
    <w:p>
      <w:pPr>
        <w:spacing w:after="0" w:line="142" w:lineRule="exact"/>
        <w:rPr>
          <w:sz w:val="20"/>
          <w:szCs w:val="20"/>
          <w:color w:val="auto"/>
        </w:rPr>
      </w:pPr>
    </w:p>
    <w:p>
      <w:pPr>
        <w:ind w:right="380" w:firstLine="1238"/>
        <w:spacing w:after="0" w:line="256" w:lineRule="auto"/>
        <w:rPr>
          <w:sz w:val="20"/>
          <w:szCs w:val="20"/>
          <w:color w:val="auto"/>
        </w:rPr>
      </w:pPr>
      <w:r>
        <w:rPr>
          <w:rFonts w:ascii="Times New Roman" w:cs="Times New Roman" w:eastAsia="Times New Roman" w:hAnsi="Times New Roman"/>
          <w:sz w:val="21"/>
          <w:szCs w:val="21"/>
          <w:color w:val="auto"/>
        </w:rPr>
        <w:t>“Due Diligence Fee” means $65,000, which fee has been paid to the Lenders prior to the Closing Date and shall be deemed fully earned on such date regardless of the early termination of this Agreement and shall be applied in its entirety on the Closing Date towards the Lenders’ non-legal transaction costs and due diligence expenses.</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“EEA Member Country” means any member state of the European Union, Iceland, Liechtenstein and Norway.</w:t>
      </w:r>
    </w:p>
    <w:p>
      <w:pPr>
        <w:spacing w:after="0" w:line="223" w:lineRule="exact"/>
        <w:rPr>
          <w:sz w:val="20"/>
          <w:szCs w:val="20"/>
          <w:color w:val="auto"/>
        </w:rPr>
      </w:pPr>
    </w:p>
    <w:p>
      <w:pPr>
        <w:ind w:right="400" w:firstLine="1238"/>
        <w:spacing w:after="0" w:line="269" w:lineRule="auto"/>
        <w:rPr>
          <w:sz w:val="20"/>
          <w:szCs w:val="20"/>
          <w:color w:val="auto"/>
        </w:rPr>
      </w:pPr>
      <w:r>
        <w:rPr>
          <w:rFonts w:ascii="Times New Roman" w:cs="Times New Roman" w:eastAsia="Times New Roman" w:hAnsi="Times New Roman"/>
          <w:sz w:val="21"/>
          <w:szCs w:val="21"/>
          <w:color w:val="auto"/>
        </w:rPr>
        <w:t>“English Debenture” means that certain English law governed debenture, dated as of October 6, 2022, executed by Replimune UK and the Agent, as supplemented by the English Supplemental Debenture.</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1"/>
          <w:szCs w:val="21"/>
          <w:color w:val="auto"/>
        </w:rPr>
        <w:t>9</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00"/>
          </w:cols>
          <w:pgMar w:left="320" w:top="1365" w:right="479" w:bottom="1440" w:gutter="0" w:footer="0" w:header="0"/>
        </w:sectPr>
      </w:pPr>
    </w:p>
    <w:bookmarkStart w:id="112" w:name="page113"/>
    <w:bookmarkEnd w:id="112"/>
    <w:p>
      <w:pPr>
        <w:ind w:right="40" w:firstLine="1238"/>
        <w:spacing w:after="0" w:line="256" w:lineRule="auto"/>
        <w:rPr>
          <w:sz w:val="20"/>
          <w:szCs w:val="20"/>
          <w:color w:val="auto"/>
        </w:rPr>
      </w:pPr>
      <w:r>
        <w:rPr>
          <w:rFonts w:ascii="Times New Roman" w:cs="Times New Roman" w:eastAsia="Times New Roman" w:hAnsi="Times New Roman"/>
          <w:sz w:val="21"/>
          <w:szCs w:val="21"/>
          <w:color w:val="auto"/>
        </w:rPr>
        <w:t>“English Security Documents” means the following documents, each in form and substance reasonably satisfactory to Agent: (a)the English Debenture , (b) that certain English law governed share charge in respect of the entire issued share capital of Replimune UK, dated as of the date hereof, executed by the Parent and the Agent, (c) the English Supplemental Debenture and (d) such other documents incidental to the foregoing documents as Agent may reasonably determine necessary.</w:t>
      </w:r>
    </w:p>
    <w:p>
      <w:pPr>
        <w:spacing w:after="0" w:line="169" w:lineRule="exact"/>
        <w:rPr>
          <w:sz w:val="20"/>
          <w:szCs w:val="20"/>
          <w:color w:val="auto"/>
        </w:rPr>
      </w:pPr>
    </w:p>
    <w:p>
      <w:pPr>
        <w:ind w:right="420" w:firstLine="1238"/>
        <w:spacing w:after="0" w:line="269" w:lineRule="auto"/>
        <w:rPr>
          <w:sz w:val="20"/>
          <w:szCs w:val="20"/>
          <w:color w:val="auto"/>
        </w:rPr>
      </w:pPr>
      <w:r>
        <w:rPr>
          <w:rFonts w:ascii="Times New Roman" w:cs="Times New Roman" w:eastAsia="Times New Roman" w:hAnsi="Times New Roman"/>
          <w:sz w:val="21"/>
          <w:szCs w:val="21"/>
          <w:color w:val="auto"/>
        </w:rPr>
        <w:t>“English Supplemental Debenture” means that certain English law governed supplemental debenture dated as of the Third Amendment Closing Date, executed by Replimune UK and the Agent.</w:t>
      </w:r>
    </w:p>
    <w:p>
      <w:pPr>
        <w:spacing w:after="0" w:line="155" w:lineRule="exact"/>
        <w:rPr>
          <w:sz w:val="20"/>
          <w:szCs w:val="20"/>
          <w:color w:val="auto"/>
        </w:rPr>
      </w:pPr>
    </w:p>
    <w:p>
      <w:pPr>
        <w:ind w:right="980" w:firstLine="1238"/>
        <w:spacing w:after="0" w:line="269" w:lineRule="auto"/>
        <w:rPr>
          <w:sz w:val="20"/>
          <w:szCs w:val="20"/>
          <w:color w:val="auto"/>
        </w:rPr>
      </w:pPr>
      <w:r>
        <w:rPr>
          <w:rFonts w:ascii="Times New Roman" w:cs="Times New Roman" w:eastAsia="Times New Roman" w:hAnsi="Times New Roman"/>
          <w:sz w:val="21"/>
          <w:szCs w:val="21"/>
          <w:color w:val="auto"/>
        </w:rPr>
        <w:t>“EU Bail-In Legislation Schedule” means the document described as such and published by the Loan Market Association (or any successor person) from time to time.</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“End of Term Charge” means any end of term charge payable pursuant to Section 2.6.</w:t>
      </w:r>
    </w:p>
    <w:p>
      <w:pPr>
        <w:spacing w:after="0" w:line="210" w:lineRule="exact"/>
        <w:rPr>
          <w:sz w:val="20"/>
          <w:szCs w:val="20"/>
          <w:color w:val="auto"/>
        </w:rPr>
      </w:pPr>
    </w:p>
    <w:p>
      <w:pPr>
        <w:ind w:right="120" w:firstLine="1238"/>
        <w:spacing w:after="0" w:line="269" w:lineRule="auto"/>
        <w:rPr>
          <w:sz w:val="20"/>
          <w:szCs w:val="20"/>
          <w:color w:val="auto"/>
        </w:rPr>
      </w:pPr>
      <w:r>
        <w:rPr>
          <w:rFonts w:ascii="Times New Roman" w:cs="Times New Roman" w:eastAsia="Times New Roman" w:hAnsi="Times New Roman"/>
          <w:sz w:val="21"/>
          <w:szCs w:val="21"/>
          <w:color w:val="auto"/>
        </w:rPr>
        <w:t>“Equity Interests” means, with respect to any Person, the capital stock, partnership or limited liability company interest, or other equity securities or equity ownership interests of such Person.</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“ERISA” means the Employee Retirement Income Security Act of 1974, as amended, and the regulations promulgated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thereunder.</w:t>
      </w:r>
    </w:p>
    <w:p>
      <w:pPr>
        <w:spacing w:after="0" w:line="188" w:lineRule="exact"/>
        <w:rPr>
          <w:sz w:val="20"/>
          <w:szCs w:val="20"/>
          <w:color w:val="auto"/>
        </w:rPr>
      </w:pPr>
    </w:p>
    <w:p>
      <w:pPr>
        <w:ind w:firstLine="1238"/>
        <w:spacing w:after="0" w:line="250" w:lineRule="auto"/>
        <w:rPr>
          <w:sz w:val="20"/>
          <w:szCs w:val="20"/>
          <w:color w:val="auto"/>
        </w:rPr>
      </w:pPr>
      <w:r>
        <w:rPr>
          <w:rFonts w:ascii="Times New Roman" w:cs="Times New Roman" w:eastAsia="Times New Roman" w:hAnsi="Times New Roman"/>
          <w:sz w:val="21"/>
          <w:szCs w:val="21"/>
          <w:color w:val="auto"/>
        </w:rPr>
        <w:t>“Excluded Account” means (a) any deposit account or securities account exclusively used as a trust, collateral, or escrow account, in each case (1) entered into in the ordinary course of business, (2) where the applicable Borrower holds the funds exclusively for the benefit of an unaffiliated third party, (3) such funds are pledged or otherwise encumbered as set forth on Schedule 1C or pursuant to clauses (vi), (xiv), or (xv) of the definition of Permitted Liens, and (4) only to the extent required to be excluded pursuant to the underlying documents entered into in connection with such Permitted Liens, (b) any deposit account or securities account exclusively used to secure obligations permitted under clause (vii) of the definition of Permitted Indebtedness, and (c) any deposit account exclusively used for payroll, payroll taxes and other employee wage and benefit payments to or for any Borrower’s employees, collectively not to exceed the amount to be paid in the ordinary course of business in the then-next payroll cycle.</w:t>
      </w:r>
    </w:p>
    <w:p>
      <w:pPr>
        <w:spacing w:after="0" w:line="179" w:lineRule="exact"/>
        <w:rPr>
          <w:sz w:val="20"/>
          <w:szCs w:val="20"/>
          <w:color w:val="auto"/>
        </w:rPr>
      </w:pPr>
    </w:p>
    <w:p>
      <w:pPr>
        <w:ind w:right="140" w:firstLine="1238"/>
        <w:spacing w:after="0" w:line="249" w:lineRule="auto"/>
        <w:rPr>
          <w:sz w:val="20"/>
          <w:szCs w:val="20"/>
          <w:color w:val="auto"/>
        </w:rPr>
      </w:pPr>
      <w:r>
        <w:rPr>
          <w:rFonts w:ascii="Times New Roman" w:cs="Times New Roman" w:eastAsia="Times New Roman" w:hAnsi="Times New Roman"/>
          <w:sz w:val="21"/>
          <w:szCs w:val="21"/>
          <w:color w:val="auto"/>
        </w:rPr>
        <w:t>“Excluded Subsidiaries” means all Foreign Subsidiaries (other than Replimune UK) that (a) generate in the aggregate less than 5.00% of the consolidated trailing twelve month revenue calculated in accordance with GAAP of the Parent and its Subsidiaries as of the last day of the most recent fiscal month for which financial statements of the Parent are available or (b) hold in the aggregate assets that constitute less than 5.00% of consolidated total assets of the Parent and its Subsidiaries, at any time; provided that, if the consolidated trailing twelve month revenue calculated in accordance with GAAP or consolidated total assets of all Foreign Subsidiaries that would otherwise be an “Excluded Subsidiary” pursuant to clauses (a) and (b) above exceeds (i) 5.00% of the of the consolidated trailing twelve month revenue calculated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13" w:name="page114"/>
    <w:bookmarkEnd w:id="113"/>
    <w:p>
      <w:pPr>
        <w:ind w:right="240"/>
        <w:spacing w:after="0" w:line="256" w:lineRule="auto"/>
        <w:rPr>
          <w:sz w:val="20"/>
          <w:szCs w:val="20"/>
          <w:color w:val="auto"/>
        </w:rPr>
      </w:pPr>
      <w:r>
        <w:rPr>
          <w:rFonts w:ascii="Times New Roman" w:cs="Times New Roman" w:eastAsia="Times New Roman" w:hAnsi="Times New Roman"/>
          <w:sz w:val="21"/>
          <w:szCs w:val="21"/>
          <w:color w:val="auto"/>
        </w:rPr>
        <w:t>accordance with GAAP of the Parent and its Subsidiaries for such fiscal month or (ii) 5.00% of consolidated total assets of the Parent and its Subsidiaries, at any time, then Borrower shall designate in writing to the Agent one or more of such Foreign Subsidiaries to become a Borrower to the extent necessary to eliminate such excess.</w:t>
      </w:r>
    </w:p>
    <w:p>
      <w:pPr>
        <w:spacing w:after="0" w:line="18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“FDA” means the U.S. Food and Drug Administration or any successor thereto or any other comparable Governmental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Authority.</w:t>
      </w:r>
    </w:p>
    <w:p>
      <w:pPr>
        <w:spacing w:after="0" w:line="188" w:lineRule="exact"/>
        <w:rPr>
          <w:sz w:val="20"/>
          <w:szCs w:val="20"/>
          <w:color w:val="auto"/>
        </w:rPr>
      </w:pPr>
    </w:p>
    <w:p>
      <w:pPr>
        <w:ind w:right="1080" w:firstLine="1238"/>
        <w:spacing w:after="0" w:line="269" w:lineRule="auto"/>
        <w:rPr>
          <w:sz w:val="20"/>
          <w:szCs w:val="20"/>
          <w:color w:val="auto"/>
        </w:rPr>
      </w:pPr>
      <w:r>
        <w:rPr>
          <w:rFonts w:ascii="Times New Roman" w:cs="Times New Roman" w:eastAsia="Times New Roman" w:hAnsi="Times New Roman"/>
          <w:sz w:val="21"/>
          <w:szCs w:val="21"/>
          <w:color w:val="auto"/>
        </w:rPr>
        <w:t>“FDA Laws” means all applicable statutes, rules, regulations, published guidance and Requirements of Law administered, implemented, enforced or issued by FDA or any comparable governmental authority.</w:t>
      </w:r>
    </w:p>
    <w:p>
      <w:pPr>
        <w:spacing w:after="0" w:line="129"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“Federal Health Care Program Laws” means collectively, federal Medicare or federal or state Medicaid statutes, Sections 1128, 1128A, 1128B, 1128C or 1877 of the Social Security Act (42 U.S.C. §§ 1320a-7, 1320a-7a, 1320a-7b, 1320a-7c, 1320a-7h and 1395nn), the federal TRICARE statute (10 U.S.C. § 1071 et seq.), the civil False Claims Act of 1863 (31 U.S.C. § 3729 et seq.), criminal false claims statutes (e.g., 18 U.S.C. §§ 287 and 1001), the Program Fraud Civil Remedies Act of 1986 (31 U.S.C. § 3801 et seq.), and the Health Insurance Portability and Accountability Act of 1996 (42 U.S.C. §§ 1320d-1329d-8), as amended by the Health Information Technology for Economic and Clinical Health Act, enacted as Title XIII of the American Recovery and Reinvestment Act of 2009, Public Law 111-5 (collectively, “HIPAA”) or related regulations or other Requirements of Law applicable to Borrower that directly or indirectly govern the health care industry, programs of governmental authorities related to healthcare, health care professionals or other health care participants, or relationships among health care providers, suppliers, distributors, manufacturers and patients.</w:t>
      </w:r>
    </w:p>
    <w:p>
      <w:pPr>
        <w:spacing w:after="0" w:line="146" w:lineRule="exact"/>
        <w:rPr>
          <w:sz w:val="20"/>
          <w:szCs w:val="20"/>
          <w:color w:val="auto"/>
        </w:rPr>
      </w:pPr>
    </w:p>
    <w:p>
      <w:pPr>
        <w:jc w:val="both"/>
        <w:ind w:firstLine="1238"/>
        <w:spacing w:after="0" w:line="211" w:lineRule="auto"/>
        <w:rPr>
          <w:sz w:val="20"/>
          <w:szCs w:val="20"/>
          <w:color w:val="auto"/>
        </w:rPr>
      </w:pPr>
      <w:r>
        <w:rPr>
          <w:rFonts w:ascii="Times New Roman" w:cs="Times New Roman" w:eastAsia="Times New Roman" w:hAnsi="Times New Roman"/>
          <w:sz w:val="21"/>
          <w:szCs w:val="21"/>
          <w:color w:val="auto"/>
        </w:rPr>
        <w:t>“Forecast” means the projections for Borrower as delivered to Agent by Borrower within 30 days after the achievement of the Approval Milestone, subject to approval by the Agent in its reasonable discretion; provided that (i) if Borrower does not submit such projections within such 30 day period after the achievement of the Approval Milestone then the Forecast shall be the projections delivered to Agent as of the Closing Date, (ii) if the Agent does not reject the projections delivered within such 30 day period after the achievement of the Approval Milestone in writing within 30 days after Borrower has received written confirmation from Agent that it has received such projections (with an explanation as to the reason(s) for such rejection) then such projections shall be deemed to be approved and shall be the Forecast, and (iii) Borrower may from time to time update the Forecast with a forecast approved by Borrower's Board of Directors delivered to Agent pursuant to Section 7.1(h), subject to approval by the Agent in its reasonable discretion.</w:t>
      </w:r>
    </w:p>
    <w:p>
      <w:pPr>
        <w:spacing w:after="0" w:line="17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“Foreign Subsidiary” means any Subsidiary other than a Domestic Subsidiary.</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“GAAP” means generally accepted accounting principles in the United States of America, as in effect from time to time.</w:t>
      </w:r>
    </w:p>
    <w:p>
      <w:pPr>
        <w:spacing w:after="0" w:line="2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“HMRC” means HM Revenue &amp; Customs of the UK.</w:t>
      </w:r>
    </w:p>
    <w:p>
      <w:pPr>
        <w:spacing w:after="0" w:line="210" w:lineRule="exact"/>
        <w:rPr>
          <w:sz w:val="20"/>
          <w:szCs w:val="20"/>
          <w:color w:val="auto"/>
        </w:rPr>
      </w:pPr>
    </w:p>
    <w:p>
      <w:pPr>
        <w:jc w:val="both"/>
        <w:ind w:right="460" w:firstLine="1238"/>
        <w:spacing w:after="0" w:line="275" w:lineRule="auto"/>
        <w:rPr>
          <w:sz w:val="20"/>
          <w:szCs w:val="20"/>
          <w:color w:val="auto"/>
        </w:rPr>
      </w:pPr>
      <w:r>
        <w:rPr>
          <w:rFonts w:ascii="Times New Roman" w:cs="Times New Roman" w:eastAsia="Times New Roman" w:hAnsi="Times New Roman"/>
          <w:sz w:val="20"/>
          <w:szCs w:val="20"/>
          <w:color w:val="auto"/>
        </w:rPr>
        <w:t>“Indebtedness” means indebtedness of any kind, including (a) all indebtedness for borrowed money or the deferred purchase price of property or services (excluding trade credit entered into in the ordinary course of business due within ninety (90) days), including non-contingent reimbursement and other obligations with respect to surety bonds and letters of credit,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14" w:name="page115"/>
    <w:bookmarkEnd w:id="114"/>
    <w:p>
      <w:pPr>
        <w:ind w:firstLine="3"/>
        <w:spacing w:after="0" w:line="249" w:lineRule="auto"/>
        <w:tabs>
          <w:tab w:leader="none" w:pos="29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evidenced by notes, bonds, debentures or similar 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(f) obligations arising under bonus, deferred compensation, incentive compensation or similar arrangements (other than those arising in the ordinary course of business), (g) non-contingent obligations to reimburse any bank or Person in respect of amounts paid under a letter of credit, banker’s acceptance or similar instrument, and (h) all Contingent Obligations.</w:t>
      </w:r>
    </w:p>
    <w:p>
      <w:pPr>
        <w:spacing w:after="0" w:line="180" w:lineRule="exact"/>
        <w:rPr>
          <w:sz w:val="20"/>
          <w:szCs w:val="20"/>
          <w:color w:val="auto"/>
        </w:rPr>
      </w:pPr>
    </w:p>
    <w:p>
      <w:pPr>
        <w:ind w:right="600" w:firstLine="1238"/>
        <w:spacing w:after="0" w:line="282" w:lineRule="auto"/>
        <w:rPr>
          <w:sz w:val="20"/>
          <w:szCs w:val="20"/>
          <w:color w:val="auto"/>
        </w:rPr>
      </w:pPr>
      <w:r>
        <w:rPr>
          <w:rFonts w:ascii="Times New Roman" w:cs="Times New Roman" w:eastAsia="Times New Roman" w:hAnsi="Times New Roman"/>
          <w:sz w:val="21"/>
          <w:szCs w:val="21"/>
          <w:color w:val="auto"/>
        </w:rPr>
        <w:t>“Initial Facility Charge” means an amount equal to Four Hundred and Eighty-Seven Thousand and Five Hundred Dollars ($487,500), which is payable to the Lenders in accordance with Section 4.1(h).</w:t>
      </w:r>
    </w:p>
    <w:p>
      <w:pPr>
        <w:spacing w:after="0" w:line="142" w:lineRule="exact"/>
        <w:rPr>
          <w:sz w:val="20"/>
          <w:szCs w:val="20"/>
          <w:color w:val="auto"/>
        </w:rPr>
      </w:pPr>
    </w:p>
    <w:p>
      <w:pPr>
        <w:ind w:right="200" w:firstLine="1238"/>
        <w:spacing w:after="0" w:line="252" w:lineRule="auto"/>
        <w:rPr>
          <w:sz w:val="20"/>
          <w:szCs w:val="20"/>
          <w:color w:val="auto"/>
        </w:rPr>
      </w:pPr>
      <w:r>
        <w:rPr>
          <w:rFonts w:ascii="Times New Roman" w:cs="Times New Roman" w:eastAsia="Times New Roman" w:hAnsi="Times New Roman"/>
          <w:sz w:val="21"/>
          <w:szCs w:val="21"/>
          <w:color w:val="auto"/>
        </w:rPr>
        <w:t>“Insolvency Proceeding” is any proceeding by or against any Person under the United States Bankruptcy Code, or any other bankruptcy, liquidation, moratorium, receivership, or insolvency law, including assignments for the benefit of creditors, compositions, extensions generally with its creditors, or proceedings seeking reorganization, administration, arrangement, or other similar relief proceedings in the applicable jurisdiction from time to time in effect and affecting the rights of creditors generally.</w:t>
      </w:r>
    </w:p>
    <w:p>
      <w:pPr>
        <w:spacing w:after="0" w:line="172"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69" w:lineRule="exact"/>
        <w:rPr>
          <w:sz w:val="20"/>
          <w:szCs w:val="20"/>
          <w:color w:val="auto"/>
        </w:rPr>
      </w:pPr>
    </w:p>
    <w:p>
      <w:pPr>
        <w:ind w:right="280" w:firstLine="1238"/>
        <w:spacing w:after="0" w:line="262" w:lineRule="auto"/>
        <w:rPr>
          <w:sz w:val="20"/>
          <w:szCs w:val="20"/>
          <w:color w:val="auto"/>
        </w:rPr>
      </w:pPr>
      <w:r>
        <w:rPr>
          <w:rFonts w:ascii="Times New Roman" w:cs="Times New Roman" w:eastAsia="Times New Roman" w:hAnsi="Times New Roman"/>
          <w:sz w:val="21"/>
          <w:szCs w:val="21"/>
          <w:color w:val="auto"/>
        </w:rPr>
        <w:t>“Intellectual Property Security Agreement” means the Intellectual Property Security Agreement dated as of the Third Amendment Closing Date between Loan Parties and Agent, as the same may from time to time be amended, restated, modified or otherwise supplemented.</w:t>
      </w:r>
    </w:p>
    <w:p>
      <w:pPr>
        <w:spacing w:after="0" w:line="163" w:lineRule="exact"/>
        <w:rPr>
          <w:sz w:val="20"/>
          <w:szCs w:val="20"/>
          <w:color w:val="auto"/>
        </w:rPr>
      </w:pPr>
    </w:p>
    <w:p>
      <w:pPr>
        <w:jc w:val="both"/>
        <w:ind w:right="200" w:firstLine="1238"/>
        <w:spacing w:after="0" w:line="256" w:lineRule="auto"/>
        <w:rPr>
          <w:sz w:val="20"/>
          <w:szCs w:val="20"/>
          <w:color w:val="auto"/>
        </w:rPr>
      </w:pPr>
      <w:r>
        <w:rPr>
          <w:rFonts w:ascii="Times New Roman" w:cs="Times New Roman" w:eastAsia="Times New Roman" w:hAnsi="Times New Roman"/>
          <w:sz w:val="21"/>
          <w:szCs w:val="21"/>
          <w:color w:val="auto"/>
        </w:rPr>
        <w:t>“Investment” means (a) any beneficial ownership (including stock, partnership, limited liability company interests, or other equity securities or ownership interests) of or in any Person, (b) any loan, advance or capital contribution to any Person, (c) any Acquisition or (d) other transfers on behalf of or in connection with any equity ownership or similar transfers.</w:t>
      </w:r>
    </w:p>
    <w:p>
      <w:pPr>
        <w:spacing w:after="0" w:line="168" w:lineRule="exact"/>
        <w:rPr>
          <w:sz w:val="20"/>
          <w:szCs w:val="20"/>
          <w:color w:val="auto"/>
        </w:rPr>
      </w:pPr>
    </w:p>
    <w:p>
      <w:pPr>
        <w:ind w:right="80" w:firstLine="1238"/>
        <w:spacing w:after="0" w:line="251" w:lineRule="auto"/>
        <w:rPr>
          <w:sz w:val="20"/>
          <w:szCs w:val="20"/>
          <w:color w:val="auto"/>
        </w:rPr>
      </w:pPr>
      <w:r>
        <w:rPr>
          <w:rFonts w:ascii="Times New Roman" w:cs="Times New Roman" w:eastAsia="Times New Roman" w:hAnsi="Times New Roman"/>
          <w:sz w:val="21"/>
          <w:szCs w:val="21"/>
          <w:color w:val="auto"/>
        </w:rPr>
        <w:t>“IP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12</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365" w:right="379" w:bottom="1440" w:gutter="0" w:footer="0" w:header="0"/>
        </w:sectPr>
      </w:pPr>
    </w:p>
    <w:bookmarkStart w:id="115" w:name="page116"/>
    <w:bookmarkEnd w:id="115"/>
    <w:p>
      <w:pPr>
        <w:ind w:left="1240"/>
        <w:spacing w:after="0"/>
        <w:rPr>
          <w:sz w:val="20"/>
          <w:szCs w:val="20"/>
          <w:color w:val="auto"/>
        </w:rPr>
      </w:pPr>
      <w:r>
        <w:rPr>
          <w:rFonts w:ascii="Times New Roman" w:cs="Times New Roman" w:eastAsia="Times New Roman" w:hAnsi="Times New Roman"/>
          <w:sz w:val="21"/>
          <w:szCs w:val="21"/>
          <w:color w:val="auto"/>
        </w:rPr>
        <w:t>“IRS” means the United States Internal Revenue Service.</w:t>
      </w:r>
    </w:p>
    <w:p>
      <w:pPr>
        <w:spacing w:after="0" w:line="210" w:lineRule="exact"/>
        <w:rPr>
          <w:sz w:val="20"/>
          <w:szCs w:val="20"/>
          <w:color w:val="auto"/>
        </w:rPr>
      </w:pPr>
    </w:p>
    <w:p>
      <w:pPr>
        <w:ind w:right="260" w:firstLine="1238"/>
        <w:spacing w:after="0" w:line="256" w:lineRule="auto"/>
        <w:rPr>
          <w:sz w:val="20"/>
          <w:szCs w:val="20"/>
          <w:color w:val="auto"/>
        </w:rPr>
      </w:pPr>
      <w:r>
        <w:rPr>
          <w:rFonts w:ascii="Times New Roman" w:cs="Times New Roman" w:eastAsia="Times New Roman" w:hAnsi="Times New Roman"/>
          <w:sz w:val="21"/>
          <w:szCs w:val="21"/>
          <w:color w:val="auto"/>
        </w:rPr>
        <w:t>“Joinder Agreements” means for each Subsidiary (other than Excluded Subsidiaries and the MSC Subsidiary), a completed and executed (i) Joinder Agreement in substantially the form attached hereto as Exhibit F, or (ii) joinder documentation in form and substance reasonably satisfactory to the Agent joining a Subsidiary as a party under the English Security Documents or similar security documents under the relevant jurisdiction, as applicable.</w:t>
      </w:r>
    </w:p>
    <w:p>
      <w:pPr>
        <w:spacing w:after="0" w:line="169" w:lineRule="exact"/>
        <w:rPr>
          <w:sz w:val="20"/>
          <w:szCs w:val="20"/>
          <w:color w:val="auto"/>
        </w:rPr>
      </w:pPr>
    </w:p>
    <w:p>
      <w:pPr>
        <w:ind w:right="420" w:firstLine="1238"/>
        <w:spacing w:after="0" w:line="269" w:lineRule="auto"/>
        <w:rPr>
          <w:sz w:val="20"/>
          <w:szCs w:val="20"/>
          <w:color w:val="auto"/>
        </w:rPr>
      </w:pPr>
      <w:r>
        <w:rPr>
          <w:rFonts w:ascii="Times New Roman" w:cs="Times New Roman" w:eastAsia="Times New Roman" w:hAnsi="Times New Roman"/>
          <w:sz w:val="21"/>
          <w:szCs w:val="21"/>
          <w:color w:val="auto"/>
        </w:rPr>
        <w:t>“License” means any Copyright License, Patent License, Trademark License or other license of rights or interests in respect of Company IP.</w:t>
      </w:r>
    </w:p>
    <w:p>
      <w:pPr>
        <w:spacing w:after="0" w:line="155" w:lineRule="exact"/>
        <w:rPr>
          <w:sz w:val="20"/>
          <w:szCs w:val="20"/>
          <w:color w:val="auto"/>
        </w:rPr>
      </w:pPr>
    </w:p>
    <w:p>
      <w:pPr>
        <w:ind w:right="140" w:firstLine="1238"/>
        <w:spacing w:after="0" w:line="256" w:lineRule="auto"/>
        <w:rPr>
          <w:sz w:val="20"/>
          <w:szCs w:val="20"/>
          <w:color w:val="auto"/>
        </w:rPr>
      </w:pPr>
      <w:r>
        <w:rPr>
          <w:rFonts w:ascii="Times New Roman" w:cs="Times New Roman" w:eastAsia="Times New Roman" w:hAnsi="Times New Roman"/>
          <w:sz w:val="21"/>
          <w:szCs w:val="21"/>
          <w:color w:val="auto"/>
        </w:rPr>
        <w:t>“Lien” means any mortgage, deed of trust, pledge, hypothecation, assignment for security, security interest, encumbrance, levy, lien or charge of any kind and any other security interest or other agreements or arrangements having a similar effect, whether voluntarily incurred or arising by operation of law or otherwise, against any property, any conditional sale or other title retention agreement, and any lease in the nature of a security interest.</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“Loan” means the Advances made under this Agreement.</w:t>
      </w:r>
    </w:p>
    <w:p>
      <w:pPr>
        <w:spacing w:after="0" w:line="210" w:lineRule="exact"/>
        <w:rPr>
          <w:sz w:val="20"/>
          <w:szCs w:val="20"/>
          <w:color w:val="auto"/>
        </w:rPr>
      </w:pPr>
    </w:p>
    <w:p>
      <w:pPr>
        <w:ind w:right="200" w:firstLine="1238"/>
        <w:spacing w:after="0" w:line="253" w:lineRule="auto"/>
        <w:rPr>
          <w:sz w:val="20"/>
          <w:szCs w:val="20"/>
          <w:color w:val="auto"/>
        </w:rPr>
      </w:pPr>
      <w:r>
        <w:rPr>
          <w:rFonts w:ascii="Times New Roman" w:cs="Times New Roman" w:eastAsia="Times New Roman" w:hAnsi="Times New Roman"/>
          <w:sz w:val="21"/>
          <w:szCs w:val="21"/>
          <w:color w:val="auto"/>
        </w:rPr>
        <w:t>“Loan Documents” means this Agreement, the promissory notes (if any), the ACH Authorization, the Account Control Agreements, the Intellectual Property Security Agreement, the Joinder Agreements, all UCC Financing Statements, the Pledge Agreement, the English Security Documents, each Process Letter, and any other documents executed in connection with the Secured Obligations or the transactions contemplated hereby, as the same may from time to time be amended, modified, supplemented or restated.</w:t>
      </w:r>
    </w:p>
    <w:p>
      <w:pPr>
        <w:spacing w:after="0" w:line="171"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“Market Capitalization” means, as of any date of determination, the product of (a) the number of outstanding shares of Common Stock publicly disclosed in the most recent filing of Parent with the Securities and Exchange Commission as outstanding as of such date of determination and (b) the most recent closing price of Parent’s Common Stock (as quoted on Bloomberg L.P.’s page or any successor page thereto of Bloomberg L.P. or if such page is not available, any other commercially available source).</w:t>
      </w:r>
    </w:p>
    <w:p>
      <w:pPr>
        <w:spacing w:after="0" w:line="169" w:lineRule="exact"/>
        <w:rPr>
          <w:sz w:val="20"/>
          <w:szCs w:val="20"/>
          <w:color w:val="auto"/>
        </w:rPr>
      </w:pPr>
    </w:p>
    <w:p>
      <w:pPr>
        <w:ind w:right="120" w:firstLine="1238"/>
        <w:spacing w:after="0" w:line="273" w:lineRule="auto"/>
        <w:rPr>
          <w:sz w:val="20"/>
          <w:szCs w:val="20"/>
          <w:color w:val="auto"/>
        </w:rPr>
      </w:pPr>
      <w:r>
        <w:rPr>
          <w:rFonts w:ascii="Times New Roman" w:cs="Times New Roman" w:eastAsia="Times New Roman" w:hAnsi="Times New Roman"/>
          <w:sz w:val="20"/>
          <w:szCs w:val="20"/>
          <w:color w:val="auto"/>
        </w:rPr>
        <w:t>“Material Adverse Effect” means a material adverse effect upon: (i) the business, operations, properties, assets or financial condition of Parent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53" w:lineRule="exact"/>
        <w:rPr>
          <w:sz w:val="20"/>
          <w:szCs w:val="20"/>
          <w:color w:val="auto"/>
        </w:rPr>
      </w:pPr>
    </w:p>
    <w:p>
      <w:pPr>
        <w:ind w:right="160" w:firstLine="1238"/>
        <w:spacing w:after="0" w:line="252" w:lineRule="auto"/>
        <w:rPr>
          <w:sz w:val="20"/>
          <w:szCs w:val="20"/>
          <w:color w:val="auto"/>
        </w:rPr>
      </w:pPr>
      <w:r>
        <w:rPr>
          <w:rFonts w:ascii="Times New Roman" w:cs="Times New Roman" w:eastAsia="Times New Roman" w:hAnsi="Times New Roman"/>
          <w:sz w:val="21"/>
          <w:szCs w:val="21"/>
          <w:color w:val="auto"/>
        </w:rPr>
        <w:t>“Material Regulatory Liabilities” means (i) any liabilities arising from the violation of Public Health Laws, Federal Health Care Program Laws, and other applicable comparable Requirements of Law (including FDA Laws and Federal Health Care Program Laws), including, but not limited to, withdrawal of approval, recall, revocation, suspension, import refusal and seizure of any Product, and (ii) any loss of recurring annual revenues as 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16" w:name="page117"/>
    <w:bookmarkEnd w:id="116"/>
    <w:p>
      <w:pPr>
        <w:ind w:right="220"/>
        <w:spacing w:after="0" w:line="269" w:lineRule="auto"/>
        <w:rPr>
          <w:sz w:val="20"/>
          <w:szCs w:val="20"/>
          <w:color w:val="auto"/>
        </w:rPr>
      </w:pPr>
      <w:r>
        <w:rPr>
          <w:rFonts w:ascii="Times New Roman" w:cs="Times New Roman" w:eastAsia="Times New Roman" w:hAnsi="Times New Roman"/>
          <w:sz w:val="21"/>
          <w:szCs w:val="21"/>
          <w:color w:val="auto"/>
        </w:rPr>
        <w:t>result of any loss, suspension or limitation of any Registrations, which, in the case of each of clauses (i) and (ii), could reasonably be expected to result in a Material Adverse Effect.</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“Maximum Term Loan Amount” means Two Hundred Million and No/100 Dollars ($200,000,000).</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“Milestone” means individually, each of the Approval Milestone, Revenue Milestone and/or Tranche 3 Milestone.</w:t>
      </w:r>
    </w:p>
    <w:p>
      <w:pPr>
        <w:spacing w:after="0" w:line="210" w:lineRule="exact"/>
        <w:rPr>
          <w:sz w:val="20"/>
          <w:szCs w:val="20"/>
          <w:color w:val="auto"/>
        </w:rPr>
      </w:pPr>
    </w:p>
    <w:p>
      <w:pPr>
        <w:ind w:right="20" w:firstLine="1238"/>
        <w:spacing w:after="0" w:line="252" w:lineRule="auto"/>
        <w:rPr>
          <w:sz w:val="20"/>
          <w:szCs w:val="20"/>
          <w:color w:val="auto"/>
        </w:rPr>
      </w:pPr>
      <w:r>
        <w:rPr>
          <w:rFonts w:ascii="Times New Roman" w:cs="Times New Roman" w:eastAsia="Times New Roman" w:hAnsi="Times New Roman"/>
          <w:sz w:val="21"/>
          <w:szCs w:val="21"/>
          <w:color w:val="auto"/>
        </w:rPr>
        <w:t>“MSC Investment Conditions” means that Borrower maintains Qualified Cash in an amount equal to or greater than the lesser of (i) 100% of the aggregate outstanding Secured Obligations (inclusive of any Prepayment Charge and End of Term Charge that would be due and owing if the outstanding Term Loan Advances were prepaid at the time of measurement) or (ii) 100% of the consolidated Cash of Borrower and its Subsidiaries (other than Cash held in an Excluded Account).</w:t>
      </w:r>
    </w:p>
    <w:p>
      <w:pPr>
        <w:spacing w:after="0" w:line="185" w:lineRule="exact"/>
        <w:rPr>
          <w:sz w:val="20"/>
          <w:szCs w:val="20"/>
          <w:color w:val="auto"/>
        </w:rPr>
      </w:pPr>
    </w:p>
    <w:p>
      <w:pPr>
        <w:ind w:right="720" w:firstLine="1238"/>
        <w:spacing w:after="0" w:line="252" w:lineRule="auto"/>
        <w:rPr>
          <w:sz w:val="20"/>
          <w:szCs w:val="20"/>
          <w:color w:val="auto"/>
        </w:rPr>
      </w:pPr>
      <w:r>
        <w:rPr>
          <w:rFonts w:ascii="Times New Roman" w:cs="Times New Roman" w:eastAsia="Times New Roman" w:hAnsi="Times New Roman"/>
          <w:sz w:val="21"/>
          <w:szCs w:val="21"/>
          <w:color w:val="auto"/>
        </w:rPr>
        <w:t>“MSC Subsidiary” means Replimune Securities Corporation, a wholly-owned Subsidiary incorporated in the Commonwealth of Massachusetts or the State of Delaware for the purpose of holding Investments as a Massachusetts security corporation under 830 CMR 63.38B.1 of the Massachusetts tax code and applicable regulations (as the same may be amended, modified or replaced from time to time).</w:t>
      </w:r>
    </w:p>
    <w:p>
      <w:pPr>
        <w:spacing w:after="0" w:line="172"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“Net Product Revenue” means net product revenue of the Borrower and its Subsidiaries, as determined in accordance with GAAP, that is generated solely from the sale of RP1 (which, for the avoidance of doubt, shall include sales, royalty, profit sharing, co-development, co-promotion and co-commercialization revenues recognized in accordance with GAAP, but which shall not include any revenue that is milestone-based or any other one-time or non-recurring revenue).</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“NIH” means the National Institutes of Health.</w:t>
      </w:r>
    </w:p>
    <w:p>
      <w:pPr>
        <w:spacing w:after="0" w:line="210" w:lineRule="exact"/>
        <w:rPr>
          <w:sz w:val="20"/>
          <w:szCs w:val="20"/>
          <w:color w:val="auto"/>
        </w:rPr>
      </w:pPr>
    </w:p>
    <w:p>
      <w:pPr>
        <w:ind w:right="540" w:firstLine="1238"/>
        <w:spacing w:after="0" w:line="269" w:lineRule="auto"/>
        <w:rPr>
          <w:sz w:val="20"/>
          <w:szCs w:val="20"/>
          <w:color w:val="auto"/>
        </w:rPr>
      </w:pPr>
      <w:r>
        <w:rPr>
          <w:rFonts w:ascii="Times New Roman" w:cs="Times New Roman" w:eastAsia="Times New Roman" w:hAnsi="Times New Roman"/>
          <w:sz w:val="21"/>
          <w:szCs w:val="21"/>
          <w:color w:val="auto"/>
        </w:rPr>
        <w:t>“Non-Disclosure Agreement” means that certain Non-Disclosure Agreement by and between Parent and Hercules Capital, Inc., dated as of July 25, 2022.</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“OFAC” is the U.S. Department of Treasury Office of Foreign Assets Control.</w:t>
      </w:r>
    </w:p>
    <w:p>
      <w:pPr>
        <w:spacing w:after="0" w:line="210" w:lineRule="exact"/>
        <w:rPr>
          <w:sz w:val="20"/>
          <w:szCs w:val="20"/>
          <w:color w:val="auto"/>
        </w:rPr>
      </w:pPr>
    </w:p>
    <w:p>
      <w:pPr>
        <w:ind w:right="460" w:firstLine="1238"/>
        <w:spacing w:after="0" w:line="275" w:lineRule="auto"/>
        <w:rPr>
          <w:sz w:val="20"/>
          <w:szCs w:val="20"/>
          <w:color w:val="auto"/>
        </w:rPr>
      </w:pPr>
      <w:r>
        <w:rPr>
          <w:rFonts w:ascii="Times New Roman" w:cs="Times New Roman" w:eastAsia="Times New Roman" w:hAnsi="Times New Roman"/>
          <w:sz w:val="20"/>
          <w:szCs w:val="20"/>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“Parent” means Replimune Group, Inc., a Delaware corporation.</w:t>
      </w:r>
    </w:p>
    <w:p>
      <w:pPr>
        <w:spacing w:after="0" w:line="223" w:lineRule="exact"/>
        <w:rPr>
          <w:sz w:val="20"/>
          <w:szCs w:val="20"/>
          <w:color w:val="auto"/>
        </w:rPr>
      </w:pPr>
    </w:p>
    <w:p>
      <w:pPr>
        <w:ind w:right="180" w:firstLine="1238"/>
        <w:spacing w:after="0" w:line="269" w:lineRule="auto"/>
        <w:rPr>
          <w:sz w:val="20"/>
          <w:szCs w:val="20"/>
          <w:color w:val="auto"/>
        </w:rPr>
      </w:pPr>
      <w:r>
        <w:rPr>
          <w:rFonts w:ascii="Times New Roman" w:cs="Times New Roman" w:eastAsia="Times New Roman" w:hAnsi="Times New Roman"/>
          <w:sz w:val="21"/>
          <w:szCs w:val="21"/>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14</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80"/>
          </w:cols>
          <w:pgMar w:left="320" w:top="1365" w:right="399" w:bottom="1440" w:gutter="0" w:footer="0" w:header="0"/>
        </w:sectPr>
      </w:pPr>
    </w:p>
    <w:bookmarkStart w:id="117" w:name="page118"/>
    <w:bookmarkEnd w:id="117"/>
    <w:p>
      <w:pPr>
        <w:ind w:right="160" w:firstLine="1238"/>
        <w:spacing w:after="0" w:line="256" w:lineRule="auto"/>
        <w:rPr>
          <w:sz w:val="20"/>
          <w:szCs w:val="20"/>
          <w:color w:val="auto"/>
        </w:rPr>
      </w:pPr>
      <w:r>
        <w:rPr>
          <w:rFonts w:ascii="Times New Roman" w:cs="Times New Roman" w:eastAsia="Times New Roman" w:hAnsi="Times New Roman"/>
          <w:sz w:val="21"/>
          <w:szCs w:val="21"/>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the United Kingdom, or any other country.</w:t>
      </w:r>
    </w:p>
    <w:p>
      <w:pPr>
        <w:spacing w:after="0" w:line="181" w:lineRule="exact"/>
        <w:rPr>
          <w:sz w:val="20"/>
          <w:szCs w:val="20"/>
          <w:color w:val="auto"/>
        </w:rPr>
      </w:pPr>
    </w:p>
    <w:p>
      <w:pPr>
        <w:ind w:right="200" w:firstLine="1238"/>
        <w:spacing w:after="0" w:line="269" w:lineRule="auto"/>
        <w:rPr>
          <w:sz w:val="20"/>
          <w:szCs w:val="20"/>
          <w:color w:val="auto"/>
        </w:rPr>
      </w:pPr>
      <w:r>
        <w:rPr>
          <w:rFonts w:ascii="Times New Roman" w:cs="Times New Roman" w:eastAsia="Times New Roman" w:hAnsi="Times New Roman"/>
          <w:sz w:val="21"/>
          <w:szCs w:val="21"/>
          <w:color w:val="auto"/>
        </w:rPr>
        <w:t>“Performance Covenant Trigger Date” means the first date on or after July 1, 2026 on which the aggregate outstanding principal amount of the Term Loan Advances equals or exceeds $100,000,000.</w:t>
      </w:r>
    </w:p>
    <w:p>
      <w:pPr>
        <w:spacing w:after="0" w:line="155" w:lineRule="exact"/>
        <w:rPr>
          <w:sz w:val="20"/>
          <w:szCs w:val="20"/>
          <w:color w:val="auto"/>
        </w:rPr>
      </w:pPr>
    </w:p>
    <w:p>
      <w:pPr>
        <w:ind w:right="620" w:firstLine="1238"/>
        <w:spacing w:after="0" w:line="269" w:lineRule="auto"/>
        <w:rPr>
          <w:sz w:val="20"/>
          <w:szCs w:val="20"/>
          <w:color w:val="auto"/>
        </w:rPr>
      </w:pPr>
      <w:r>
        <w:rPr>
          <w:rFonts w:ascii="Times New Roman" w:cs="Times New Roman" w:eastAsia="Times New Roman" w:hAnsi="Times New Roman"/>
          <w:sz w:val="21"/>
          <w:szCs w:val="21"/>
          <w:color w:val="auto"/>
        </w:rPr>
        <w:t>“Permitted Acquisition” means any Acquisition (including by way of merger) by Borrower which is conducted in accordance with the following requirements:</w:t>
      </w:r>
    </w:p>
    <w:p>
      <w:pPr>
        <w:spacing w:after="0" w:line="155" w:lineRule="exact"/>
        <w:rPr>
          <w:sz w:val="20"/>
          <w:szCs w:val="20"/>
          <w:color w:val="auto"/>
        </w:rPr>
      </w:pPr>
    </w:p>
    <w:p>
      <w:pPr>
        <w:ind w:left="620" w:right="100" w:firstLine="1240"/>
        <w:spacing w:after="0" w:line="262" w:lineRule="auto"/>
        <w:tabs>
          <w:tab w:leader="none" w:pos="229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acquisition is of (i) a business or Person located within the United States of America engaged in a line of business related to that of Borrower or its Subsidiaries or (ii) a product, product line or Intellectual Property (or the right to use, develop or sell the same (including through licensing) related to the business of Borrower or its Subsidiaries;</w:t>
      </w:r>
    </w:p>
    <w:p>
      <w:pPr>
        <w:spacing w:after="0" w:line="163" w:lineRule="exact"/>
        <w:rPr>
          <w:rFonts w:ascii="Times New Roman" w:cs="Times New Roman" w:eastAsia="Times New Roman" w:hAnsi="Times New Roman"/>
          <w:sz w:val="21"/>
          <w:szCs w:val="21"/>
          <w:color w:val="auto"/>
        </w:rPr>
      </w:pPr>
    </w:p>
    <w:p>
      <w:pPr>
        <w:jc w:val="both"/>
        <w:ind w:left="620" w:right="120" w:firstLine="1240"/>
        <w:spacing w:after="0" w:line="275" w:lineRule="auto"/>
        <w:tabs>
          <w:tab w:leader="none" w:pos="23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acquisition is structured as a stock acquisition, then the Person so acquired shall either (i) become a wholly-owned Subsidiary of Borrower or of a Subsidiary and Borrower shall comply, or cause such Subsidiary to comply, with Section 7.13 hereof or (ii) such Person shall be merged with and into Borrower (with Borrower being the surviving entity);</w:t>
      </w:r>
    </w:p>
    <w:p>
      <w:pPr>
        <w:spacing w:after="0" w:line="150" w:lineRule="exact"/>
        <w:rPr>
          <w:rFonts w:ascii="Times New Roman" w:cs="Times New Roman" w:eastAsia="Times New Roman" w:hAnsi="Times New Roman"/>
          <w:sz w:val="20"/>
          <w:szCs w:val="20"/>
          <w:color w:val="auto"/>
        </w:rPr>
      </w:pPr>
    </w:p>
    <w:p>
      <w:pPr>
        <w:ind w:left="620" w:right="20" w:firstLine="1240"/>
        <w:spacing w:after="0" w:line="262" w:lineRule="auto"/>
        <w:tabs>
          <w:tab w:leader="none" w:pos="229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acquisition is structured as the acquisition of assets, such assets shall be acquired by Borrower or a newly-organized wholly-owned Subsidiary (in which event such Subsidiary shall comply with Section 7.13 hereof), and shall be free and clear of Liens other than Permitted Liens;</w:t>
      </w:r>
    </w:p>
    <w:p>
      <w:pPr>
        <w:spacing w:after="0" w:line="163" w:lineRule="exact"/>
        <w:rPr>
          <w:rFonts w:ascii="Times New Roman" w:cs="Times New Roman" w:eastAsia="Times New Roman" w:hAnsi="Times New Roman"/>
          <w:sz w:val="21"/>
          <w:szCs w:val="21"/>
          <w:color w:val="auto"/>
        </w:rPr>
      </w:pPr>
    </w:p>
    <w:p>
      <w:pPr>
        <w:ind w:left="620" w:right="140" w:firstLine="1240"/>
        <w:spacing w:after="0" w:line="256" w:lineRule="auto"/>
        <w:tabs>
          <w:tab w:leader="none" w:pos="2304"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have delivered to the Lenders not less than ten (10) days nor more than forty five (45) days prior to the date of such acquisition, notice of such acquisition together with, to the extent available, pro forma projected financial information, copies of all material documents relating to such acquisition, and historical financial statements for such acquired entity, division or line of business;</w:t>
      </w:r>
    </w:p>
    <w:p>
      <w:pPr>
        <w:spacing w:after="0" w:line="168"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both immediately before and after such acquisition no Default or Event of Default shall have occurred and</w:t>
      </w:r>
    </w:p>
    <w:p>
      <w:pPr>
        <w:spacing w:after="0" w:line="25"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continuing; and</w:t>
      </w:r>
    </w:p>
    <w:p>
      <w:pPr>
        <w:spacing w:after="0" w:line="187" w:lineRule="exact"/>
        <w:rPr>
          <w:rFonts w:ascii="Times New Roman" w:cs="Times New Roman" w:eastAsia="Times New Roman" w:hAnsi="Times New Roman"/>
          <w:sz w:val="21"/>
          <w:szCs w:val="21"/>
          <w:color w:val="auto"/>
        </w:rPr>
      </w:pPr>
    </w:p>
    <w:p>
      <w:pPr>
        <w:ind w:left="620" w:firstLine="1240"/>
        <w:spacing w:after="0" w:line="251" w:lineRule="auto"/>
        <w:tabs>
          <w:tab w:leader="none" w:pos="227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the purchase price of such proposed new acquisition, computed on the basis of total acquisition consideration paid or incurred, or to be paid or incurred, by Borrower with respect thereto, including the amount of Permitted Indebtedness assumed or to which such assets, businesses or business or ownership interest or shares, or any Person so acquired, is subject, (i) at any time prior to the achievement of the Approval Milestone, shall not be greater than (x) Seven Million Five Hundred Thousand Dollars ($7,500,000) for any single acquisition or group of related acquisitions or (y) Ten Million Dollars ($10,000,000) for all such acquisitions during the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15</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18" w:name="page119"/>
    <w:bookmarkEnd w:id="118"/>
    <w:p>
      <w:pPr>
        <w:ind w:left="620" w:right="160"/>
        <w:spacing w:after="0" w:line="260" w:lineRule="auto"/>
        <w:rPr>
          <w:sz w:val="20"/>
          <w:szCs w:val="20"/>
          <w:color w:val="auto"/>
        </w:rPr>
      </w:pPr>
      <w:r>
        <w:rPr>
          <w:rFonts w:ascii="Times New Roman" w:cs="Times New Roman" w:eastAsia="Times New Roman" w:hAnsi="Times New Roman"/>
          <w:sz w:val="20"/>
          <w:szCs w:val="20"/>
          <w:color w:val="auto"/>
        </w:rPr>
        <w:t>term of this Agreement or (ii) at any time after the achievement of the Approval Milestone, shall not be greater than (x) Ten Million Dollars ($10,000,000) for any single acquisition or group of related acquisitions or (y) Twenty-Five Million Dollars ($25,000,000) for all such acquisitions during the term of this Agreement; provided that acquisition consideration funded by proceeds from the sale and issuance of Borrower’s Equity Interests in a transaction not resulting in a Change in Control, which sale and issuance has a primary purpose to fund such Acquisition, and which sale and issuance is consummated substantially contemporaneously with (and in any event, prior to, but no more than fifteen (15) days prior to) the consummation of such Acquisition, shall be disregarded in determining compliance with this clause (f); provided further, that for any Acquisition in which the consideration consists solely of Equity Interests of Borrower, the value of such Equity Interests shall be disregarded</w:t>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determining compliance with this clause (f)</w:t>
      </w:r>
      <w:r>
        <w:rPr>
          <w:rFonts w:ascii="Times New Roman" w:cs="Times New Roman" w:eastAsia="Times New Roman" w:hAnsi="Times New Roman"/>
          <w:sz w:val="24"/>
          <w:szCs w:val="24"/>
          <w:color w:val="auto"/>
        </w:rPr>
        <w:t>.</w:t>
      </w:r>
    </w:p>
    <w:p>
      <w:pPr>
        <w:spacing w:after="0" w:line="204" w:lineRule="exact"/>
        <w:rPr>
          <w:sz w:val="20"/>
          <w:szCs w:val="20"/>
          <w:color w:val="auto"/>
        </w:rPr>
      </w:pPr>
    </w:p>
    <w:p>
      <w:pPr>
        <w:ind w:right="80" w:firstLine="1238"/>
        <w:spacing w:after="0" w:line="248" w:lineRule="auto"/>
        <w:rPr>
          <w:sz w:val="20"/>
          <w:szCs w:val="20"/>
          <w:color w:val="auto"/>
        </w:rPr>
      </w:pPr>
      <w:r>
        <w:rPr>
          <w:rFonts w:ascii="Times New Roman" w:cs="Times New Roman" w:eastAsia="Times New Roman" w:hAnsi="Times New Roman"/>
          <w:sz w:val="21"/>
          <w:szCs w:val="21"/>
          <w:color w:val="auto"/>
        </w:rPr>
        <w:t>“Permitted Convertible Debt” means issuance by Parent of convertible notes in an aggregate principal amount of not more than Four Hundred Million Dollars ($400,000,000); provided that such convertible notes shall (a) have a scheduled maturity date no earlier than one hundred eighty (180) days after the Term Loan Maturity Date, (b) be unsecured or secured, (c) not be guaranteed by any Subsidiary of Parent that is not a Borrower or a guarantor of the Secured Obligations, (d) contain conversion, redemption and fundamental change terms that are usual and customary for convertible notes issued in public or “Rule 144A” offerings, (e) if secured, contain usual and customary subordination terms for underwritten offerings of senior subordinated convertible notes and (f) if secured, shall specifically designate this Agreement and all Secured Obligations as “designated senior indebtedness” or similar term so that the subordination terms referred to in clause (e) of this definition specifically refer to such notes as being subordinated to the Secured Obligations pursuant to such subordination terms.</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“Permitted Indebtedness” means:</w:t>
      </w:r>
    </w:p>
    <w:p>
      <w:pPr>
        <w:spacing w:after="0" w:line="210" w:lineRule="exact"/>
        <w:rPr>
          <w:sz w:val="20"/>
          <w:szCs w:val="20"/>
          <w:color w:val="auto"/>
        </w:rPr>
      </w:pPr>
    </w:p>
    <w:p>
      <w:pPr>
        <w:ind w:left="2880" w:hanging="402"/>
        <w:spacing w:after="0"/>
        <w:tabs>
          <w:tab w:leader="none" w:pos="288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Borrower in favor of the Lenders or Agent arising under this Agreement or any other</w:t>
      </w:r>
    </w:p>
    <w:p>
      <w:pPr>
        <w:spacing w:after="0" w:line="36" w:lineRule="exact"/>
        <w:rPr>
          <w:rFonts w:ascii="Times New Roman" w:cs="Times New Roman" w:eastAsia="Times New Roman" w:hAnsi="Times New Roman"/>
          <w:sz w:val="20"/>
          <w:szCs w:val="20"/>
          <w:color w:val="auto"/>
        </w:rPr>
      </w:pPr>
    </w:p>
    <w:p>
      <w:pPr>
        <w:ind w:left="1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Loan Document;</w:t>
      </w:r>
    </w:p>
    <w:p>
      <w:pPr>
        <w:spacing w:after="0" w:line="187" w:lineRule="exact"/>
        <w:rPr>
          <w:rFonts w:ascii="Times New Roman" w:cs="Times New Roman" w:eastAsia="Times New Roman" w:hAnsi="Times New Roman"/>
          <w:sz w:val="20"/>
          <w:szCs w:val="20"/>
          <w:color w:val="auto"/>
        </w:rPr>
      </w:pPr>
    </w:p>
    <w:p>
      <w:pPr>
        <w:ind w:left="2940" w:hanging="462"/>
        <w:spacing w:after="0"/>
        <w:tabs>
          <w:tab w:leader="none" w:pos="294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existing on the Closing Date which is disclosed in Schedule 1A;</w:t>
      </w:r>
    </w:p>
    <w:p>
      <w:pPr>
        <w:spacing w:after="0" w:line="209" w:lineRule="exact"/>
        <w:rPr>
          <w:rFonts w:ascii="Times New Roman" w:cs="Times New Roman" w:eastAsia="Times New Roman" w:hAnsi="Times New Roman"/>
          <w:sz w:val="21"/>
          <w:szCs w:val="21"/>
          <w:color w:val="auto"/>
        </w:rPr>
      </w:pPr>
    </w:p>
    <w:p>
      <w:pPr>
        <w:ind w:left="3000" w:hanging="522"/>
        <w:spacing w:after="0"/>
        <w:tabs>
          <w:tab w:leader="none" w:pos="300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of up to $10,000,000 outstanding at any time secured by a Lien described in clause</w:t>
      </w:r>
    </w:p>
    <w:p>
      <w:pPr>
        <w:spacing w:after="0" w:line="26" w:lineRule="exact"/>
        <w:rPr>
          <w:rFonts w:ascii="Times New Roman" w:cs="Times New Roman" w:eastAsia="Times New Roman" w:hAnsi="Times New Roman"/>
          <w:sz w:val="21"/>
          <w:szCs w:val="21"/>
          <w:color w:val="auto"/>
        </w:rPr>
      </w:pPr>
    </w:p>
    <w:p>
      <w:pPr>
        <w:ind w:left="1240" w:right="540" w:firstLine="1"/>
        <w:spacing w:after="0" w:line="259" w:lineRule="auto"/>
        <w:tabs>
          <w:tab w:leader="none" w:pos="164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defined term “Permitted Liens,” provided such Indebtedness does not exceed the cost of the Equipment financed with such Indebtedness;</w:t>
      </w:r>
    </w:p>
    <w:p>
      <w:pPr>
        <w:spacing w:after="0" w:line="165" w:lineRule="exact"/>
        <w:rPr>
          <w:rFonts w:ascii="Times New Roman" w:cs="Times New Roman" w:eastAsia="Times New Roman" w:hAnsi="Times New Roman"/>
          <w:sz w:val="21"/>
          <w:szCs w:val="21"/>
          <w:color w:val="auto"/>
        </w:rPr>
      </w:pPr>
    </w:p>
    <w:p>
      <w:pPr>
        <w:ind w:left="1240" w:right="160" w:firstLine="1238"/>
        <w:spacing w:after="0" w:line="269" w:lineRule="auto"/>
        <w:tabs>
          <w:tab w:leader="none" w:pos="298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to trade creditors incurred in the ordinary course of business, including Indebtedness incurred in the ordinary course of business with corporate credit cards;</w:t>
      </w:r>
    </w:p>
    <w:p>
      <w:pPr>
        <w:spacing w:after="0" w:line="154" w:lineRule="exact"/>
        <w:rPr>
          <w:rFonts w:ascii="Times New Roman" w:cs="Times New Roman" w:eastAsia="Times New Roman" w:hAnsi="Times New Roman"/>
          <w:sz w:val="21"/>
          <w:szCs w:val="21"/>
          <w:color w:val="auto"/>
        </w:rPr>
      </w:pPr>
    </w:p>
    <w:p>
      <w:pPr>
        <w:ind w:left="2920" w:hanging="442"/>
        <w:spacing w:after="0"/>
        <w:tabs>
          <w:tab w:leader="none" w:pos="292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that also constitutes a Permitted Investment;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19" w:name="page120"/>
    <w:bookmarkEnd w:id="119"/>
    <w:p>
      <w:pPr>
        <w:ind w:left="1860" w:hanging="502"/>
        <w:spacing w:after="0"/>
        <w:tabs>
          <w:tab w:leader="none" w:pos="18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Subordinated Indebtedness;</w:t>
      </w:r>
    </w:p>
    <w:p>
      <w:pPr>
        <w:spacing w:after="0" w:line="209" w:lineRule="exact"/>
        <w:rPr>
          <w:rFonts w:ascii="Times New Roman" w:cs="Times New Roman" w:eastAsia="Times New Roman" w:hAnsi="Times New Roman"/>
          <w:sz w:val="21"/>
          <w:szCs w:val="21"/>
          <w:color w:val="auto"/>
        </w:rPr>
      </w:pPr>
    </w:p>
    <w:p>
      <w:pPr>
        <w:ind w:left="120" w:firstLine="1238"/>
        <w:spacing w:after="0" w:line="256" w:lineRule="auto"/>
        <w:tabs>
          <w:tab w:leader="none" w:pos="1919"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reimbursement obligations in connection with letters of credit that are secured by Cash and issued on behalf of Borrower or a Subsidiary thereof in an amount not to exceed (A) at any time prior to the achievement of the Approval Milestone, $3,500,000 at any time outstanding or (B) at any time following the achievement of the Approval Milestone, $5,000,000 at any time outstanding,</w:t>
      </w:r>
    </w:p>
    <w:p>
      <w:pPr>
        <w:spacing w:after="0" w:line="168" w:lineRule="exact"/>
        <w:rPr>
          <w:rFonts w:ascii="Times New Roman" w:cs="Times New Roman" w:eastAsia="Times New Roman" w:hAnsi="Times New Roman"/>
          <w:sz w:val="21"/>
          <w:szCs w:val="21"/>
          <w:color w:val="auto"/>
        </w:rPr>
      </w:pPr>
    </w:p>
    <w:p>
      <w:pPr>
        <w:ind w:left="1980" w:hanging="622"/>
        <w:spacing w:after="0"/>
        <w:tabs>
          <w:tab w:leader="none" w:pos="198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unsecured Indebtedness in an amount not to exceed $2,000,000 at any time outstanding,</w:t>
      </w:r>
    </w:p>
    <w:p>
      <w:pPr>
        <w:spacing w:after="0" w:line="209" w:lineRule="exact"/>
        <w:rPr>
          <w:rFonts w:ascii="Times New Roman" w:cs="Times New Roman" w:eastAsia="Times New Roman" w:hAnsi="Times New Roman"/>
          <w:sz w:val="21"/>
          <w:szCs w:val="21"/>
          <w:color w:val="auto"/>
        </w:rPr>
      </w:pPr>
    </w:p>
    <w:p>
      <w:pPr>
        <w:ind w:left="120" w:right="120" w:firstLine="1238"/>
        <w:spacing w:after="0" w:line="295" w:lineRule="auto"/>
        <w:tabs>
          <w:tab w:leader="none" w:pos="186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Indebtedness as long as such Indebtedness (A) is owing from a Borrower to another Borrower, or (B) is owing from a Subsidiary to Borrower so long as such Indebtedness is a Permitted Investment;</w:t>
      </w:r>
    </w:p>
    <w:p>
      <w:pPr>
        <w:spacing w:after="0" w:line="143" w:lineRule="exact"/>
        <w:rPr>
          <w:rFonts w:ascii="Times New Roman" w:cs="Times New Roman" w:eastAsia="Times New Roman" w:hAnsi="Times New Roman"/>
          <w:sz w:val="20"/>
          <w:szCs w:val="20"/>
          <w:color w:val="auto"/>
        </w:rPr>
      </w:pPr>
    </w:p>
    <w:p>
      <w:pPr>
        <w:ind w:left="1800" w:hanging="442"/>
        <w:spacing w:after="0"/>
        <w:tabs>
          <w:tab w:leader="none" w:pos="18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Convertible Debt; and</w:t>
      </w:r>
    </w:p>
    <w:p>
      <w:pPr>
        <w:spacing w:after="0" w:line="209" w:lineRule="exact"/>
        <w:rPr>
          <w:rFonts w:ascii="Times New Roman" w:cs="Times New Roman" w:eastAsia="Times New Roman" w:hAnsi="Times New Roman"/>
          <w:sz w:val="21"/>
          <w:szCs w:val="21"/>
          <w:color w:val="auto"/>
        </w:rPr>
      </w:pPr>
    </w:p>
    <w:p>
      <w:pPr>
        <w:jc w:val="both"/>
        <w:ind w:left="120" w:right="260" w:firstLine="1238"/>
        <w:spacing w:after="0" w:line="256" w:lineRule="auto"/>
        <w:tabs>
          <w:tab w:leader="none" w:pos="186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extensions, refinancings and renewals of any items of Permitted Indebtedness, provided that the principal amount is not increased (other than as a result of the capitalization of interest, fees or expenses) or the terms modified to impose materially more burdensome terms upon Borrower or its Subsidiary, as the case may be.</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“Permitted Investment” means:</w:t>
      </w:r>
    </w:p>
    <w:p>
      <w:pPr>
        <w:spacing w:after="0" w:line="210" w:lineRule="exact"/>
        <w:rPr>
          <w:sz w:val="20"/>
          <w:szCs w:val="20"/>
          <w:color w:val="auto"/>
        </w:rPr>
      </w:pPr>
    </w:p>
    <w:p>
      <w:pPr>
        <w:ind w:left="1760" w:hanging="402"/>
        <w:spacing w:after="0"/>
        <w:tabs>
          <w:tab w:leader="none" w:pos="176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existing on the Closing Date which are disclosed in Schedule 1B;</w:t>
      </w:r>
    </w:p>
    <w:p>
      <w:pPr>
        <w:spacing w:after="0" w:line="222" w:lineRule="exact"/>
        <w:rPr>
          <w:rFonts w:ascii="Times New Roman" w:cs="Times New Roman" w:eastAsia="Times New Roman" w:hAnsi="Times New Roman"/>
          <w:sz w:val="21"/>
          <w:szCs w:val="21"/>
          <w:color w:val="auto"/>
        </w:rPr>
      </w:pPr>
    </w:p>
    <w:p>
      <w:pPr>
        <w:ind w:left="120" w:right="200" w:firstLine="1238"/>
        <w:spacing w:after="0" w:line="249" w:lineRule="auto"/>
        <w:tabs>
          <w:tab w:leader="none" w:pos="181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and (d) money market accounts;</w:t>
      </w:r>
    </w:p>
    <w:p>
      <w:pPr>
        <w:spacing w:after="0" w:line="180" w:lineRule="exact"/>
        <w:rPr>
          <w:rFonts w:ascii="Times New Roman" w:cs="Times New Roman" w:eastAsia="Times New Roman" w:hAnsi="Times New Roman"/>
          <w:sz w:val="21"/>
          <w:szCs w:val="21"/>
          <w:color w:val="auto"/>
        </w:rPr>
      </w:pPr>
    </w:p>
    <w:p>
      <w:pPr>
        <w:ind w:left="120" w:right="40" w:firstLine="1238"/>
        <w:spacing w:after="0" w:line="256" w:lineRule="auto"/>
        <w:tabs>
          <w:tab w:leader="none" w:pos="187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repurchases of stock from former employees, directors, or consultants of Borrower under the terms of applicable repurchase agreements at the original issuance price of such securities in an aggregate amount not to exceed $1,000,000 in any fiscal year, provided that no Event of Default has occurred, is continuing or could exist after giving effect to the repurchases;</w:t>
      </w: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17</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080"/>
          </w:cols>
          <w:pgMar w:left="1440" w:top="1365" w:right="379" w:bottom="1440" w:gutter="0" w:footer="0" w:header="0"/>
        </w:sectPr>
      </w:pPr>
    </w:p>
    <w:bookmarkStart w:id="120" w:name="page121"/>
    <w:bookmarkEnd w:id="120"/>
    <w:p>
      <w:pPr>
        <w:ind w:left="1860" w:hanging="502"/>
        <w:spacing w:after="0"/>
        <w:tabs>
          <w:tab w:leader="none" w:pos="186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accepted in connection with Permitted Transfers;</w:t>
      </w:r>
    </w:p>
    <w:p>
      <w:pPr>
        <w:spacing w:after="0" w:line="209" w:lineRule="exact"/>
        <w:rPr>
          <w:rFonts w:ascii="Times New Roman" w:cs="Times New Roman" w:eastAsia="Times New Roman" w:hAnsi="Times New Roman"/>
          <w:sz w:val="21"/>
          <w:szCs w:val="21"/>
          <w:color w:val="auto"/>
        </w:rPr>
      </w:pPr>
    </w:p>
    <w:p>
      <w:pPr>
        <w:ind w:left="120" w:right="800" w:firstLine="1238"/>
        <w:spacing w:after="0" w:line="262" w:lineRule="auto"/>
        <w:tabs>
          <w:tab w:leader="none" w:pos="1804"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63" w:lineRule="exact"/>
        <w:rPr>
          <w:rFonts w:ascii="Times New Roman" w:cs="Times New Roman" w:eastAsia="Times New Roman" w:hAnsi="Times New Roman"/>
          <w:sz w:val="21"/>
          <w:szCs w:val="21"/>
          <w:color w:val="auto"/>
        </w:rPr>
      </w:pPr>
    </w:p>
    <w:p>
      <w:pPr>
        <w:ind w:left="120" w:right="220" w:firstLine="1238"/>
        <w:spacing w:after="0" w:line="256" w:lineRule="auto"/>
        <w:tabs>
          <w:tab w:leader="none" w:pos="186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68" w:lineRule="exact"/>
        <w:rPr>
          <w:rFonts w:ascii="Times New Roman" w:cs="Times New Roman" w:eastAsia="Times New Roman" w:hAnsi="Times New Roman"/>
          <w:sz w:val="21"/>
          <w:szCs w:val="21"/>
          <w:color w:val="auto"/>
        </w:rPr>
      </w:pPr>
    </w:p>
    <w:p>
      <w:pPr>
        <w:jc w:val="both"/>
        <w:ind w:left="120" w:right="160" w:firstLine="1238"/>
        <w:spacing w:after="0" w:line="282" w:lineRule="auto"/>
        <w:tabs>
          <w:tab w:leader="none" w:pos="191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loans not involving the net transfer on a substantially contemporaneous basis of cash proceeds to employees, officers or directors relating to the purchase of capital stock of Parent pursuant to employee stock purchase plans or other similar agreements approved by Parent’s Board of Directors;</w:t>
      </w:r>
    </w:p>
    <w:p>
      <w:pPr>
        <w:spacing w:after="0" w:line="143" w:lineRule="exact"/>
        <w:rPr>
          <w:rFonts w:ascii="Times New Roman" w:cs="Times New Roman" w:eastAsia="Times New Roman" w:hAnsi="Times New Roman"/>
          <w:sz w:val="20"/>
          <w:szCs w:val="20"/>
          <w:color w:val="auto"/>
        </w:rPr>
      </w:pPr>
    </w:p>
    <w:p>
      <w:pPr>
        <w:ind w:left="1980" w:hanging="622"/>
        <w:spacing w:after="0"/>
        <w:tabs>
          <w:tab w:leader="none" w:pos="19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travel advances in the ordinary course of business;</w:t>
      </w:r>
    </w:p>
    <w:p>
      <w:pPr>
        <w:spacing w:after="0" w:line="209" w:lineRule="exact"/>
        <w:rPr>
          <w:rFonts w:ascii="Times New Roman" w:cs="Times New Roman" w:eastAsia="Times New Roman" w:hAnsi="Times New Roman"/>
          <w:sz w:val="21"/>
          <w:szCs w:val="21"/>
          <w:color w:val="auto"/>
        </w:rPr>
      </w:pPr>
    </w:p>
    <w:p>
      <w:pPr>
        <w:ind w:left="120" w:right="60" w:firstLine="1238"/>
        <w:spacing w:after="0" w:line="256" w:lineRule="auto"/>
        <w:tabs>
          <w:tab w:leader="none" w:pos="186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newly-formed Subsidiaries, provided that each such Subsidiary enters into a Joinder Agreement promptly after its formation by Borrower and executes such other documents as shall be reasonably requested by Agent;</w:t>
      </w:r>
    </w:p>
    <w:p>
      <w:pPr>
        <w:spacing w:after="0" w:line="181" w:lineRule="exact"/>
        <w:rPr>
          <w:rFonts w:ascii="Times New Roman" w:cs="Times New Roman" w:eastAsia="Times New Roman" w:hAnsi="Times New Roman"/>
          <w:sz w:val="21"/>
          <w:szCs w:val="21"/>
          <w:color w:val="auto"/>
        </w:rPr>
      </w:pPr>
    </w:p>
    <w:p>
      <w:pPr>
        <w:ind w:left="1800" w:hanging="442"/>
        <w:spacing w:after="0"/>
        <w:tabs>
          <w:tab w:leader="none" w:pos="18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Excluded Subsidiaries not to exceed $500,000 in the aggregate per month and</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$1,000,000 in the aggregate per fiscal year;</w:t>
      </w:r>
    </w:p>
    <w:p>
      <w:pPr>
        <w:spacing w:after="0" w:line="188" w:lineRule="exact"/>
        <w:rPr>
          <w:sz w:val="20"/>
          <w:szCs w:val="20"/>
          <w:color w:val="auto"/>
        </w:rPr>
      </w:pPr>
    </w:p>
    <w:p>
      <w:pPr>
        <w:ind w:left="120" w:right="100" w:firstLine="1238"/>
        <w:spacing w:after="0" w:line="256" w:lineRule="auto"/>
        <w:tabs>
          <w:tab w:leader="none" w:pos="186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the MSC Subsidiary, so long as an Event of Default does not exist at the time of such Investment and would not exist after giving effect to such Investment and provided that Borrower is in compliance with Section 7.14 hereunder;</w:t>
      </w:r>
    </w:p>
    <w:p>
      <w:pPr>
        <w:spacing w:after="0" w:line="181" w:lineRule="exact"/>
        <w:rPr>
          <w:rFonts w:ascii="Times New Roman" w:cs="Times New Roman" w:eastAsia="Times New Roman" w:hAnsi="Times New Roman"/>
          <w:sz w:val="21"/>
          <w:szCs w:val="21"/>
          <w:color w:val="auto"/>
        </w:rPr>
      </w:pPr>
    </w:p>
    <w:p>
      <w:pPr>
        <w:ind w:left="120" w:firstLine="1238"/>
        <w:spacing w:after="0" w:line="249" w:lineRule="auto"/>
        <w:tabs>
          <w:tab w:leader="none" w:pos="191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$500,000 in the aggregate in any fiscal year and, provided, further, that, for the avoidance of doubt, any cost-sharing arrangements in connection with collaborative studies with third parties shall not be subject to any such limitation;</w:t>
      </w:r>
    </w:p>
    <w:p>
      <w:pPr>
        <w:spacing w:after="0" w:line="191" w:lineRule="exact"/>
        <w:rPr>
          <w:rFonts w:ascii="Times New Roman" w:cs="Times New Roman" w:eastAsia="Times New Roman" w:hAnsi="Times New Roman"/>
          <w:sz w:val="21"/>
          <w:szCs w:val="21"/>
          <w:color w:val="auto"/>
        </w:rPr>
      </w:pPr>
    </w:p>
    <w:p>
      <w:pPr>
        <w:ind w:left="1980" w:hanging="622"/>
        <w:spacing w:after="0"/>
        <w:tabs>
          <w:tab w:leader="none" w:pos="198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Permitted Acquisitions; and</w:t>
      </w:r>
    </w:p>
    <w:p>
      <w:pPr>
        <w:spacing w:after="0" w:line="200" w:lineRule="exact"/>
        <w:rPr>
          <w:sz w:val="20"/>
          <w:szCs w:val="20"/>
          <w:color w:val="auto"/>
        </w:rPr>
      </w:pPr>
    </w:p>
    <w:p>
      <w:pPr>
        <w:spacing w:after="0" w:line="38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18</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20"/>
          </w:cols>
          <w:pgMar w:left="1440" w:top="1365" w:right="339" w:bottom="1440" w:gutter="0" w:footer="0" w:header="0"/>
        </w:sectPr>
      </w:pPr>
    </w:p>
    <w:bookmarkStart w:id="121" w:name="page122"/>
    <w:bookmarkEnd w:id="121"/>
    <w:p>
      <w:pPr>
        <w:ind w:left="120" w:right="2300" w:firstLine="1238"/>
        <w:spacing w:after="0" w:line="448" w:lineRule="auto"/>
        <w:tabs>
          <w:tab w:leader="none" w:pos="196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additional Investments that do not exceed $1,000,000 in the aggregate. “Permitted Liens” means:</w:t>
      </w:r>
    </w:p>
    <w:p>
      <w:pPr>
        <w:spacing w:after="0" w:line="1" w:lineRule="exact"/>
        <w:rPr>
          <w:sz w:val="20"/>
          <w:szCs w:val="20"/>
          <w:color w:val="auto"/>
        </w:rPr>
      </w:pPr>
    </w:p>
    <w:p>
      <w:pPr>
        <w:ind w:left="1760" w:hanging="402"/>
        <w:spacing w:after="0"/>
        <w:tabs>
          <w:tab w:leader="none" w:pos="176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Agent or the Lenders;</w:t>
      </w:r>
    </w:p>
    <w:p>
      <w:pPr>
        <w:spacing w:after="0" w:line="222" w:lineRule="exact"/>
        <w:rPr>
          <w:rFonts w:ascii="Times New Roman" w:cs="Times New Roman" w:eastAsia="Times New Roman" w:hAnsi="Times New Roman"/>
          <w:sz w:val="21"/>
          <w:szCs w:val="21"/>
          <w:color w:val="auto"/>
        </w:rPr>
      </w:pPr>
    </w:p>
    <w:p>
      <w:pPr>
        <w:ind w:left="1820" w:hanging="462"/>
        <w:spacing w:after="0"/>
        <w:tabs>
          <w:tab w:leader="none" w:pos="18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existing on the Closing Date which are disclosed in Schedule 1C;</w:t>
      </w:r>
    </w:p>
    <w:p>
      <w:pPr>
        <w:spacing w:after="0" w:line="209" w:lineRule="exact"/>
        <w:rPr>
          <w:rFonts w:ascii="Times New Roman" w:cs="Times New Roman" w:eastAsia="Times New Roman" w:hAnsi="Times New Roman"/>
          <w:sz w:val="21"/>
          <w:szCs w:val="21"/>
          <w:color w:val="auto"/>
        </w:rPr>
      </w:pPr>
    </w:p>
    <w:p>
      <w:pPr>
        <w:ind w:left="120" w:right="380" w:firstLine="1238"/>
        <w:spacing w:after="0" w:line="256" w:lineRule="auto"/>
        <w:tabs>
          <w:tab w:leader="none" w:pos="187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for taxes, fees, assessments or other governmental charges or levies, either not yet due or being contested in good faith by appropriate proceedings diligently conducted; provided, that Borrower maintains adequate reserves therefor on Borrower’s Books in accordance with GAAP;</w:t>
      </w:r>
    </w:p>
    <w:p>
      <w:pPr>
        <w:spacing w:after="0" w:line="168" w:lineRule="exact"/>
        <w:rPr>
          <w:rFonts w:ascii="Times New Roman" w:cs="Times New Roman" w:eastAsia="Times New Roman" w:hAnsi="Times New Roman"/>
          <w:sz w:val="21"/>
          <w:szCs w:val="21"/>
          <w:color w:val="auto"/>
        </w:rPr>
      </w:pPr>
    </w:p>
    <w:p>
      <w:pPr>
        <w:jc w:val="both"/>
        <w:ind w:left="120" w:right="300" w:firstLine="1238"/>
        <w:spacing w:after="0" w:line="262"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required;</w:t>
      </w:r>
    </w:p>
    <w:p>
      <w:pPr>
        <w:spacing w:after="0" w:line="163" w:lineRule="exact"/>
        <w:rPr>
          <w:rFonts w:ascii="Times New Roman" w:cs="Times New Roman" w:eastAsia="Times New Roman" w:hAnsi="Times New Roman"/>
          <w:sz w:val="21"/>
          <w:szCs w:val="21"/>
          <w:color w:val="auto"/>
        </w:rPr>
      </w:pPr>
    </w:p>
    <w:p>
      <w:pPr>
        <w:ind w:left="120" w:right="220" w:firstLine="1238"/>
        <w:spacing w:after="0" w:line="269" w:lineRule="auto"/>
        <w:tabs>
          <w:tab w:leader="none" w:pos="180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arising from judgments, decrees or attachments in circumstances which do not constitute an Event of Default hereunder;</w:t>
      </w:r>
    </w:p>
    <w:p>
      <w:pPr>
        <w:spacing w:after="0" w:line="154" w:lineRule="exact"/>
        <w:rPr>
          <w:rFonts w:ascii="Times New Roman" w:cs="Times New Roman" w:eastAsia="Times New Roman" w:hAnsi="Times New Roman"/>
          <w:sz w:val="21"/>
          <w:szCs w:val="21"/>
          <w:color w:val="auto"/>
        </w:rPr>
      </w:pPr>
    </w:p>
    <w:p>
      <w:pPr>
        <w:ind w:left="120" w:right="20" w:firstLine="1238"/>
        <w:spacing w:after="0" w:line="251"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73" w:lineRule="exact"/>
        <w:rPr>
          <w:rFonts w:ascii="Times New Roman" w:cs="Times New Roman" w:eastAsia="Times New Roman" w:hAnsi="Times New Roman"/>
          <w:sz w:val="21"/>
          <w:szCs w:val="21"/>
          <w:color w:val="auto"/>
        </w:rPr>
      </w:pPr>
    </w:p>
    <w:p>
      <w:pPr>
        <w:jc w:val="both"/>
        <w:ind w:left="120" w:right="140" w:firstLine="1238"/>
        <w:spacing w:after="0" w:line="308" w:lineRule="auto"/>
        <w:tabs>
          <w:tab w:leader="none" w:pos="191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Equipment or software or other intellectual property constituting purchase money Liens and Liens in connection with capital leases securing Indebtedness permitted in clause (iii) of “Permitted Indebtedness”;</w:t>
      </w:r>
    </w:p>
    <w:p>
      <w:pPr>
        <w:spacing w:after="0" w:line="118" w:lineRule="exact"/>
        <w:rPr>
          <w:rFonts w:ascii="Times New Roman" w:cs="Times New Roman" w:eastAsia="Times New Roman" w:hAnsi="Times New Roman"/>
          <w:sz w:val="20"/>
          <w:szCs w:val="20"/>
          <w:color w:val="auto"/>
        </w:rPr>
      </w:pPr>
    </w:p>
    <w:p>
      <w:pPr>
        <w:ind w:left="1980" w:hanging="622"/>
        <w:spacing w:after="0"/>
        <w:tabs>
          <w:tab w:leader="none" w:pos="198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incurred in connection with Subordinated Indebtedness;</w:t>
      </w:r>
    </w:p>
    <w:p>
      <w:pPr>
        <w:spacing w:after="0" w:line="209" w:lineRule="exact"/>
        <w:rPr>
          <w:rFonts w:ascii="Times New Roman" w:cs="Times New Roman" w:eastAsia="Times New Roman" w:hAnsi="Times New Roman"/>
          <w:sz w:val="21"/>
          <w:szCs w:val="21"/>
          <w:color w:val="auto"/>
        </w:rPr>
      </w:pPr>
    </w:p>
    <w:p>
      <w:pPr>
        <w:ind w:left="120" w:firstLine="1238"/>
        <w:spacing w:after="0" w:line="269" w:lineRule="auto"/>
        <w:tabs>
          <w:tab w:leader="none" w:pos="186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leasehold interests in leases or subleases and licenses granted in the ordinary course of business and not interfering in any material respect with the business of the licensor;</w:t>
      </w:r>
    </w:p>
    <w:p>
      <w:pPr>
        <w:spacing w:after="0" w:line="154" w:lineRule="exact"/>
        <w:rPr>
          <w:rFonts w:ascii="Times New Roman" w:cs="Times New Roman" w:eastAsia="Times New Roman" w:hAnsi="Times New Roman"/>
          <w:sz w:val="21"/>
          <w:szCs w:val="21"/>
          <w:color w:val="auto"/>
        </w:rPr>
      </w:pPr>
    </w:p>
    <w:p>
      <w:pPr>
        <w:ind w:left="120" w:right="300" w:firstLine="1238"/>
        <w:spacing w:after="0" w:line="282" w:lineRule="auto"/>
        <w:tabs>
          <w:tab w:leader="none" w:pos="180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customs and revenue authorities arising as a matter of law to secure payment of custom duties that are promptly paid on or before the date they become due;</w:t>
      </w:r>
    </w:p>
    <w:p>
      <w:pPr>
        <w:spacing w:after="0" w:line="200" w:lineRule="exact"/>
        <w:rPr>
          <w:sz w:val="20"/>
          <w:szCs w:val="20"/>
          <w:color w:val="auto"/>
        </w:rPr>
      </w:pPr>
    </w:p>
    <w:p>
      <w:pPr>
        <w:spacing w:after="0" w:line="31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19</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00"/>
          </w:cols>
          <w:pgMar w:left="1440" w:top="1365" w:right="359" w:bottom="1440" w:gutter="0" w:footer="0" w:header="0"/>
        </w:sectPr>
      </w:pPr>
    </w:p>
    <w:bookmarkStart w:id="122" w:name="page123"/>
    <w:bookmarkEnd w:id="122"/>
    <w:p>
      <w:pPr>
        <w:ind w:left="120" w:right="180" w:firstLine="1238"/>
        <w:spacing w:after="0" w:line="256" w:lineRule="auto"/>
        <w:tabs>
          <w:tab w:leader="none" w:pos="186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81" w:lineRule="exact"/>
        <w:rPr>
          <w:rFonts w:ascii="Times New Roman" w:cs="Times New Roman" w:eastAsia="Times New Roman" w:hAnsi="Times New Roman"/>
          <w:sz w:val="21"/>
          <w:szCs w:val="21"/>
          <w:color w:val="auto"/>
        </w:rPr>
      </w:pPr>
    </w:p>
    <w:p>
      <w:pPr>
        <w:ind w:left="120" w:right="560" w:firstLine="1238"/>
        <w:spacing w:after="0" w:line="269" w:lineRule="auto"/>
        <w:tabs>
          <w:tab w:leader="none" w:pos="1919"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statutory and common law rights of set-off and other similar rights as to deposits of cash and securities in favor of banks, other depository institutions and brokerage firms;</w:t>
      </w:r>
    </w:p>
    <w:p>
      <w:pPr>
        <w:spacing w:after="0" w:line="154" w:lineRule="exact"/>
        <w:rPr>
          <w:rFonts w:ascii="Times New Roman" w:cs="Times New Roman" w:eastAsia="Times New Roman" w:hAnsi="Times New Roman"/>
          <w:sz w:val="21"/>
          <w:szCs w:val="21"/>
          <w:color w:val="auto"/>
        </w:rPr>
      </w:pPr>
    </w:p>
    <w:p>
      <w:pPr>
        <w:jc w:val="both"/>
        <w:ind w:left="120" w:right="40" w:firstLine="1238"/>
        <w:spacing w:after="0" w:line="256" w:lineRule="auto"/>
        <w:tabs>
          <w:tab w:leader="none" w:pos="197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181" w:lineRule="exact"/>
        <w:rPr>
          <w:rFonts w:ascii="Times New Roman" w:cs="Times New Roman" w:eastAsia="Times New Roman" w:hAnsi="Times New Roman"/>
          <w:sz w:val="21"/>
          <w:szCs w:val="21"/>
          <w:color w:val="auto"/>
        </w:rPr>
      </w:pPr>
    </w:p>
    <w:p>
      <w:pPr>
        <w:ind w:left="120" w:right="120" w:firstLine="1238"/>
        <w:spacing w:after="0" w:line="249" w:lineRule="auto"/>
        <w:tabs>
          <w:tab w:leader="none" w:pos="196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Liens on Cash securing obligations permitted under clause (vii) of the definition of Permitted Indebtedness and (B) security deposits in connection with real property leases, the combination of (A) and (B) in an aggregate amount not to exceed (A) at any time prior to the achievement of the Approval Milestone, $3,500,000 at any time outstanding or (B) at any time following the achievement of the Approval Milestone, $5,000,000 at any time outstanding;</w:t>
      </w:r>
    </w:p>
    <w:p>
      <w:pPr>
        <w:spacing w:after="0" w:line="178" w:lineRule="exact"/>
        <w:rPr>
          <w:rFonts w:ascii="Times New Roman" w:cs="Times New Roman" w:eastAsia="Times New Roman" w:hAnsi="Times New Roman"/>
          <w:sz w:val="21"/>
          <w:szCs w:val="21"/>
          <w:color w:val="auto"/>
        </w:rPr>
      </w:pPr>
    </w:p>
    <w:p>
      <w:pPr>
        <w:ind w:left="120" w:right="740" w:firstLine="1238"/>
        <w:spacing w:after="0" w:line="282" w:lineRule="auto"/>
        <w:tabs>
          <w:tab w:leader="none" w:pos="190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Cash securing corporate credit card obligations permitted under clause (iv) of the definition of Permitted Indebtedness, in an aggregate amount not to exceed $500,000 at any time; and</w:t>
      </w:r>
    </w:p>
    <w:p>
      <w:pPr>
        <w:spacing w:after="0" w:line="141" w:lineRule="exact"/>
        <w:rPr>
          <w:rFonts w:ascii="Times New Roman" w:cs="Times New Roman" w:eastAsia="Times New Roman" w:hAnsi="Times New Roman"/>
          <w:sz w:val="21"/>
          <w:szCs w:val="21"/>
          <w:color w:val="auto"/>
        </w:rPr>
      </w:pPr>
    </w:p>
    <w:p>
      <w:pPr>
        <w:ind w:left="120" w:right="540" w:firstLine="1238"/>
        <w:spacing w:after="0" w:line="268" w:lineRule="auto"/>
        <w:tabs>
          <w:tab w:leader="none" w:pos="196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in connection with the extension, renewal or refinancing of the Indebtedness secured by Liens of the type described in clauses (i) through (xi) above; provided, that any extension, renewal or replacement Lien shall be limited to the property encumbered by the existing Lien and the principal amount of the Indebtedness being extended, renewed or refinanced (as may have been reduced by any payment thereon) does not increase, other than as a result of the capitalization of interest, fees and expenses thereunder.</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“Permitted Transfers” means:</w:t>
      </w:r>
    </w:p>
    <w:p>
      <w:pPr>
        <w:spacing w:after="0" w:line="210" w:lineRule="exact"/>
        <w:rPr>
          <w:sz w:val="20"/>
          <w:szCs w:val="20"/>
          <w:color w:val="auto"/>
        </w:rPr>
      </w:pPr>
    </w:p>
    <w:p>
      <w:pPr>
        <w:ind w:left="1760" w:hanging="402"/>
        <w:spacing w:after="0"/>
        <w:tabs>
          <w:tab w:leader="none" w:pos="1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of Inventory in the ordinary course of business;</w:t>
      </w:r>
    </w:p>
    <w:p>
      <w:pPr>
        <w:spacing w:after="0" w:line="209" w:lineRule="exact"/>
        <w:rPr>
          <w:rFonts w:ascii="Times New Roman" w:cs="Times New Roman" w:eastAsia="Times New Roman" w:hAnsi="Times New Roman"/>
          <w:sz w:val="21"/>
          <w:szCs w:val="21"/>
          <w:color w:val="auto"/>
        </w:rPr>
      </w:pPr>
    </w:p>
    <w:p>
      <w:pPr>
        <w:ind w:left="120" w:right="540" w:firstLine="1238"/>
        <w:spacing w:after="0" w:line="262" w:lineRule="auto"/>
        <w:tabs>
          <w:tab w:leader="none" w:pos="181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sublicenses and similar arrangements for the use of Company IP of Borrower or Borrower Products and related assets in the ordinary course of business that could not result in a legal transfer of title of the licensed property;</w:t>
      </w:r>
    </w:p>
    <w:p>
      <w:pPr>
        <w:spacing w:after="0" w:line="163" w:lineRule="exact"/>
        <w:rPr>
          <w:rFonts w:ascii="Times New Roman" w:cs="Times New Roman" w:eastAsia="Times New Roman" w:hAnsi="Times New Roman"/>
          <w:sz w:val="21"/>
          <w:szCs w:val="21"/>
          <w:color w:val="auto"/>
        </w:rPr>
      </w:pPr>
    </w:p>
    <w:p>
      <w:pPr>
        <w:ind w:left="120" w:firstLine="1238"/>
        <w:spacing w:after="0" w:line="295" w:lineRule="auto"/>
        <w:tabs>
          <w:tab w:leader="none" w:pos="192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exclusive licenses, sublicenses and similar arrangements for the use of Company IP of Borrower or Borrower Products and related assets in the ordinary course of business that could not result in a legal transfer of title of</w:t>
      </w:r>
    </w:p>
    <w:p>
      <w:pPr>
        <w:spacing w:after="0" w:line="200" w:lineRule="exact"/>
        <w:rPr>
          <w:sz w:val="20"/>
          <w:szCs w:val="20"/>
          <w:color w:val="auto"/>
        </w:rPr>
      </w:pPr>
    </w:p>
    <w:p>
      <w:pPr>
        <w:spacing w:after="0" w:line="3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20</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20"/>
          </w:cols>
          <w:pgMar w:left="1440" w:top="1365" w:right="339" w:bottom="1440" w:gutter="0" w:footer="0" w:header="0"/>
        </w:sectPr>
      </w:pPr>
    </w:p>
    <w:bookmarkStart w:id="123" w:name="page124"/>
    <w:bookmarkEnd w:id="123"/>
    <w:p>
      <w:pPr>
        <w:ind w:left="1240" w:right="80"/>
        <w:spacing w:after="0" w:line="269" w:lineRule="auto"/>
        <w:rPr>
          <w:sz w:val="20"/>
          <w:szCs w:val="20"/>
          <w:color w:val="auto"/>
        </w:rPr>
      </w:pPr>
      <w:r>
        <w:rPr>
          <w:rFonts w:ascii="Times New Roman" w:cs="Times New Roman" w:eastAsia="Times New Roman" w:hAnsi="Times New Roman"/>
          <w:sz w:val="21"/>
          <w:szCs w:val="21"/>
          <w:color w:val="auto"/>
        </w:rPr>
        <w:t>the licensed property that may be exclusive in respects other than territory, and that may be exclusive as to territory only as to discreet geographical areas outside of the United States of America;</w:t>
      </w:r>
    </w:p>
    <w:p>
      <w:pPr>
        <w:spacing w:after="0" w:line="155" w:lineRule="exact"/>
        <w:rPr>
          <w:sz w:val="20"/>
          <w:szCs w:val="20"/>
          <w:color w:val="auto"/>
        </w:rPr>
      </w:pPr>
    </w:p>
    <w:p>
      <w:pPr>
        <w:jc w:val="both"/>
        <w:ind w:left="1240" w:right="60" w:firstLine="1238"/>
        <w:spacing w:after="0" w:line="267" w:lineRule="auto"/>
        <w:tabs>
          <w:tab w:leader="none" w:pos="2982"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exclusive licenses, sublicenses and similar arrangements for the use of Company IP of Borrower or Borrower Products and related assets in the ordinary course of business that could not result in a legal transfer of title of the licensed property that is exclusive as to territory inside the United States of America, provided that each such license</w:t>
      </w:r>
    </w:p>
    <w:p>
      <w:pPr>
        <w:spacing w:after="0" w:line="2" w:lineRule="exact"/>
        <w:rPr>
          <w:rFonts w:ascii="Times New Roman" w:cs="Times New Roman" w:eastAsia="Times New Roman" w:hAnsi="Times New Roman"/>
          <w:sz w:val="20"/>
          <w:szCs w:val="20"/>
          <w:color w:val="auto"/>
        </w:rPr>
      </w:pPr>
    </w:p>
    <w:p>
      <w:pPr>
        <w:ind w:left="1240" w:right="180" w:firstLine="1"/>
        <w:spacing w:after="0" w:line="263" w:lineRule="auto"/>
        <w:tabs>
          <w:tab w:leader="none" w:pos="15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for a specific product or product candidate, other than RP1 in indications related to the treatment of patients with CSCC or the treatment of patients with Melanoma who failed anti-PD1 therapy, and (b) constitutes an arms-length transaction, the terms of which, on their face, do not provide for a sale or assignment by Borrower of any Company IP;</w:t>
      </w:r>
    </w:p>
    <w:p>
      <w:pPr>
        <w:spacing w:after="0" w:line="175" w:lineRule="exact"/>
        <w:rPr>
          <w:rFonts w:ascii="Times New Roman" w:cs="Times New Roman" w:eastAsia="Times New Roman" w:hAnsi="Times New Roman"/>
          <w:sz w:val="20"/>
          <w:szCs w:val="20"/>
          <w:color w:val="auto"/>
        </w:rPr>
      </w:pPr>
    </w:p>
    <w:p>
      <w:pPr>
        <w:ind w:left="2920" w:hanging="442"/>
        <w:spacing w:after="0"/>
        <w:tabs>
          <w:tab w:leader="none" w:pos="29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worn-out, obsolete or surplus Equipment at fair market value in the ordinary course</w:t>
      </w:r>
    </w:p>
    <w:p>
      <w:pPr>
        <w:spacing w:after="0" w:line="25"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business;</w:t>
      </w:r>
    </w:p>
    <w:p>
      <w:pPr>
        <w:spacing w:after="0" w:line="187" w:lineRule="exact"/>
        <w:rPr>
          <w:rFonts w:ascii="Times New Roman" w:cs="Times New Roman" w:eastAsia="Times New Roman" w:hAnsi="Times New Roman"/>
          <w:sz w:val="21"/>
          <w:szCs w:val="21"/>
          <w:color w:val="auto"/>
        </w:rPr>
      </w:pPr>
    </w:p>
    <w:p>
      <w:pPr>
        <w:ind w:left="2980" w:hanging="502"/>
        <w:spacing w:after="0"/>
        <w:tabs>
          <w:tab w:leader="none" w:pos="298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by and among any Borrower;</w:t>
      </w:r>
    </w:p>
    <w:p>
      <w:pPr>
        <w:spacing w:after="0" w:line="209" w:lineRule="exact"/>
        <w:rPr>
          <w:rFonts w:ascii="Times New Roman" w:cs="Times New Roman" w:eastAsia="Times New Roman" w:hAnsi="Times New Roman"/>
          <w:sz w:val="21"/>
          <w:szCs w:val="21"/>
          <w:color w:val="auto"/>
        </w:rPr>
      </w:pPr>
    </w:p>
    <w:p>
      <w:pPr>
        <w:ind w:left="1240" w:firstLine="1238"/>
        <w:spacing w:after="0" w:line="269" w:lineRule="auto"/>
        <w:tabs>
          <w:tab w:leader="none" w:pos="303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use or transfer of cash or cash equivalents in a manner that is not prohibited by the terms of this Agreement or the other Loan Documents and in the ordinary course of business;</w:t>
      </w:r>
    </w:p>
    <w:p>
      <w:pPr>
        <w:spacing w:after="0" w:line="154" w:lineRule="exact"/>
        <w:rPr>
          <w:rFonts w:ascii="Times New Roman" w:cs="Times New Roman" w:eastAsia="Times New Roman" w:hAnsi="Times New Roman"/>
          <w:sz w:val="21"/>
          <w:szCs w:val="21"/>
          <w:color w:val="auto"/>
        </w:rPr>
      </w:pPr>
    </w:p>
    <w:p>
      <w:pPr>
        <w:ind w:left="3100" w:hanging="622"/>
        <w:spacing w:after="0"/>
        <w:tabs>
          <w:tab w:leader="none" w:pos="310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consisting of Permitted Liens or Permitted Investments;</w:t>
      </w:r>
    </w:p>
    <w:p>
      <w:pPr>
        <w:spacing w:after="0" w:line="222" w:lineRule="exact"/>
        <w:rPr>
          <w:rFonts w:ascii="Times New Roman" w:cs="Times New Roman" w:eastAsia="Times New Roman" w:hAnsi="Times New Roman"/>
          <w:sz w:val="21"/>
          <w:szCs w:val="21"/>
          <w:color w:val="auto"/>
        </w:rPr>
      </w:pPr>
    </w:p>
    <w:p>
      <w:pPr>
        <w:ind w:left="2980" w:hanging="502"/>
        <w:spacing w:after="0"/>
        <w:tabs>
          <w:tab w:leader="none" w:pos="298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subleases of real property or the termination of real property leases in the ordinary course of</w:t>
      </w:r>
    </w:p>
    <w:p>
      <w:pPr>
        <w:spacing w:after="0" w:line="25" w:lineRule="exact"/>
        <w:rPr>
          <w:rFonts w:ascii="Times New Roman" w:cs="Times New Roman" w:eastAsia="Times New Roman" w:hAnsi="Times New Roman"/>
          <w:sz w:val="21"/>
          <w:szCs w:val="21"/>
          <w:color w:val="auto"/>
        </w:rPr>
      </w:pPr>
    </w:p>
    <w:p>
      <w:pPr>
        <w:ind w:left="1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w:t>
      </w:r>
    </w:p>
    <w:p>
      <w:pPr>
        <w:spacing w:after="0" w:line="187" w:lineRule="exact"/>
        <w:rPr>
          <w:rFonts w:ascii="Times New Roman" w:cs="Times New Roman" w:eastAsia="Times New Roman" w:hAnsi="Times New Roman"/>
          <w:sz w:val="21"/>
          <w:szCs w:val="21"/>
          <w:color w:val="auto"/>
        </w:rPr>
      </w:pPr>
    </w:p>
    <w:p>
      <w:pPr>
        <w:ind w:left="2920" w:hanging="442"/>
        <w:spacing w:after="0"/>
        <w:tabs>
          <w:tab w:leader="none" w:pos="29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permitted under Section 7.9; and</w:t>
      </w:r>
    </w:p>
    <w:p>
      <w:pPr>
        <w:spacing w:after="0" w:line="209" w:lineRule="exact"/>
        <w:rPr>
          <w:rFonts w:ascii="Times New Roman" w:cs="Times New Roman" w:eastAsia="Times New Roman" w:hAnsi="Times New Roman"/>
          <w:sz w:val="21"/>
          <w:szCs w:val="21"/>
          <w:color w:val="auto"/>
        </w:rPr>
      </w:pPr>
    </w:p>
    <w:p>
      <w:pPr>
        <w:ind w:left="2980" w:hanging="502"/>
        <w:spacing w:after="0"/>
        <w:tabs>
          <w:tab w:leader="none" w:pos="29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transfers of assets having a fair market value of not more than $1,000,000 in the aggregate in</w:t>
      </w:r>
    </w:p>
    <w:p>
      <w:pPr>
        <w:spacing w:after="0" w:line="36" w:lineRule="exact"/>
        <w:rPr>
          <w:rFonts w:ascii="Times New Roman" w:cs="Times New Roman" w:eastAsia="Times New Roman" w:hAnsi="Times New Roman"/>
          <w:sz w:val="20"/>
          <w:szCs w:val="20"/>
          <w:color w:val="auto"/>
        </w:rPr>
      </w:pPr>
    </w:p>
    <w:p>
      <w:pPr>
        <w:ind w:left="1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fiscal year.</w:t>
      </w:r>
    </w:p>
    <w:p>
      <w:pPr>
        <w:spacing w:after="0" w:line="201" w:lineRule="exact"/>
        <w:rPr>
          <w:sz w:val="20"/>
          <w:szCs w:val="20"/>
          <w:color w:val="auto"/>
        </w:rPr>
      </w:pPr>
    </w:p>
    <w:p>
      <w:pPr>
        <w:ind w:right="640" w:firstLine="1238"/>
        <w:spacing w:after="0" w:line="269" w:lineRule="auto"/>
        <w:rPr>
          <w:sz w:val="20"/>
          <w:szCs w:val="20"/>
          <w:color w:val="auto"/>
        </w:rPr>
      </w:pPr>
      <w:r>
        <w:rPr>
          <w:rFonts w:ascii="Times New Roman" w:cs="Times New Roman" w:eastAsia="Times New Roman" w:hAnsi="Times New Roman"/>
          <w:sz w:val="21"/>
          <w:szCs w:val="21"/>
          <w:color w:val="auto"/>
        </w:rPr>
        <w:t>“Person” means any individual, sole proprietorship, partnership, joint venture, trust, unincorporated organization, association, corporation, limited liability company, institution, other entity or government.</w:t>
      </w:r>
    </w:p>
    <w:p>
      <w:pPr>
        <w:spacing w:after="0" w:line="155" w:lineRule="exact"/>
        <w:rPr>
          <w:sz w:val="20"/>
          <w:szCs w:val="20"/>
          <w:color w:val="auto"/>
        </w:rPr>
      </w:pPr>
    </w:p>
    <w:p>
      <w:pPr>
        <w:ind w:right="320" w:firstLine="1238"/>
        <w:spacing w:after="0" w:line="269" w:lineRule="auto"/>
        <w:rPr>
          <w:sz w:val="20"/>
          <w:szCs w:val="20"/>
          <w:color w:val="auto"/>
        </w:rPr>
      </w:pPr>
      <w:r>
        <w:rPr>
          <w:rFonts w:ascii="Times New Roman" w:cs="Times New Roman" w:eastAsia="Times New Roman" w:hAnsi="Times New Roman"/>
          <w:sz w:val="21"/>
          <w:szCs w:val="21"/>
          <w:color w:val="auto"/>
        </w:rPr>
        <w:t>“Pledge Agreement” means the Pledge Agreement dated as of the Closing Date between each Borrower party thereto and Agent, as the same may from time to time be amended, restated, modified or otherwise supplemented.</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“Prime Rate” means the lesser of (a) the prime rate as reported in The Wall Street Journal and (b) 7.25%.</w:t>
      </w:r>
    </w:p>
    <w:p>
      <w:pPr>
        <w:spacing w:after="0" w:line="2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“PSC Register” means the “PSC register” within the meaning of section 790C(10) of the Companies Act 2006.</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24" w:name="page125"/>
    <w:bookmarkEnd w:id="124"/>
    <w:p>
      <w:pPr>
        <w:ind w:right="260" w:firstLine="1238"/>
        <w:spacing w:after="0" w:line="249" w:lineRule="auto"/>
        <w:rPr>
          <w:sz w:val="20"/>
          <w:szCs w:val="20"/>
          <w:color w:val="auto"/>
        </w:rPr>
      </w:pPr>
      <w:r>
        <w:rPr>
          <w:rFonts w:ascii="Times New Roman" w:cs="Times New Roman" w:eastAsia="Times New Roman" w:hAnsi="Times New Roman"/>
          <w:sz w:val="21"/>
          <w:szCs w:val="21"/>
          <w:color w:val="auto"/>
        </w:rPr>
        <w:t>“Public Health Laws” means all Requirements of Law relating to the procurement, development, clinical and non-clinical evaluation, product approval or licensure, manufacture, production, analysis,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or any other FDA Laws, and all applicable regulations promulgated by the NIH and codified at Title 42 of the Code of Federal Regulations.</w:t>
      </w:r>
    </w:p>
    <w:p>
      <w:pPr>
        <w:spacing w:after="0" w:line="180" w:lineRule="exact"/>
        <w:rPr>
          <w:sz w:val="20"/>
          <w:szCs w:val="20"/>
          <w:color w:val="auto"/>
        </w:rPr>
      </w:pPr>
    </w:p>
    <w:p>
      <w:pPr>
        <w:ind w:right="40" w:firstLine="1238"/>
        <w:spacing w:after="0" w:line="253" w:lineRule="auto"/>
        <w:rPr>
          <w:sz w:val="20"/>
          <w:szCs w:val="20"/>
          <w:color w:val="auto"/>
        </w:rPr>
      </w:pPr>
      <w:r>
        <w:rPr>
          <w:rFonts w:ascii="Times New Roman" w:cs="Times New Roman" w:eastAsia="Times New Roman" w:hAnsi="Times New Roman"/>
          <w:sz w:val="21"/>
          <w:szCs w:val="21"/>
          <w:color w:val="auto"/>
        </w:rPr>
        <w:t>“Products” means all products, software, service offerings, technical data or technology currently being designed, manufactured or sold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or such Subsidiary since formation.</w:t>
      </w:r>
    </w:p>
    <w:p>
      <w:pPr>
        <w:spacing w:after="0" w:line="68" w:lineRule="exact"/>
        <w:rPr>
          <w:sz w:val="20"/>
          <w:szCs w:val="20"/>
          <w:color w:val="auto"/>
        </w:rPr>
      </w:pPr>
    </w:p>
    <w:p>
      <w:pPr>
        <w:ind w:right="400" w:firstLine="1238"/>
        <w:spacing w:after="0" w:line="269" w:lineRule="auto"/>
        <w:rPr>
          <w:sz w:val="20"/>
          <w:szCs w:val="20"/>
          <w:color w:val="auto"/>
        </w:rPr>
      </w:pPr>
      <w:r>
        <w:rPr>
          <w:rFonts w:ascii="Times New Roman" w:cs="Times New Roman" w:eastAsia="Times New Roman" w:hAnsi="Times New Roman"/>
          <w:sz w:val="21"/>
          <w:szCs w:val="21"/>
          <w:color w:val="auto"/>
        </w:rPr>
        <w:t>“Qualified Cash” means the amount of Borrower’s cash and cash equivalents held in accounts subject to an Account Control Agreement in favor of Agent.</w:t>
      </w:r>
    </w:p>
    <w:p>
      <w:pPr>
        <w:spacing w:after="0" w:line="168" w:lineRule="exact"/>
        <w:rPr>
          <w:sz w:val="20"/>
          <w:szCs w:val="20"/>
          <w:color w:val="auto"/>
        </w:rPr>
      </w:pPr>
    </w:p>
    <w:p>
      <w:pPr>
        <w:ind w:right="360" w:firstLine="1238"/>
        <w:spacing w:after="0" w:line="252" w:lineRule="auto"/>
        <w:rPr>
          <w:sz w:val="20"/>
          <w:szCs w:val="20"/>
          <w:color w:val="auto"/>
        </w:rPr>
      </w:pPr>
      <w:r>
        <w:rPr>
          <w:rFonts w:ascii="Times New Roman" w:cs="Times New Roman" w:eastAsia="Times New Roman" w:hAnsi="Times New Roman"/>
          <w:sz w:val="21"/>
          <w:szCs w:val="21"/>
          <w:color w:val="auto"/>
        </w:rPr>
        <w:t>“Qualified Cash A/P Amount” means the amount of Borrower’s accounts payable that have not been paid within one hundred twenty (120) days from the due date of the relevant account payable, other than any such accounts payable that are being contested in good faith by appropriate proceedings and for which Borrower and its Subsidiaries maintain adequate reserves in accordance with GAAP.</w:t>
      </w:r>
    </w:p>
    <w:p>
      <w:pPr>
        <w:spacing w:after="0" w:line="172" w:lineRule="exact"/>
        <w:rPr>
          <w:sz w:val="20"/>
          <w:szCs w:val="20"/>
          <w:color w:val="auto"/>
        </w:rPr>
      </w:pPr>
    </w:p>
    <w:p>
      <w:pPr>
        <w:jc w:val="both"/>
        <w:ind w:right="260" w:firstLine="1238"/>
        <w:spacing w:after="0" w:line="262" w:lineRule="auto"/>
        <w:rPr>
          <w:sz w:val="20"/>
          <w:szCs w:val="20"/>
          <w:color w:val="auto"/>
        </w:rPr>
      </w:pPr>
      <w:r>
        <w:rPr>
          <w:rFonts w:ascii="Times New Roman" w:cs="Times New Roman" w:eastAsia="Times New Roman" w:hAnsi="Times New Roman"/>
          <w:sz w:val="21"/>
          <w:szCs w:val="21"/>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63" w:lineRule="exact"/>
        <w:rPr>
          <w:sz w:val="20"/>
          <w:szCs w:val="20"/>
          <w:color w:val="auto"/>
        </w:rPr>
      </w:pPr>
    </w:p>
    <w:p>
      <w:pPr>
        <w:ind w:right="40" w:firstLine="1238"/>
        <w:spacing w:after="0" w:line="251" w:lineRule="auto"/>
        <w:rPr>
          <w:sz w:val="20"/>
          <w:szCs w:val="20"/>
          <w:color w:val="auto"/>
        </w:rPr>
      </w:pPr>
      <w:r>
        <w:rPr>
          <w:rFonts w:ascii="Times New Roman" w:cs="Times New Roman" w:eastAsia="Times New Roman" w:hAnsi="Times New Roman"/>
          <w:sz w:val="21"/>
          <w:szCs w:val="21"/>
          <w:color w:val="auto"/>
        </w:rPr>
        <w:t xml:space="preserve">“Redemption Conditions” 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Unrestricted Cash shall be no less than 150% of the aggregate outstanding amount of the Secured Obligations (inclusive of any Prepayment Charge and End of Term Charge that would be due and owing if the outstanding Term Loan Advances were prepaid at the time of measurement)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Qualified Cash A/P Amount.</w:t>
      </w:r>
    </w:p>
    <w:p>
      <w:pPr>
        <w:spacing w:after="0" w:line="7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“Register” has the meaning specified in Section 11.7.</w:t>
      </w:r>
    </w:p>
    <w:p>
      <w:pPr>
        <w:spacing w:after="0" w:line="210"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“Registrations” means authorizations, approvals, licenses, permits, certificates, registrations, listings,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22</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25" w:name="page126"/>
    <w:bookmarkEnd w:id="125"/>
    <w:p>
      <w:pPr>
        <w:ind w:right="740"/>
        <w:spacing w:after="0" w:line="269" w:lineRule="auto"/>
        <w:rPr>
          <w:sz w:val="20"/>
          <w:szCs w:val="20"/>
          <w:color w:val="auto"/>
        </w:rPr>
      </w:pPr>
      <w:r>
        <w:rPr>
          <w:rFonts w:ascii="Times New Roman" w:cs="Times New Roman" w:eastAsia="Times New Roman" w:hAnsi="Times New Roman"/>
          <w:sz w:val="21"/>
          <w:szCs w:val="21"/>
          <w:color w:val="auto"/>
        </w:rPr>
        <w:t>development, manufacture, commercialization, distribution, marketing, storage, transportation, pricing, governmental authority reimbursement, use and sale of Products.</w:t>
      </w:r>
    </w:p>
    <w:p>
      <w:pPr>
        <w:spacing w:after="0" w:line="155" w:lineRule="exact"/>
        <w:rPr>
          <w:sz w:val="20"/>
          <w:szCs w:val="20"/>
          <w:color w:val="auto"/>
        </w:rPr>
      </w:pPr>
    </w:p>
    <w:p>
      <w:pPr>
        <w:ind w:right="60" w:firstLine="1238"/>
        <w:spacing w:after="0" w:line="256" w:lineRule="auto"/>
        <w:rPr>
          <w:sz w:val="20"/>
          <w:szCs w:val="20"/>
          <w:color w:val="auto"/>
        </w:rPr>
      </w:pPr>
      <w:r>
        <w:rPr>
          <w:rFonts w:ascii="Times New Roman" w:cs="Times New Roman" w:eastAsia="Times New Roman" w:hAnsi="Times New Roman"/>
          <w:sz w:val="21"/>
          <w:szCs w:val="21"/>
          <w:color w:val="auto"/>
        </w:rPr>
        <w:t>“Regulatory Action”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69" w:lineRule="exact"/>
        <w:rPr>
          <w:sz w:val="20"/>
          <w:szCs w:val="20"/>
          <w:color w:val="auto"/>
        </w:rPr>
      </w:pPr>
    </w:p>
    <w:p>
      <w:pPr>
        <w:ind w:right="400" w:firstLine="1238"/>
        <w:spacing w:after="0" w:line="269" w:lineRule="auto"/>
        <w:rPr>
          <w:sz w:val="20"/>
          <w:szCs w:val="20"/>
          <w:color w:val="auto"/>
        </w:rPr>
      </w:pPr>
      <w:r>
        <w:rPr>
          <w:rFonts w:ascii="Times New Roman" w:cs="Times New Roman" w:eastAsia="Times New Roman" w:hAnsi="Times New Roman"/>
          <w:sz w:val="21"/>
          <w:szCs w:val="21"/>
          <w:color w:val="auto"/>
        </w:rPr>
        <w:t>“Replimune UK” means Replimune Limited, a company incorporated in England and Wales with registered number 09496393 whose registered address is 69 Innovation Drive, Milton Park, Oxfordshire, OX14 4RQ, United Kingdom.</w:t>
      </w:r>
    </w:p>
    <w:p>
      <w:pPr>
        <w:spacing w:after="0" w:line="168" w:lineRule="exact"/>
        <w:rPr>
          <w:sz w:val="20"/>
          <w:szCs w:val="20"/>
          <w:color w:val="auto"/>
        </w:rPr>
      </w:pPr>
    </w:p>
    <w:p>
      <w:pPr>
        <w:ind w:right="540" w:firstLine="1238"/>
        <w:spacing w:after="0" w:line="269" w:lineRule="auto"/>
        <w:rPr>
          <w:sz w:val="20"/>
          <w:szCs w:val="20"/>
          <w:color w:val="auto"/>
        </w:rPr>
      </w:pPr>
      <w:r>
        <w:rPr>
          <w:rFonts w:ascii="Times New Roman" w:cs="Times New Roman" w:eastAsia="Times New Roman" w:hAnsi="Times New Roman"/>
          <w:sz w:val="21"/>
          <w:szCs w:val="21"/>
          <w:color w:val="auto"/>
        </w:rPr>
        <w:t>“Required Lenders” means at any time, the holders of more than 50% of the sum of the aggregate unpaid principal amount of the Term Loan then outstanding.</w:t>
      </w:r>
    </w:p>
    <w:p>
      <w:pPr>
        <w:spacing w:after="0" w:line="155" w:lineRule="exact"/>
        <w:rPr>
          <w:sz w:val="20"/>
          <w:szCs w:val="20"/>
          <w:color w:val="auto"/>
        </w:rPr>
      </w:pPr>
    </w:p>
    <w:p>
      <w:pPr>
        <w:ind w:right="340" w:firstLine="1238"/>
        <w:spacing w:after="0" w:line="251" w:lineRule="auto"/>
        <w:rPr>
          <w:sz w:val="20"/>
          <w:szCs w:val="20"/>
          <w:color w:val="auto"/>
        </w:rPr>
      </w:pPr>
      <w:r>
        <w:rPr>
          <w:rFonts w:ascii="Times New Roman" w:cs="Times New Roman" w:eastAsia="Times New Roman" w:hAnsi="Times New Roman"/>
          <w:sz w:val="21"/>
          <w:szCs w:val="21"/>
          <w:color w:val="auto"/>
        </w:rPr>
        <w:t>“Requirements of Law”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“Resolution Authority” means anybody which has authority to exercise any Writedown and Conversion Powers.</w:t>
      </w:r>
    </w:p>
    <w:p>
      <w:pPr>
        <w:spacing w:after="0" w:line="210" w:lineRule="exact"/>
        <w:rPr>
          <w:sz w:val="20"/>
          <w:szCs w:val="20"/>
          <w:color w:val="auto"/>
        </w:rPr>
      </w:pPr>
    </w:p>
    <w:p>
      <w:pPr>
        <w:ind w:firstLine="1238"/>
        <w:spacing w:after="0" w:line="253" w:lineRule="auto"/>
        <w:rPr>
          <w:sz w:val="20"/>
          <w:szCs w:val="20"/>
          <w:color w:val="auto"/>
        </w:rPr>
      </w:pPr>
      <w:r>
        <w:rPr>
          <w:rFonts w:ascii="Times New Roman" w:cs="Times New Roman" w:eastAsia="Times New Roman" w:hAnsi="Times New Roman"/>
          <w:sz w:val="21"/>
          <w:szCs w:val="21"/>
          <w:color w:val="auto"/>
        </w:rPr>
        <w:t>“Restricted License” means any material License or other agreement (other than off-the-shelf software, open source code, and application programming interfaces (APIs) that are commercially available to the public under shrinkwrap licenses, clickwrap licenses or online terms of services agreements) with respect to which Borrower is the licensee (a) that prohibits or otherwise restricts Borrower from granting a security interest in Borrower’s interest in such License or agreement or any other property, or (b) for which a default under or termination of could interfere with Agent’s right to sell any Collateral.</w:t>
      </w:r>
    </w:p>
    <w:p>
      <w:pPr>
        <w:spacing w:after="0" w:line="145" w:lineRule="exact"/>
        <w:rPr>
          <w:sz w:val="20"/>
          <w:szCs w:val="20"/>
          <w:color w:val="auto"/>
        </w:rPr>
      </w:pPr>
    </w:p>
    <w:p>
      <w:pPr>
        <w:jc w:val="both"/>
        <w:ind w:firstLine="1238"/>
        <w:spacing w:after="0" w:line="220" w:lineRule="auto"/>
        <w:rPr>
          <w:sz w:val="20"/>
          <w:szCs w:val="20"/>
          <w:color w:val="auto"/>
        </w:rPr>
      </w:pPr>
      <w:r>
        <w:rPr>
          <w:rFonts w:ascii="Times New Roman" w:cs="Times New Roman" w:eastAsia="Times New Roman" w:hAnsi="Times New Roman"/>
          <w:sz w:val="21"/>
          <w:szCs w:val="21"/>
          <w:color w:val="auto"/>
        </w:rPr>
        <w:t>“Revenue Milestone” means the satisfaction of each of the following events: (a) no Default or Event of Default shall have occurred and be continuing and (b) Borrower shall have delivered evidence satisfactory to Agent (as determined by Agent in its sole discretion) that after the Closing Date and prior to September 30, 2027, Borrower has achieved at least Ninety-Five Million Dollars ($95,000,000) in T6M Net Product Revenue.</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“Sanctioned Country” shall mean, at any time, a country or territory which is the subject or target of any Sanctions.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26" w:name="page127"/>
    <w:bookmarkEnd w:id="126"/>
    <w:p>
      <w:pPr>
        <w:ind w:right="160" w:firstLine="1238"/>
        <w:spacing w:after="0" w:line="256" w:lineRule="auto"/>
        <w:rPr>
          <w:sz w:val="20"/>
          <w:szCs w:val="20"/>
          <w:color w:val="auto"/>
        </w:rPr>
      </w:pPr>
      <w:r>
        <w:rPr>
          <w:rFonts w:ascii="Times New Roman" w:cs="Times New Roman" w:eastAsia="Times New Roman" w:hAnsi="Times New Roman"/>
          <w:sz w:val="21"/>
          <w:szCs w:val="21"/>
          <w:color w:val="auto"/>
        </w:rPr>
        <w:t>“Sanctioned Person” shall mean,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69" w:lineRule="exact"/>
        <w:rPr>
          <w:sz w:val="20"/>
          <w:szCs w:val="20"/>
          <w:color w:val="auto"/>
        </w:rPr>
      </w:pPr>
    </w:p>
    <w:p>
      <w:pPr>
        <w:ind w:right="100" w:firstLine="1238"/>
        <w:spacing w:after="0" w:line="252" w:lineRule="auto"/>
        <w:rPr>
          <w:sz w:val="20"/>
          <w:szCs w:val="20"/>
          <w:color w:val="auto"/>
        </w:rPr>
      </w:pPr>
      <w:r>
        <w:rPr>
          <w:rFonts w:ascii="Times New Roman" w:cs="Times New Roman" w:eastAsia="Times New Roman" w:hAnsi="Times New Roman"/>
          <w:sz w:val="21"/>
          <w:szCs w:val="21"/>
          <w:color w:val="auto"/>
        </w:rPr>
        <w:t>“Sanctions”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“Second Amendment Closing Date” means December 22, 2023.</w:t>
      </w:r>
    </w:p>
    <w:p>
      <w:pPr>
        <w:spacing w:after="0" w:line="210" w:lineRule="exact"/>
        <w:rPr>
          <w:sz w:val="20"/>
          <w:szCs w:val="20"/>
          <w:color w:val="auto"/>
        </w:rPr>
      </w:pPr>
    </w:p>
    <w:p>
      <w:pPr>
        <w:ind w:right="380" w:firstLine="1238"/>
        <w:spacing w:after="0" w:line="269" w:lineRule="auto"/>
        <w:rPr>
          <w:sz w:val="20"/>
          <w:szCs w:val="20"/>
          <w:color w:val="auto"/>
        </w:rPr>
      </w:pPr>
      <w:r>
        <w:rPr>
          <w:rFonts w:ascii="Times New Roman" w:cs="Times New Roman" w:eastAsia="Times New Roman" w:hAnsi="Times New Roman"/>
          <w:sz w:val="21"/>
          <w:szCs w:val="21"/>
          <w:color w:val="auto"/>
        </w:rPr>
        <w:t>“Secured Obligations” means Borrower’s obligations under this Agreement and any Loan Document, including any obligation to pay any amount now owing or later arising hereunder or thereunder.</w:t>
      </w:r>
    </w:p>
    <w:p>
      <w:pPr>
        <w:spacing w:after="0" w:line="155" w:lineRule="exact"/>
        <w:rPr>
          <w:sz w:val="20"/>
          <w:szCs w:val="20"/>
          <w:color w:val="auto"/>
        </w:rPr>
      </w:pPr>
    </w:p>
    <w:p>
      <w:pPr>
        <w:ind w:right="20" w:firstLine="1238"/>
        <w:spacing w:after="0" w:line="256" w:lineRule="auto"/>
        <w:rPr>
          <w:sz w:val="20"/>
          <w:szCs w:val="20"/>
          <w:color w:val="auto"/>
        </w:rPr>
      </w:pPr>
      <w:r>
        <w:rPr>
          <w:rFonts w:ascii="Times New Roman" w:cs="Times New Roman" w:eastAsia="Times New Roman" w:hAnsi="Times New Roman"/>
          <w:sz w:val="21"/>
          <w:szCs w:val="21"/>
          <w:color w:val="auto"/>
        </w:rPr>
        <w:t>“Subordinated Indebtedness” means Indebtedness subordinated to the Secured Obligations in amounts and on terms and conditions reasonably satisfactory to Agent and subject to a subordination agreement in form and substance reasonably satisfactory to Agent.</w:t>
      </w:r>
    </w:p>
    <w:p>
      <w:pPr>
        <w:spacing w:after="0" w:line="181" w:lineRule="exact"/>
        <w:rPr>
          <w:sz w:val="20"/>
          <w:szCs w:val="20"/>
          <w:color w:val="auto"/>
        </w:rPr>
      </w:pPr>
    </w:p>
    <w:p>
      <w:pPr>
        <w:jc w:val="both"/>
        <w:ind w:right="260" w:firstLine="1238"/>
        <w:spacing w:after="0" w:line="256" w:lineRule="auto"/>
        <w:rPr>
          <w:sz w:val="20"/>
          <w:szCs w:val="20"/>
          <w:color w:val="auto"/>
        </w:rPr>
      </w:pPr>
      <w:r>
        <w:rPr>
          <w:rFonts w:ascii="Times New Roman" w:cs="Times New Roman" w:eastAsia="Times New Roman" w:hAnsi="Times New Roman"/>
          <w:sz w:val="21"/>
          <w:szCs w:val="21"/>
          <w:color w:val="auto"/>
        </w:rPr>
        <w:t>“Subsequent Financing” means the closing of any publicly-marketed equity issuance by Parent effected pursuant to a Registration Statement filed by Parent with the Securities and Exchange Commission and which becomes effective after the Closing Date.</w:t>
      </w:r>
    </w:p>
    <w:p>
      <w:pPr>
        <w:spacing w:after="0" w:line="168" w:lineRule="exact"/>
        <w:rPr>
          <w:sz w:val="20"/>
          <w:szCs w:val="20"/>
          <w:color w:val="auto"/>
        </w:rPr>
      </w:pPr>
    </w:p>
    <w:p>
      <w:pPr>
        <w:ind w:right="160" w:firstLine="1238"/>
        <w:spacing w:after="0" w:line="295" w:lineRule="auto"/>
        <w:rPr>
          <w:sz w:val="20"/>
          <w:szCs w:val="20"/>
          <w:color w:val="auto"/>
        </w:rPr>
      </w:pPr>
      <w:r>
        <w:rPr>
          <w:rFonts w:ascii="Times New Roman" w:cs="Times New Roman" w:eastAsia="Times New Roman" w:hAnsi="Times New Roman"/>
          <w:sz w:val="20"/>
          <w:szCs w:val="20"/>
          <w:color w:val="auto"/>
        </w:rPr>
        <w:t>“Subsidiary” means an entity, whether corporate, partnership, limited liability company, joint venture or otherwise, in which Borrower owns or controls 50% or more of the outstanding voting securities, including each entity listed on Schedule 1 hereto.</w:t>
      </w:r>
    </w:p>
    <w:p>
      <w:pPr>
        <w:spacing w:after="0" w:line="144"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“T3M Net Product Revenue” means Net Product Revenue, measured on a trailing three-month basis as of the date of the most recently delivered monthly financial statements in accordance with Section 7.1(a).</w:t>
      </w:r>
    </w:p>
    <w:p>
      <w:pPr>
        <w:spacing w:after="0" w:line="52" w:lineRule="exact"/>
        <w:rPr>
          <w:sz w:val="20"/>
          <w:szCs w:val="20"/>
          <w:color w:val="auto"/>
        </w:rPr>
      </w:pPr>
    </w:p>
    <w:p>
      <w:pPr>
        <w:ind w:right="160" w:firstLine="1238"/>
        <w:spacing w:after="0" w:line="269" w:lineRule="auto"/>
        <w:rPr>
          <w:sz w:val="20"/>
          <w:szCs w:val="20"/>
          <w:color w:val="auto"/>
        </w:rPr>
      </w:pPr>
      <w:r>
        <w:rPr>
          <w:rFonts w:ascii="Times New Roman" w:cs="Times New Roman" w:eastAsia="Times New Roman" w:hAnsi="Times New Roman"/>
          <w:sz w:val="21"/>
          <w:szCs w:val="21"/>
          <w:color w:val="auto"/>
        </w:rPr>
        <w:t>“T6M Net Product Revenue” means Net Product Revenue, measured on a trailing six-month basis as of the date of the most recently delivered monthly financial statements in accordance with Section 7.1(a).</w:t>
      </w:r>
    </w:p>
    <w:p>
      <w:pPr>
        <w:spacing w:after="0" w:line="52" w:lineRule="exact"/>
        <w:rPr>
          <w:sz w:val="20"/>
          <w:szCs w:val="20"/>
          <w:color w:val="auto"/>
        </w:rPr>
      </w:pPr>
    </w:p>
    <w:p>
      <w:pPr>
        <w:ind w:right="380" w:firstLine="1238"/>
        <w:spacing w:after="0" w:line="262" w:lineRule="auto"/>
        <w:rPr>
          <w:sz w:val="20"/>
          <w:szCs w:val="20"/>
          <w:color w:val="auto"/>
        </w:rPr>
      </w:pPr>
      <w:r>
        <w:rPr>
          <w:rFonts w:ascii="Times New Roman" w:cs="Times New Roman" w:eastAsia="Times New Roman" w:hAnsi="Times New Roman"/>
          <w:sz w:val="21"/>
          <w:szCs w:val="21"/>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3" w:lineRule="exact"/>
        <w:rPr>
          <w:sz w:val="20"/>
          <w:szCs w:val="20"/>
          <w:color w:val="auto"/>
        </w:rPr>
      </w:pPr>
    </w:p>
    <w:p>
      <w:pPr>
        <w:ind w:right="240" w:firstLine="1238"/>
        <w:spacing w:after="0" w:line="256" w:lineRule="auto"/>
        <w:rPr>
          <w:sz w:val="20"/>
          <w:szCs w:val="20"/>
          <w:color w:val="auto"/>
        </w:rPr>
      </w:pPr>
      <w:r>
        <w:rPr>
          <w:rFonts w:ascii="Times New Roman" w:cs="Times New Roman" w:eastAsia="Times New Roman" w:hAnsi="Times New Roman"/>
          <w:sz w:val="21"/>
          <w:szCs w:val="21"/>
          <w:color w:val="auto"/>
        </w:rPr>
        <w:t>“Term Commitment” means as to any Lender, the obligation of such Lender, if any, to make a Term Loan Advance to Borrower in a principal amount not to exceed the amount set forth under the heading “Term Commitment” opposite such Lender’s name on Schedule 1.1.</w:t>
      </w: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24</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80"/>
          </w:cols>
          <w:pgMar w:left="320" w:top="1365" w:right="399" w:bottom="1440" w:gutter="0" w:footer="0" w:header="0"/>
        </w:sectPr>
      </w:pPr>
    </w:p>
    <w:bookmarkStart w:id="127" w:name="page128"/>
    <w:bookmarkEnd w:id="127"/>
    <w:p>
      <w:pPr>
        <w:ind w:right="200" w:firstLine="1238"/>
        <w:spacing w:after="0" w:line="269" w:lineRule="auto"/>
        <w:rPr>
          <w:sz w:val="20"/>
          <w:szCs w:val="20"/>
          <w:color w:val="auto"/>
        </w:rPr>
      </w:pPr>
      <w:r>
        <w:rPr>
          <w:rFonts w:ascii="Times New Roman" w:cs="Times New Roman" w:eastAsia="Times New Roman" w:hAnsi="Times New Roman"/>
          <w:sz w:val="21"/>
          <w:szCs w:val="21"/>
          <w:color w:val="auto"/>
        </w:rPr>
        <w:t>“Term Loan Advance” means each Tranche 1 Advance, Tranche 2 Advance, Tranche 3 Advance, Tranche 4 Advance, Tranche 5 Advance, Tranche 6 Advance and any other Term Loan funds advanced under this Agreement.</w:t>
      </w:r>
    </w:p>
    <w:p>
      <w:pPr>
        <w:spacing w:after="0" w:line="155" w:lineRule="exact"/>
        <w:rPr>
          <w:sz w:val="20"/>
          <w:szCs w:val="20"/>
          <w:color w:val="auto"/>
        </w:rPr>
      </w:pPr>
    </w:p>
    <w:p>
      <w:pPr>
        <w:ind w:right="160" w:firstLine="1238"/>
        <w:spacing w:after="0" w:line="282" w:lineRule="auto"/>
        <w:rPr>
          <w:sz w:val="20"/>
          <w:szCs w:val="20"/>
          <w:color w:val="auto"/>
        </w:rPr>
      </w:pPr>
      <w:r>
        <w:rPr>
          <w:rFonts w:ascii="Times New Roman" w:cs="Times New Roman" w:eastAsia="Times New Roman" w:hAnsi="Times New Roman"/>
          <w:sz w:val="21"/>
          <w:szCs w:val="21"/>
          <w:color w:val="auto"/>
        </w:rPr>
        <w:t>“Term Loan Cash Interest Rate” means for any day a per annum rate of interest equal to the greater of either (i) 8.50% and (ii) the Prime Rate plus 1.75%.</w:t>
      </w:r>
    </w:p>
    <w:p>
      <w:pPr>
        <w:spacing w:after="0" w:line="1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“Term Loan PIK Interest Rate” means 1.50%.</w:t>
      </w:r>
    </w:p>
    <w:p>
      <w:pPr>
        <w:spacing w:after="0" w:line="107" w:lineRule="exact"/>
        <w:rPr>
          <w:sz w:val="20"/>
          <w:szCs w:val="20"/>
          <w:color w:val="auto"/>
        </w:rPr>
      </w:pPr>
    </w:p>
    <w:p>
      <w:pPr>
        <w:ind w:right="20" w:firstLine="1238"/>
        <w:spacing w:after="0" w:line="269" w:lineRule="auto"/>
        <w:rPr>
          <w:sz w:val="20"/>
          <w:szCs w:val="20"/>
          <w:color w:val="auto"/>
        </w:rPr>
      </w:pPr>
      <w:r>
        <w:rPr>
          <w:rFonts w:ascii="Times New Roman" w:cs="Times New Roman" w:eastAsia="Times New Roman" w:hAnsi="Times New Roman"/>
          <w:sz w:val="21"/>
          <w:szCs w:val="21"/>
          <w:color w:val="auto"/>
        </w:rPr>
        <w:t>“Term Loan Maturity Date” means October 1, 2027; provided however, that if the Approval Milestone is achieved prior to October 1, 2027, such date shall be extended to October 1, 2029.</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“Third Amendment” means the Third Amendment to Loan and Security Agreement dated as of the Third Amendment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Closing Date.</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“Third Amendment Closing Date” means January 29, 2026.</w:t>
      </w:r>
    </w:p>
    <w:p>
      <w:pPr>
        <w:spacing w:after="0" w:line="210" w:lineRule="exact"/>
        <w:rPr>
          <w:sz w:val="20"/>
          <w:szCs w:val="20"/>
          <w:color w:val="auto"/>
        </w:rPr>
      </w:pPr>
    </w:p>
    <w:p>
      <w:pPr>
        <w:ind w:right="80" w:firstLine="1238"/>
        <w:spacing w:after="0" w:line="269" w:lineRule="auto"/>
        <w:rPr>
          <w:sz w:val="20"/>
          <w:szCs w:val="20"/>
          <w:color w:val="auto"/>
        </w:rPr>
      </w:pPr>
      <w:r>
        <w:rPr>
          <w:rFonts w:ascii="Times New Roman" w:cs="Times New Roman" w:eastAsia="Times New Roman" w:hAnsi="Times New Roman"/>
          <w:sz w:val="21"/>
          <w:szCs w:val="21"/>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55" w:lineRule="exact"/>
        <w:rPr>
          <w:sz w:val="20"/>
          <w:szCs w:val="20"/>
          <w:color w:val="auto"/>
        </w:rPr>
      </w:pPr>
    </w:p>
    <w:p>
      <w:pPr>
        <w:ind w:firstLine="1238"/>
        <w:spacing w:after="0" w:line="256" w:lineRule="auto"/>
        <w:rPr>
          <w:sz w:val="20"/>
          <w:szCs w:val="20"/>
          <w:color w:val="auto"/>
        </w:rPr>
      </w:pPr>
      <w:r>
        <w:rPr>
          <w:rFonts w:ascii="Times New Roman" w:cs="Times New Roman" w:eastAsia="Times New Roman" w:hAnsi="Times New Roman"/>
          <w:sz w:val="21"/>
          <w:szCs w:val="21"/>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the United Kingdom, any State thereof or any other country or any political subdivision thereof.</w:t>
      </w:r>
    </w:p>
    <w:p>
      <w:pPr>
        <w:spacing w:after="0" w:line="16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“Tranche 1” means the Advances pursuant to Section 2.2(a).</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“Tranche 2” means the Advances pursuant to Section 2.2(b).</w:t>
      </w:r>
    </w:p>
    <w:p>
      <w:pPr>
        <w:spacing w:after="0" w:line="1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“Tranche 3” means the Advance pursuant to Section 2.2(c).</w:t>
      </w:r>
    </w:p>
    <w:p>
      <w:pPr>
        <w:spacing w:after="0" w:line="119" w:lineRule="exact"/>
        <w:rPr>
          <w:sz w:val="20"/>
          <w:szCs w:val="20"/>
          <w:color w:val="auto"/>
        </w:rPr>
      </w:pPr>
    </w:p>
    <w:p>
      <w:pPr>
        <w:ind w:right="200" w:firstLine="1238"/>
        <w:spacing w:after="0" w:line="269" w:lineRule="auto"/>
        <w:rPr>
          <w:sz w:val="20"/>
          <w:szCs w:val="20"/>
          <w:color w:val="auto"/>
        </w:rPr>
      </w:pPr>
      <w:r>
        <w:rPr>
          <w:rFonts w:ascii="Times New Roman" w:cs="Times New Roman" w:eastAsia="Times New Roman" w:hAnsi="Times New Roman"/>
          <w:sz w:val="21"/>
          <w:szCs w:val="21"/>
          <w:color w:val="auto"/>
        </w:rPr>
        <w:t>“Tranche 3 Facility Charge” means One Hundred Seventy-Five Thousand Dollars ($175,000), which is payable to the Lenders in accordance with Section 4.2(d).</w:t>
      </w:r>
    </w:p>
    <w:p>
      <w:pPr>
        <w:spacing w:after="0" w:line="52" w:lineRule="exact"/>
        <w:rPr>
          <w:sz w:val="20"/>
          <w:szCs w:val="20"/>
          <w:color w:val="auto"/>
        </w:rPr>
      </w:pPr>
    </w:p>
    <w:p>
      <w:pPr>
        <w:ind w:right="180" w:firstLine="1238"/>
        <w:spacing w:after="0" w:line="264" w:lineRule="auto"/>
        <w:rPr>
          <w:sz w:val="20"/>
          <w:szCs w:val="20"/>
          <w:color w:val="auto"/>
        </w:rPr>
      </w:pPr>
      <w:r>
        <w:rPr>
          <w:rFonts w:ascii="Times New Roman" w:cs="Times New Roman" w:eastAsia="Times New Roman" w:hAnsi="Times New Roman"/>
          <w:sz w:val="20"/>
          <w:szCs w:val="20"/>
          <w:color w:val="auto"/>
        </w:rPr>
        <w:t>“Tranche 3 Milestone” means the satisfaction of each of the following events: (a) no Default or Event of Default shall have occurred and be continuing and (b) Borrower shall have delivered evidence satisfactory to Agent (as determined by Agent in its sole discretion) that Borrower has received after January 2, 2026 and prior to the Third Amendment Closing Date, unrestricted and unencumbered net cash proceeds of at least Twenty Million Dollars ($20,000,000) from any of (a) the issuance of Borrower’s equity,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 Permitted Convertible Debt or (c) Subordinated Indebtedness.</w:t>
      </w:r>
    </w:p>
    <w:p>
      <w:pPr>
        <w:spacing w:after="0" w:line="18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“Tranche 4” means the Advances pursuant to Section 2.2(d).</w:t>
      </w:r>
    </w:p>
    <w:p>
      <w:pPr>
        <w:spacing w:after="0" w:line="107" w:lineRule="exact"/>
        <w:rPr>
          <w:sz w:val="20"/>
          <w:szCs w:val="20"/>
          <w:color w:val="auto"/>
        </w:rPr>
      </w:pPr>
    </w:p>
    <w:p>
      <w:pPr>
        <w:ind w:right="60" w:firstLine="1238"/>
        <w:spacing w:after="0" w:line="269" w:lineRule="auto"/>
        <w:rPr>
          <w:sz w:val="20"/>
          <w:szCs w:val="20"/>
          <w:color w:val="auto"/>
        </w:rPr>
      </w:pPr>
      <w:r>
        <w:rPr>
          <w:rFonts w:ascii="Times New Roman" w:cs="Times New Roman" w:eastAsia="Times New Roman" w:hAnsi="Times New Roman"/>
          <w:sz w:val="21"/>
          <w:szCs w:val="21"/>
          <w:color w:val="auto"/>
        </w:rPr>
        <w:t>“Tranche 4 Facility Charge” means zero point five percent (0.50%) of each Tranche 4 Advance, which is payable to the Lenders in accordance with Section 4.2(e).</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25</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60"/>
          </w:cols>
          <w:pgMar w:left="320" w:top="1365" w:right="419" w:bottom="1440" w:gutter="0" w:footer="0" w:header="0"/>
        </w:sectPr>
      </w:pPr>
    </w:p>
    <w:bookmarkStart w:id="128" w:name="page129"/>
    <w:bookmarkEnd w:id="128"/>
    <w:p>
      <w:pPr>
        <w:ind w:left="1240"/>
        <w:spacing w:after="0"/>
        <w:rPr>
          <w:sz w:val="20"/>
          <w:szCs w:val="20"/>
          <w:color w:val="auto"/>
        </w:rPr>
      </w:pPr>
      <w:r>
        <w:rPr>
          <w:rFonts w:ascii="Times New Roman" w:cs="Times New Roman" w:eastAsia="Times New Roman" w:hAnsi="Times New Roman"/>
          <w:sz w:val="21"/>
          <w:szCs w:val="21"/>
          <w:color w:val="auto"/>
        </w:rPr>
        <w:t>“Tranche 5” means the Advances pursuant to Section 2.2(e).</w:t>
      </w:r>
    </w:p>
    <w:p>
      <w:pPr>
        <w:spacing w:after="0" w:line="107" w:lineRule="exact"/>
        <w:rPr>
          <w:sz w:val="20"/>
          <w:szCs w:val="20"/>
          <w:color w:val="auto"/>
        </w:rPr>
      </w:pPr>
    </w:p>
    <w:p>
      <w:pPr>
        <w:ind w:right="100" w:firstLine="1238"/>
        <w:spacing w:after="0" w:line="269" w:lineRule="auto"/>
        <w:rPr>
          <w:sz w:val="20"/>
          <w:szCs w:val="20"/>
          <w:color w:val="auto"/>
        </w:rPr>
      </w:pPr>
      <w:r>
        <w:rPr>
          <w:rFonts w:ascii="Times New Roman" w:cs="Times New Roman" w:eastAsia="Times New Roman" w:hAnsi="Times New Roman"/>
          <w:sz w:val="21"/>
          <w:szCs w:val="21"/>
          <w:color w:val="auto"/>
        </w:rPr>
        <w:t>“Tranche 5 Facility Charge” means zero point five percent (0.50%) of each Tranche 5 Advance, which is payable to the Lenders in accordance with Section 4.2(f).</w:t>
      </w:r>
    </w:p>
    <w:p>
      <w:pPr>
        <w:spacing w:after="0" w:line="6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“Tranche 6” means the Advances pursuant to Section 2.2(f).</w:t>
      </w:r>
    </w:p>
    <w:p>
      <w:pPr>
        <w:spacing w:after="0" w:line="107" w:lineRule="exact"/>
        <w:rPr>
          <w:sz w:val="20"/>
          <w:szCs w:val="20"/>
          <w:color w:val="auto"/>
        </w:rPr>
      </w:pPr>
    </w:p>
    <w:p>
      <w:pPr>
        <w:ind w:right="100" w:firstLine="1238"/>
        <w:spacing w:after="0" w:line="269" w:lineRule="auto"/>
        <w:rPr>
          <w:sz w:val="20"/>
          <w:szCs w:val="20"/>
          <w:color w:val="auto"/>
        </w:rPr>
      </w:pPr>
      <w:r>
        <w:rPr>
          <w:rFonts w:ascii="Times New Roman" w:cs="Times New Roman" w:eastAsia="Times New Roman" w:hAnsi="Times New Roman"/>
          <w:sz w:val="21"/>
          <w:szCs w:val="21"/>
          <w:color w:val="auto"/>
        </w:rPr>
        <w:t>“Tranche 6 Facility Charge” means zero point five percent (0.50%) of each Tranche 6 Advance, which is payable to the Lenders in accordance with Section 4.2(g).</w:t>
      </w:r>
    </w:p>
    <w:p>
      <w:pPr>
        <w:spacing w:after="0" w:line="52" w:lineRule="exact"/>
        <w:rPr>
          <w:sz w:val="20"/>
          <w:szCs w:val="20"/>
          <w:color w:val="auto"/>
        </w:rPr>
      </w:pPr>
    </w:p>
    <w:p>
      <w:pPr>
        <w:ind w:right="60" w:firstLine="1238"/>
        <w:spacing w:after="0" w:line="251" w:lineRule="auto"/>
        <w:rPr>
          <w:sz w:val="20"/>
          <w:szCs w:val="20"/>
          <w:color w:val="auto"/>
        </w:rPr>
      </w:pPr>
      <w:r>
        <w:rPr>
          <w:rFonts w:ascii="Times New Roman" w:cs="Times New Roman" w:eastAsia="Times New Roman" w:hAnsi="Times New Roman"/>
          <w:sz w:val="21"/>
          <w:szCs w:val="21"/>
          <w:color w:val="auto"/>
        </w:rPr>
        <w:t>“UCC” means the Uniform Commercial Code as the same is, from time to time, in effect in the State of New York;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New York,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74" w:lineRule="exact"/>
        <w:rPr>
          <w:sz w:val="20"/>
          <w:szCs w:val="20"/>
          <w:color w:val="auto"/>
        </w:rPr>
      </w:pPr>
    </w:p>
    <w:p>
      <w:pPr>
        <w:ind w:right="780" w:firstLine="1238"/>
        <w:spacing w:after="0" w:line="269" w:lineRule="auto"/>
        <w:rPr>
          <w:sz w:val="20"/>
          <w:szCs w:val="20"/>
          <w:color w:val="auto"/>
        </w:rPr>
      </w:pPr>
      <w:r>
        <w:rPr>
          <w:rFonts w:ascii="Times New Roman" w:cs="Times New Roman" w:eastAsia="Times New Roman" w:hAnsi="Times New Roman"/>
          <w:sz w:val="21"/>
          <w:szCs w:val="21"/>
          <w:color w:val="auto"/>
        </w:rPr>
        <w:t>“Unrestricted Cash” means unrestricted Cash of Borrower maintained in Deposit Accounts or other accounts in Borrower’s name subject to an Account Control Agreement in favor of Agent.</w:t>
      </w:r>
    </w:p>
    <w:p>
      <w:pPr>
        <w:spacing w:after="0" w:line="16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“UK” means the United Kingdom.</w:t>
      </w:r>
    </w:p>
    <w:p>
      <w:pPr>
        <w:spacing w:after="0" w:line="210" w:lineRule="exact"/>
        <w:rPr>
          <w:sz w:val="20"/>
          <w:szCs w:val="20"/>
          <w:color w:val="auto"/>
        </w:rPr>
      </w:pPr>
    </w:p>
    <w:p>
      <w:pPr>
        <w:ind w:right="60" w:firstLine="1238"/>
        <w:spacing w:after="0" w:line="252" w:lineRule="auto"/>
        <w:rPr>
          <w:sz w:val="20"/>
          <w:szCs w:val="20"/>
          <w:color w:val="auto"/>
        </w:rPr>
      </w:pPr>
      <w:r>
        <w:rPr>
          <w:rFonts w:ascii="Times New Roman" w:cs="Times New Roman" w:eastAsia="Times New Roman" w:hAnsi="Times New Roman"/>
          <w:sz w:val="21"/>
          <w:szCs w:val="21"/>
          <w:color w:val="auto"/>
        </w:rPr>
        <w:t>“UK Bail-In Legislation” means (to the extent that the United Kingdom is not an EEA Member Country which has implemented, or 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5" w:lineRule="exact"/>
        <w:rPr>
          <w:sz w:val="20"/>
          <w:szCs w:val="20"/>
          <w:color w:val="auto"/>
        </w:rPr>
      </w:pPr>
    </w:p>
    <w:p>
      <w:pPr>
        <w:ind w:firstLine="1238"/>
        <w:spacing w:after="0" w:line="269" w:lineRule="auto"/>
        <w:rPr>
          <w:sz w:val="20"/>
          <w:szCs w:val="20"/>
          <w:color w:val="auto"/>
        </w:rPr>
      </w:pPr>
      <w:r>
        <w:rPr>
          <w:rFonts w:ascii="Times New Roman" w:cs="Times New Roman" w:eastAsia="Times New Roman" w:hAnsi="Times New Roman"/>
          <w:sz w:val="21"/>
          <w:szCs w:val="21"/>
          <w:color w:val="auto"/>
        </w:rPr>
        <w:t>“UK PSC Loan Party” means a company incorporated in England and Wales who is required to maintain a PSC Register and whose shares are pledged as Collateral.</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“UK Withholding Tax” means any Taxes imposed by way of deduction or withholding by the UK.</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“U.S. Person” means any Person that is a “United States person” as defined in Section 7701(a)(30) of the Code.</w:t>
      </w:r>
    </w:p>
    <w:p>
      <w:pPr>
        <w:spacing w:after="0" w:line="2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“Write-down and Conversion Powers” means:</w:t>
      </w:r>
    </w:p>
    <w:p>
      <w:pPr>
        <w:spacing w:after="0" w:line="223" w:lineRule="exact"/>
        <w:rPr>
          <w:sz w:val="20"/>
          <w:szCs w:val="20"/>
          <w:color w:val="auto"/>
        </w:rPr>
      </w:pPr>
    </w:p>
    <w:p>
      <w:pPr>
        <w:ind w:left="620" w:right="220" w:firstLine="1240"/>
        <w:spacing w:after="0" w:line="269" w:lineRule="auto"/>
        <w:tabs>
          <w:tab w:leader="none" w:pos="229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any Bail-In Legislation described in the EU Bail-In Legislation Schedule from time to time, the powers described as such in relation to that Bail-In Legislation in the EU Bail-In Legislation Schedule;</w:t>
      </w:r>
    </w:p>
    <w:p>
      <w:pPr>
        <w:spacing w:after="0" w:line="154" w:lineRule="exact"/>
        <w:rPr>
          <w:rFonts w:ascii="Times New Roman" w:cs="Times New Roman" w:eastAsia="Times New Roman" w:hAnsi="Times New Roman"/>
          <w:sz w:val="21"/>
          <w:szCs w:val="21"/>
          <w:color w:val="auto"/>
        </w:rPr>
      </w:pPr>
    </w:p>
    <w:p>
      <w:pPr>
        <w:ind w:left="2300" w:hanging="440"/>
        <w:spacing w:after="0"/>
        <w:tabs>
          <w:tab w:leader="none" w:pos="230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any other applicable Bail-In Legislation: 14</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26</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365" w:right="379" w:bottom="1440" w:gutter="0" w:footer="0" w:header="0"/>
        </w:sectPr>
      </w:pPr>
    </w:p>
    <w:bookmarkStart w:id="129" w:name="page130"/>
    <w:bookmarkEnd w:id="129"/>
    <w:p>
      <w:pPr>
        <w:ind w:left="620" w:firstLine="1238"/>
        <w:spacing w:after="0" w:line="249" w:lineRule="auto"/>
        <w:tabs>
          <w:tab w:leader="none" w:pos="2259"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0" w:lineRule="exact"/>
        <w:rPr>
          <w:rFonts w:ascii="Times New Roman" w:cs="Times New Roman" w:eastAsia="Times New Roman" w:hAnsi="Times New Roman"/>
          <w:sz w:val="21"/>
          <w:szCs w:val="21"/>
          <w:color w:val="auto"/>
        </w:rPr>
      </w:pPr>
    </w:p>
    <w:p>
      <w:pPr>
        <w:ind w:left="2320" w:hanging="462"/>
        <w:spacing w:after="0"/>
        <w:tabs>
          <w:tab w:leader="none" w:pos="232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similar or analogous powers under that Bail-In Legislation; and</w:t>
      </w:r>
    </w:p>
    <w:p>
      <w:pPr>
        <w:spacing w:after="0" w:line="222" w:lineRule="exact"/>
        <w:rPr>
          <w:rFonts w:ascii="Times New Roman" w:cs="Times New Roman" w:eastAsia="Times New Roman" w:hAnsi="Times New Roman"/>
          <w:sz w:val="21"/>
          <w:szCs w:val="21"/>
          <w:color w:val="auto"/>
        </w:rPr>
      </w:pPr>
    </w:p>
    <w:p>
      <w:pPr>
        <w:ind w:left="1680" w:hanging="440"/>
        <w:spacing w:after="0"/>
        <w:tabs>
          <w:tab w:leader="none" w:pos="168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relation to any UK Bail-In Legislation:</w:t>
      </w:r>
    </w:p>
    <w:p>
      <w:pPr>
        <w:spacing w:after="0" w:line="209" w:lineRule="exact"/>
        <w:rPr>
          <w:rFonts w:ascii="Times New Roman" w:cs="Times New Roman" w:eastAsia="Times New Roman" w:hAnsi="Times New Roman"/>
          <w:sz w:val="21"/>
          <w:szCs w:val="21"/>
          <w:color w:val="auto"/>
        </w:rPr>
      </w:pPr>
    </w:p>
    <w:p>
      <w:pPr>
        <w:ind w:left="620" w:firstLine="1238"/>
        <w:spacing w:after="0" w:line="249" w:lineRule="auto"/>
        <w:tabs>
          <w:tab w:leader="none" w:pos="2259"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80" w:lineRule="exact"/>
        <w:rPr>
          <w:rFonts w:ascii="Times New Roman" w:cs="Times New Roman" w:eastAsia="Times New Roman" w:hAnsi="Times New Roman"/>
          <w:sz w:val="21"/>
          <w:szCs w:val="21"/>
          <w:color w:val="auto"/>
        </w:rPr>
      </w:pPr>
    </w:p>
    <w:p>
      <w:pPr>
        <w:ind w:left="2320" w:hanging="462"/>
        <w:spacing w:after="0"/>
        <w:tabs>
          <w:tab w:leader="none" w:pos="232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similar or analogous powers under that UK Bail-In Legislation.</w:t>
      </w:r>
    </w:p>
    <w:p>
      <w:pPr>
        <w:spacing w:after="0" w:line="1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0"/>
          <w:szCs w:val="20"/>
          <w:color w:val="auto"/>
        </w:rPr>
        <w:t>The following terms are defined in the Sections or subsections referenced opposite such terms:</w:t>
      </w:r>
    </w:p>
    <w:p>
      <w:pPr>
        <w:spacing w:after="0" w:line="223" w:lineRule="exact"/>
        <w:rPr>
          <w:sz w:val="20"/>
          <w:szCs w:val="20"/>
          <w:color w:val="auto"/>
        </w:rPr>
      </w:pPr>
    </w:p>
    <w:tbl>
      <w:tblPr>
        <w:tblLayout w:type="fixed"/>
        <w:tblInd w:w="640" w:type="dxa"/>
        <w:tblCellMar>
          <w:top w:w="0" w:type="dxa"/>
          <w:left w:w="0" w:type="dxa"/>
          <w:bottom w:w="0" w:type="dxa"/>
          <w:right w:w="0" w:type="dxa"/>
        </w:tblCellMar>
      </w:tblP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Defined Term</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Section</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Agent</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w w:val="95"/>
              </w:rPr>
              <w:t>Preamble</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Assignee</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11.14</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Borrower</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w w:val="95"/>
              </w:rPr>
              <w:t>Preamble</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Claims</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11.10</w:t>
            </w:r>
          </w:p>
        </w:tc>
      </w:tr>
      <w:tr>
        <w:trPr>
          <w:trHeight w:val="26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Collateral</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3.3</w:t>
            </w:r>
          </w:p>
        </w:tc>
      </w:tr>
      <w:tr>
        <w:trPr>
          <w:trHeight w:val="261"/>
        </w:trPr>
        <w:tc>
          <w:tcPr>
            <w:tcW w:w="27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Confidential Information</w:t>
            </w:r>
          </w:p>
        </w:tc>
        <w:tc>
          <w:tcPr>
            <w:tcW w:w="144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11.22</w:t>
            </w:r>
          </w:p>
        </w:tc>
      </w:tr>
      <w:tr>
        <w:trPr>
          <w:trHeight w:val="268"/>
        </w:trPr>
        <w:tc>
          <w:tcPr>
            <w:tcW w:w="27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Current Company IP</w:t>
            </w:r>
          </w:p>
        </w:tc>
        <w:tc>
          <w:tcPr>
            <w:tcW w:w="144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5.10(a)</w:t>
            </w:r>
          </w:p>
        </w:tc>
      </w:tr>
      <w:tr>
        <w:trPr>
          <w:trHeight w:val="261"/>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Event of Default</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9</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Financial Statements</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7.1</w:t>
            </w:r>
          </w:p>
        </w:tc>
      </w:tr>
      <w:tr>
        <w:trPr>
          <w:trHeight w:val="25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Indemnified Person</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6.3</w:t>
            </w:r>
          </w:p>
        </w:tc>
      </w:tr>
      <w:tr>
        <w:trPr>
          <w:trHeight w:val="268"/>
        </w:trPr>
        <w:tc>
          <w:tcPr>
            <w:tcW w:w="2780" w:type="dxa"/>
            <w:vAlign w:val="bottom"/>
          </w:tcPr>
          <w:p>
            <w:pPr>
              <w:spacing w:after="0"/>
              <w:rPr>
                <w:sz w:val="20"/>
                <w:szCs w:val="20"/>
                <w:color w:val="auto"/>
              </w:rPr>
            </w:pPr>
            <w:r>
              <w:rPr>
                <w:rFonts w:ascii="Times New Roman" w:cs="Times New Roman" w:eastAsia="Times New Roman" w:hAnsi="Times New Roman"/>
                <w:sz w:val="21"/>
                <w:szCs w:val="21"/>
                <w:color w:val="auto"/>
              </w:rPr>
              <w:t>Lenders</w:t>
            </w:r>
          </w:p>
        </w:tc>
        <w:tc>
          <w:tcPr>
            <w:tcW w:w="1440" w:type="dxa"/>
            <w:vAlign w:val="bottom"/>
          </w:tcPr>
          <w:p>
            <w:pPr>
              <w:ind w:left="660"/>
              <w:spacing w:after="0"/>
              <w:rPr>
                <w:sz w:val="20"/>
                <w:szCs w:val="20"/>
                <w:color w:val="auto"/>
              </w:rPr>
            </w:pPr>
            <w:r>
              <w:rPr>
                <w:rFonts w:ascii="Times New Roman" w:cs="Times New Roman" w:eastAsia="Times New Roman" w:hAnsi="Times New Roman"/>
                <w:sz w:val="21"/>
                <w:szCs w:val="21"/>
                <w:color w:val="auto"/>
                <w:w w:val="95"/>
              </w:rPr>
              <w:t>Preamble</w:t>
            </w:r>
          </w:p>
        </w:tc>
      </w:tr>
    </w:tbl>
    <w:p>
      <w:pPr>
        <w:spacing w:after="0" w:line="200" w:lineRule="exact"/>
        <w:rPr>
          <w:sz w:val="20"/>
          <w:szCs w:val="20"/>
          <w:color w:val="auto"/>
        </w:rPr>
      </w:pPr>
    </w:p>
    <w:p>
      <w:pPr>
        <w:spacing w:after="0" w:line="25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1"/>
          <w:szCs w:val="21"/>
          <w:color w:val="auto"/>
        </w:rPr>
        <w:t>27</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480"/>
          </w:cols>
          <w:pgMar w:left="940" w:top="1365" w:right="479" w:bottom="1440" w:gutter="0" w:footer="0" w:header="0"/>
        </w:sectPr>
      </w:pPr>
    </w:p>
    <w:bookmarkStart w:id="130" w:name="page131"/>
    <w:bookmarkEnd w:id="130"/>
    <w:tbl>
      <w:tblPr>
        <w:tblLayout w:type="fixed"/>
        <w:tblInd w:w="1260" w:type="dxa"/>
        <w:tblCellMar>
          <w:top w:w="0" w:type="dxa"/>
          <w:left w:w="0" w:type="dxa"/>
          <w:bottom w:w="0" w:type="dxa"/>
          <w:right w:w="0" w:type="dxa"/>
        </w:tblCellMar>
      </w:tblP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Liabilities</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6.3</w:t>
            </w: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Maximum Rate</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2.3</w:t>
            </w:r>
          </w:p>
        </w:tc>
      </w:tr>
      <w:tr>
        <w:trPr>
          <w:trHeight w:val="26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Open Source License</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5.10</w:t>
            </w:r>
          </w:p>
        </w:tc>
      </w:tr>
      <w:tr>
        <w:trPr>
          <w:trHeight w:val="261"/>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Participant Register</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11.8</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Perfection Certificate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4.1(g)</w:t>
            </w:r>
          </w:p>
        </w:tc>
      </w:tr>
      <w:tr>
        <w:trPr>
          <w:trHeight w:val="268"/>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Performance Covenant</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7.22(b)</w:t>
            </w:r>
          </w:p>
        </w:tc>
      </w:tr>
      <w:tr>
        <w:trPr>
          <w:trHeight w:val="274"/>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Prepayment Charge</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2.5(a)</w:t>
            </w: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Process Letter</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w w:val="97"/>
              </w:rPr>
              <w:t>Addendum 4</w:t>
            </w: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Publicity Materials</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11.19</w:t>
            </w: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Register</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11.7</w:t>
            </w: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Regulation</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5.15</w:t>
            </w:r>
          </w:p>
        </w:tc>
      </w:tr>
      <w:tr>
        <w:trPr>
          <w:trHeight w:val="268"/>
        </w:trPr>
        <w:tc>
          <w:tcPr>
            <w:tcW w:w="2700" w:type="dxa"/>
            <w:vAlign w:val="bottom"/>
          </w:tcPr>
          <w:p>
            <w:pPr>
              <w:spacing w:after="0"/>
              <w:rPr>
                <w:sz w:val="20"/>
                <w:szCs w:val="20"/>
                <w:color w:val="auto"/>
              </w:rPr>
            </w:pPr>
            <w:r>
              <w:rPr>
                <w:rFonts w:ascii="Times New Roman" w:cs="Times New Roman" w:eastAsia="Times New Roman" w:hAnsi="Times New Roman"/>
                <w:sz w:val="21"/>
                <w:szCs w:val="21"/>
                <w:color w:val="auto"/>
              </w:rPr>
              <w:t>Third Party IP</w:t>
            </w:r>
          </w:p>
        </w:tc>
        <w:tc>
          <w:tcPr>
            <w:tcW w:w="1820" w:type="dxa"/>
            <w:vAlign w:val="bottom"/>
          </w:tcPr>
          <w:p>
            <w:pPr>
              <w:ind w:left="740"/>
              <w:spacing w:after="0"/>
              <w:rPr>
                <w:sz w:val="20"/>
                <w:szCs w:val="20"/>
                <w:color w:val="auto"/>
              </w:rPr>
            </w:pPr>
            <w:r>
              <w:rPr>
                <w:rFonts w:ascii="Times New Roman" w:cs="Times New Roman" w:eastAsia="Times New Roman" w:hAnsi="Times New Roman"/>
                <w:sz w:val="21"/>
                <w:szCs w:val="21"/>
                <w:color w:val="auto"/>
              </w:rPr>
              <w:t>5.10(i)</w:t>
            </w:r>
          </w:p>
        </w:tc>
      </w:tr>
      <w:tr>
        <w:trPr>
          <w:trHeight w:val="261"/>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Rights to Payment</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3.1</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SBA</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7.24</w:t>
            </w:r>
          </w:p>
        </w:tc>
      </w:tr>
      <w:tr>
        <w:trPr>
          <w:trHeight w:val="258"/>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SBIC</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7.24</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SBIC Act</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7.24</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Tranche 1 Advance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2.2(a)</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Tranche 2 Advance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2.2(b)</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Tranche 3 Advance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2.2(c)</w:t>
            </w:r>
          </w:p>
        </w:tc>
      </w:tr>
      <w:tr>
        <w:trPr>
          <w:trHeight w:val="258"/>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Tranche 4 Advance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2.2(d)</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Tranche 5 Advance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2.2(e)</w:t>
            </w:r>
          </w:p>
        </w:tc>
      </w:tr>
      <w:tr>
        <w:trPr>
          <w:trHeight w:val="245"/>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Tranche 6 Advance</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2.2(f)</w:t>
            </w:r>
          </w:p>
        </w:tc>
      </w:tr>
      <w:tr>
        <w:trPr>
          <w:trHeight w:val="268"/>
        </w:trPr>
        <w:tc>
          <w:tcPr>
            <w:tcW w:w="2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UCC Collateral</w:t>
            </w:r>
          </w:p>
        </w:tc>
        <w:tc>
          <w:tcPr>
            <w:tcW w:w="1820" w:type="dxa"/>
            <w:vAlign w:val="bottom"/>
          </w:tcPr>
          <w:p>
            <w:pPr>
              <w:ind w:left="780"/>
              <w:spacing w:after="0"/>
              <w:rPr>
                <w:sz w:val="20"/>
                <w:szCs w:val="20"/>
                <w:color w:val="auto"/>
              </w:rPr>
            </w:pPr>
            <w:r>
              <w:rPr>
                <w:rFonts w:ascii="Times New Roman" w:cs="Times New Roman" w:eastAsia="Times New Roman" w:hAnsi="Times New Roman"/>
                <w:sz w:val="21"/>
                <w:szCs w:val="21"/>
                <w:color w:val="auto"/>
              </w:rPr>
              <w:t>3.1</w:t>
            </w:r>
          </w:p>
        </w:tc>
      </w:tr>
    </w:tbl>
    <w:p>
      <w:pPr>
        <w:spacing w:after="0" w:line="299" w:lineRule="exact"/>
        <w:rPr>
          <w:sz w:val="20"/>
          <w:szCs w:val="20"/>
          <w:color w:val="auto"/>
        </w:rPr>
      </w:pPr>
    </w:p>
    <w:p>
      <w:pPr>
        <w:ind w:right="40" w:firstLine="619"/>
        <w:spacing w:after="0" w:line="210" w:lineRule="auto"/>
        <w:rPr>
          <w:sz w:val="20"/>
          <w:szCs w:val="20"/>
          <w:color w:val="auto"/>
        </w:rPr>
      </w:pPr>
      <w:r>
        <w:rPr>
          <w:rFonts w:ascii="Times New Roman" w:cs="Times New Roman" w:eastAsia="Times New Roman" w:hAnsi="Times New Roman"/>
          <w:sz w:val="21"/>
          <w:szCs w:val="21"/>
          <w:color w:val="auto"/>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1" w:lineRule="exact"/>
        <w:rPr>
          <w:sz w:val="20"/>
          <w:szCs w:val="20"/>
          <w:color w:val="auto"/>
        </w:rPr>
      </w:pPr>
    </w:p>
    <w:p>
      <w:pPr>
        <w:jc w:val="both"/>
        <w:ind w:right="160" w:firstLine="619"/>
        <w:spacing w:after="0" w:line="225" w:lineRule="auto"/>
        <w:rPr>
          <w:sz w:val="20"/>
          <w:szCs w:val="20"/>
          <w:color w:val="auto"/>
        </w:rPr>
      </w:pPr>
      <w:r>
        <w:rPr>
          <w:rFonts w:ascii="Times New Roman" w:cs="Times New Roman" w:eastAsia="Times New Roman" w:hAnsi="Times New Roman"/>
          <w:sz w:val="21"/>
          <w:szCs w:val="21"/>
          <w:color w:val="auto"/>
        </w:rPr>
        <w:t>1.4 All references in this Agreement or any Annex or Schedule hereto a “regulation” includes any regulation, rule, official directive, request or guideline (whether or not having the force of law) of any governmental, intergovernmental or supranational body, agency, department or of any regulatory, self-regulatory or other authority or organization.</w:t>
      </w:r>
    </w:p>
    <w:p>
      <w:pPr>
        <w:spacing w:after="0" w:line="146" w:lineRule="exact"/>
        <w:rPr>
          <w:sz w:val="20"/>
          <w:szCs w:val="20"/>
          <w:color w:val="auto"/>
        </w:rPr>
      </w:pPr>
    </w:p>
    <w:p>
      <w:pPr>
        <w:ind w:firstLine="619"/>
        <w:spacing w:after="0" w:line="235" w:lineRule="auto"/>
        <w:rPr>
          <w:sz w:val="20"/>
          <w:szCs w:val="20"/>
          <w:color w:val="auto"/>
        </w:rPr>
      </w:pPr>
      <w:r>
        <w:rPr>
          <w:rFonts w:ascii="Times New Roman" w:cs="Times New Roman" w:eastAsia="Times New Roman" w:hAnsi="Times New Roman"/>
          <w:sz w:val="21"/>
          <w:szCs w:val="21"/>
          <w:color w:val="auto"/>
        </w:rPr>
        <w:t>1.5 Notwithstanding anything in the definition of GAAP to the contrary, any obligations under a lease (whether existing now or entered into in the future) that is not (or would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28</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90" w:right="339" w:bottom="1440" w:gutter="0" w:footer="0" w:header="0"/>
        </w:sectPr>
      </w:pPr>
    </w:p>
    <w:bookmarkStart w:id="131" w:name="page132"/>
    <w:bookmarkEnd w:id="131"/>
    <w:p>
      <w:pPr>
        <w:ind w:right="60"/>
        <w:spacing w:after="0" w:line="235" w:lineRule="auto"/>
        <w:rPr>
          <w:sz w:val="20"/>
          <w:szCs w:val="20"/>
          <w:color w:val="auto"/>
        </w:rPr>
      </w:pPr>
      <w:r>
        <w:rPr>
          <w:rFonts w:ascii="Times New Roman" w:cs="Times New Roman" w:eastAsia="Times New Roman" w:hAnsi="Times New Roman"/>
          <w:sz w:val="21"/>
          <w:szCs w:val="21"/>
          <w:color w:val="auto"/>
        </w:rPr>
        <w:t>not be) a capital lease under GAAP as in effect prior to giving effect to FASB Accounting Standards Update No. 2016-02, Leases, shall not be treated as a capital lease solely as a result of the adoption of changes in GAAP.</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SECTION 2  </w:t>
      </w:r>
      <w:r>
        <w:rPr>
          <w:rFonts w:ascii="Times New Roman" w:cs="Times New Roman" w:eastAsia="Times New Roman" w:hAnsi="Times New Roman"/>
          <w:sz w:val="21"/>
          <w:szCs w:val="21"/>
          <w:b w:val="1"/>
          <w:bCs w:val="1"/>
          <w:u w:val="single" w:color="auto"/>
          <w:color w:val="auto"/>
        </w:rPr>
        <w:t>THE LOAN</w:t>
      </w:r>
    </w:p>
    <w:p>
      <w:pPr>
        <w:spacing w:after="0" w:line="17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0"/>
          <w:szCs w:val="20"/>
          <w:color w:val="auto"/>
        </w:rPr>
        <w:t>[Reserved]</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0"/>
          <w:szCs w:val="20"/>
          <w:color w:val="auto"/>
        </w:rPr>
        <w:t>Term Loan Advances.</w:t>
      </w:r>
    </w:p>
    <w:p>
      <w:pPr>
        <w:spacing w:after="0" w:line="171" w:lineRule="exact"/>
        <w:rPr>
          <w:sz w:val="20"/>
          <w:szCs w:val="20"/>
          <w:color w:val="auto"/>
        </w:rPr>
      </w:pPr>
    </w:p>
    <w:p>
      <w:pPr>
        <w:jc w:val="both"/>
        <w:ind w:left="620" w:right="180" w:firstLine="621"/>
        <w:spacing w:after="0" w:line="231" w:lineRule="auto"/>
        <w:tabs>
          <w:tab w:leader="none" w:pos="185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1 Advance. Subject to the terms and conditions of this Agreement, on the Closing Date, the Lenders shall severally (and not jointly) make, and Borrower agrees to draw, an initial Term Loan Advance in an aggregate principal amount not less than Thirty Million Dollars ($30,000,000); provided, that the aggregate amount of Term Loan Advances made under this Section 2.2(a) shall not exceed $30,000,000 (such Term Loan Advance, a “Tranche 1 Advance”).</w:t>
      </w:r>
    </w:p>
    <w:p>
      <w:pPr>
        <w:spacing w:after="0" w:line="145" w:lineRule="exact"/>
        <w:rPr>
          <w:rFonts w:ascii="Times New Roman" w:cs="Times New Roman" w:eastAsia="Times New Roman" w:hAnsi="Times New Roman"/>
          <w:sz w:val="20"/>
          <w:szCs w:val="20"/>
          <w:color w:val="auto"/>
        </w:rPr>
      </w:pPr>
    </w:p>
    <w:p>
      <w:pPr>
        <w:ind w:left="620" w:right="200" w:firstLine="621"/>
        <w:spacing w:after="0" w:line="231" w:lineRule="auto"/>
        <w:tabs>
          <w:tab w:leader="none" w:pos="185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2 Advance. Subject to the terms and conditions of this Agreement, on the Second Amendment Closing Date, the Lenders shall severally (and not jointly) make, and Borrower agrees to draw, a Term Loan Advance in an aggregate principal amount not less than Fifteen Million Dollars ($15,000,000); provided, that the aggregate amount of Term Loan Advances made under this Section 2.2(b) shall not exceed $15,000,000 (such Term Loan Advance, the “Tranche 2 Advance”).</w:t>
      </w:r>
    </w:p>
    <w:p>
      <w:pPr>
        <w:spacing w:after="0" w:line="145" w:lineRule="exact"/>
        <w:rPr>
          <w:rFonts w:ascii="Times New Roman" w:cs="Times New Roman" w:eastAsia="Times New Roman" w:hAnsi="Times New Roman"/>
          <w:sz w:val="20"/>
          <w:szCs w:val="20"/>
          <w:color w:val="auto"/>
        </w:rPr>
      </w:pPr>
    </w:p>
    <w:p>
      <w:pPr>
        <w:ind w:left="620" w:right="20" w:firstLine="621"/>
        <w:spacing w:after="0" w:line="213" w:lineRule="auto"/>
        <w:tabs>
          <w:tab w:leader="none" w:pos="185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Tranche 3 Advance. Subject to the terms and conditions of this Agreement and the achievement of the Tranche 3 Milestone, Borrower may request, and the Lenders shall severally (and not jointly) make, in each case on or prior to June 15, 2026, additional Term Loan Advances in an aggregate principal amount up to Thirty-Five Million Dollars ($35,000,000); it being acknowledged and agreed that on the Third Amendment Closing Date, the Lenders shall severally (and not jointly) make an initial Tranche 3 Advance in a minimum original principal amount of Fifteen Million Dollars ($15,000,000) and the remaining amount of Term Loan Advances is available to be drawn as a single Tranche 3 Loan Advance pursuant to this Section 2.2(c)) (each, a “Tranche 3 Advance”).</w:t>
      </w:r>
    </w:p>
    <w:p>
      <w:pPr>
        <w:spacing w:after="0" w:line="149" w:lineRule="exact"/>
        <w:rPr>
          <w:rFonts w:ascii="Times New Roman" w:cs="Times New Roman" w:eastAsia="Times New Roman" w:hAnsi="Times New Roman"/>
          <w:sz w:val="21"/>
          <w:szCs w:val="21"/>
          <w:color w:val="auto"/>
        </w:rPr>
      </w:pPr>
    </w:p>
    <w:p>
      <w:pPr>
        <w:jc w:val="both"/>
        <w:ind w:left="620" w:right="120" w:firstLine="621"/>
        <w:spacing w:after="0" w:line="231" w:lineRule="auto"/>
        <w:tabs>
          <w:tab w:leader="none" w:pos="185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4 Advance. Subject to the terms and conditions of this Agreement and the achievement of the Approval Milestone, Borrower may request, and the Lenders shall severally (and not jointly) make, in each case on or prior to the earlier of (i) September 30, 2026 or (ii) sixty (60) days following the achievement of the Approval Milestone, one additional Term Loan Advance in an aggregate principal amount up to Thirty Million Dollars ($30,000,000) (the “Tranche 4 Advance”).</w:t>
      </w:r>
    </w:p>
    <w:p>
      <w:pPr>
        <w:spacing w:after="0" w:line="145" w:lineRule="exact"/>
        <w:rPr>
          <w:rFonts w:ascii="Times New Roman" w:cs="Times New Roman" w:eastAsia="Times New Roman" w:hAnsi="Times New Roman"/>
          <w:sz w:val="20"/>
          <w:szCs w:val="20"/>
          <w:color w:val="auto"/>
        </w:rPr>
      </w:pPr>
    </w:p>
    <w:p>
      <w:pPr>
        <w:jc w:val="both"/>
        <w:ind w:left="620" w:right="60" w:firstLine="621"/>
        <w:spacing w:after="0" w:line="231" w:lineRule="auto"/>
        <w:tabs>
          <w:tab w:leader="none" w:pos="185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Tranche 5 Advance. Subject to the terms and conditions of this Agreement and the achievement of the Revenue Milestone, Borrower may request, and the Lenders shall severally (and not jointly) make, in each case on or prior to the earlier of (i) December 31, 2027 or (ii) sixty (60) days following the achievement of the Revenue Milestone, one additional Term Loan Advance in an aggregate principal amount up to Fifty Million Dollars ($50,000,000) (the “Tranche 5 Advance”).</w:t>
      </w:r>
    </w:p>
    <w:p>
      <w:pPr>
        <w:spacing w:after="0" w:line="145" w:lineRule="exact"/>
        <w:rPr>
          <w:rFonts w:ascii="Times New Roman" w:cs="Times New Roman" w:eastAsia="Times New Roman" w:hAnsi="Times New Roman"/>
          <w:sz w:val="20"/>
          <w:szCs w:val="20"/>
          <w:color w:val="auto"/>
        </w:rPr>
      </w:pPr>
    </w:p>
    <w:p>
      <w:pPr>
        <w:jc w:val="both"/>
        <w:ind w:left="620" w:firstLine="621"/>
        <w:spacing w:after="0" w:line="220" w:lineRule="auto"/>
        <w:tabs>
          <w:tab w:leader="none" w:pos="185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Tranche 6 Advance. Subject to the terms and conditions of this Agreement and conditioned on approval by the Lenders’ respective investment committees in their sole and unfettered discretion, Borrower may request, and the Lenders shall severally (and not jointly) make, in each case prior to the Amortization Date, additional Term Loan Advances in an aggregate principal amount of up to Forty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32" w:name="page133"/>
    <w:bookmarkEnd w:id="132"/>
    <w:p>
      <w:pPr>
        <w:jc w:val="both"/>
        <w:spacing w:after="0" w:line="220" w:lineRule="auto"/>
        <w:rPr>
          <w:sz w:val="20"/>
          <w:szCs w:val="20"/>
          <w:color w:val="auto"/>
        </w:rPr>
      </w:pPr>
      <w:r>
        <w:rPr>
          <w:rFonts w:ascii="Times New Roman" w:cs="Times New Roman" w:eastAsia="Times New Roman" w:hAnsi="Times New Roman"/>
          <w:sz w:val="21"/>
          <w:szCs w:val="21"/>
          <w:color w:val="auto"/>
        </w:rPr>
        <w:t>Million Dollars ($40,000,000), in minimum draws of at least Ten Million Dollars ($10,000,000) (or if less than Ten Million Dollars ($10,000,000), the remaining amount of Term Loan Advances available to be drawn pursuant to this Section 2.2(f)) (each, a “Tranche 6 Advance”); provided that Borrower shall not be permitted to request more than two (2) Tranche 6 Advances in total.</w:t>
      </w:r>
    </w:p>
    <w:p>
      <w:pPr>
        <w:spacing w:after="0" w:line="146" w:lineRule="exact"/>
        <w:rPr>
          <w:sz w:val="20"/>
          <w:szCs w:val="20"/>
          <w:color w:val="auto"/>
        </w:rPr>
      </w:pPr>
    </w:p>
    <w:p>
      <w:pPr>
        <w:ind w:right="620" w:firstLine="619"/>
        <w:spacing w:after="0" w:line="215" w:lineRule="auto"/>
        <w:rPr>
          <w:sz w:val="20"/>
          <w:szCs w:val="20"/>
          <w:color w:val="auto"/>
        </w:rPr>
      </w:pPr>
      <w:r>
        <w:rPr>
          <w:rFonts w:ascii="Times New Roman" w:cs="Times New Roman" w:eastAsia="Times New Roman" w:hAnsi="Times New Roman"/>
          <w:sz w:val="21"/>
          <w:szCs w:val="21"/>
          <w:color w:val="auto"/>
        </w:rPr>
        <w:t>The aggregate outstanding Term Loan Advances shall not exceed the Maximum Term Loan Amount. Each Term Loan Advance of each Lender shall not exceed its respective Term Commitment.</w:t>
      </w:r>
    </w:p>
    <w:p>
      <w:pPr>
        <w:spacing w:after="0" w:line="2" w:lineRule="exact"/>
        <w:rPr>
          <w:sz w:val="20"/>
          <w:szCs w:val="20"/>
          <w:color w:val="auto"/>
        </w:rPr>
      </w:pPr>
    </w:p>
    <w:p>
      <w:pPr>
        <w:ind w:right="380" w:firstLine="621"/>
        <w:spacing w:after="0" w:line="212" w:lineRule="auto"/>
        <w:tabs>
          <w:tab w:leader="none" w:pos="123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Advance Request. To obtain a Term Loan Advance, Borrower shall complete, sign and deliver an Advance Request (at least five (5) Business Days before the Advance Date other than the Closing Date and the Third Amendment Closing Date, which shall be at least one (1) Business Day) to Agent. The Lenders shall fund the Term Loan Advance in the manner requested by the Advance Request provided that each of the conditions precedent to such Term Loan Advance is satisfied as of the requested Advance Date.</w:t>
      </w:r>
    </w:p>
    <w:p>
      <w:pPr>
        <w:spacing w:after="0" w:line="149"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w:t>
      </w:r>
    </w:p>
    <w:p>
      <w:pPr>
        <w:spacing w:after="0" w:line="171" w:lineRule="exact"/>
        <w:rPr>
          <w:rFonts w:ascii="Times New Roman" w:cs="Times New Roman" w:eastAsia="Times New Roman" w:hAnsi="Times New Roman"/>
          <w:sz w:val="21"/>
          <w:szCs w:val="21"/>
          <w:color w:val="auto"/>
        </w:rPr>
      </w:pPr>
    </w:p>
    <w:p>
      <w:pPr>
        <w:ind w:left="620" w:right="60" w:firstLine="1238"/>
        <w:spacing w:after="0" w:line="215" w:lineRule="auto"/>
        <w:tabs>
          <w:tab w:leader="none" w:pos="2465"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 Loan Cash Interest Rate. In addition to interest accrued pursuant to the Term Loan PIK Interest Rate, the principal balance (including, for the avoidance of doubt, any payment-in-kind interest added to principal pursuant to Section 2.2(h)(ii)) of each Term Loan Advance shall bear interest thereon from such Advance Date at the Term Loan Cash Interest Rate based on a year consisting of 360 days, with interest computed daily based on the actual number of days elapsed. The Term Loan Cash Interest Rate will float and change on the day the prime rate changes from time to time.</w:t>
      </w:r>
    </w:p>
    <w:p>
      <w:pPr>
        <w:spacing w:after="0" w:line="145" w:lineRule="exact"/>
        <w:rPr>
          <w:rFonts w:ascii="Times New Roman" w:cs="Times New Roman" w:eastAsia="Times New Roman" w:hAnsi="Times New Roman"/>
          <w:sz w:val="21"/>
          <w:szCs w:val="21"/>
          <w:color w:val="auto"/>
        </w:rPr>
      </w:pPr>
    </w:p>
    <w:p>
      <w:pPr>
        <w:ind w:left="620" w:right="120" w:firstLine="1238"/>
        <w:spacing w:after="0" w:line="224" w:lineRule="auto"/>
        <w:tabs>
          <w:tab w:leader="none" w:pos="2471"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 PIK Interest Rate. In addition to interest accrued pursuant to the Term Loan Cash Interest Rate, the principal balance of each Term Loan Advance shall bear interest thereon from the applicable Advance Date therefor at the Term Loan PIK Interest Rate based on a year consisting of 360 days, with interest computed daily based on the actual number of days elapsed, which amount shall be added to the outstanding principal balance so as to increase the outstanding principal balance of such Term Loan Advance on each payment date for such Advance, which principal amount shall accrue interest payable as provided in Section 2.2(h)(i) and which accrued and unpaid amount shall be payable when the principal amount of the Advance is payable in accordance with Section 2.2(i).</w:t>
      </w:r>
    </w:p>
    <w:p>
      <w:pPr>
        <w:spacing w:after="0" w:line="147" w:lineRule="exact"/>
        <w:rPr>
          <w:rFonts w:ascii="Times New Roman" w:cs="Times New Roman" w:eastAsia="Times New Roman" w:hAnsi="Times New Roman"/>
          <w:sz w:val="20"/>
          <w:szCs w:val="20"/>
          <w:color w:val="auto"/>
        </w:rPr>
      </w:pPr>
    </w:p>
    <w:p>
      <w:pPr>
        <w:ind w:firstLine="621"/>
        <w:spacing w:after="0" w:line="211" w:lineRule="auto"/>
        <w:tabs>
          <w:tab w:leader="none" w:pos="1226"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Borrower will pay interest on each Term Loan Advance on the first Business Day of each month, beginning the month after the Advance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The entire Term Loan principal balance and all accrued but unpaid interest hereunder, shall be due and payable on Term Loan Maturity Date. Borrower shall make all payments under this Agreement without setoff, recoupment or deduction and regardless of any counterclaim or defense. The Lenders will initiate debit entries to Borrower’s account as authorized on the ACH Authorization (i) on each payment date of all periodic obligations payable to the Lenders under each Term Advance and (ii) out-of-pocket legal fees and costs incurred by Agent or the Lenders in accordance with Section 11.12 of this Agreement; provided that, with</w:t>
      </w:r>
    </w:p>
    <w:p>
      <w:pPr>
        <w:spacing w:after="0" w:line="200" w:lineRule="exact"/>
        <w:rPr>
          <w:sz w:val="20"/>
          <w:szCs w:val="20"/>
          <w:color w:val="auto"/>
        </w:rPr>
      </w:pPr>
    </w:p>
    <w:p>
      <w:pPr>
        <w:spacing w:after="0" w:line="3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30</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20"/>
          </w:cols>
          <w:pgMar w:left="940" w:top="1339" w:right="339" w:bottom="1440" w:gutter="0" w:footer="0" w:header="0"/>
        </w:sectPr>
      </w:pPr>
    </w:p>
    <w:bookmarkStart w:id="133" w:name="page134"/>
    <w:bookmarkEnd w:id="133"/>
    <w:p>
      <w:pPr>
        <w:ind w:left="620"/>
        <w:spacing w:after="0" w:line="221" w:lineRule="auto"/>
        <w:rPr>
          <w:sz w:val="20"/>
          <w:szCs w:val="20"/>
          <w:color w:val="auto"/>
        </w:rPr>
      </w:pPr>
      <w:r>
        <w:rPr>
          <w:rFonts w:ascii="Times New Roman" w:cs="Times New Roman" w:eastAsia="Times New Roman" w:hAnsi="Times New Roman"/>
          <w:sz w:val="20"/>
          <w:szCs w:val="20"/>
          <w:color w:val="auto"/>
        </w:rPr>
        <w:t>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out-of-pocket legal fees and costs incurred by Agent or the Lenders, Borrower shall pay to the Lenders such amount in full in immediately available funds within three (3) Business Days.</w:t>
      </w:r>
    </w:p>
    <w:p>
      <w:pPr>
        <w:spacing w:after="0" w:line="151" w:lineRule="exact"/>
        <w:rPr>
          <w:sz w:val="20"/>
          <w:szCs w:val="20"/>
          <w:color w:val="auto"/>
        </w:rPr>
      </w:pPr>
    </w:p>
    <w:p>
      <w:pPr>
        <w:ind w:right="60" w:firstLine="619"/>
        <w:spacing w:after="0" w:line="212" w:lineRule="auto"/>
        <w:rPr>
          <w:sz w:val="20"/>
          <w:szCs w:val="20"/>
          <w:color w:val="auto"/>
        </w:rPr>
      </w:pPr>
      <w:r>
        <w:rPr>
          <w:rFonts w:ascii="Times New Roman" w:cs="Times New Roman" w:eastAsia="Times New Roman" w:hAnsi="Times New Roman"/>
          <w:sz w:val="21"/>
          <w:szCs w:val="21"/>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50" w:lineRule="exact"/>
        <w:rPr>
          <w:sz w:val="20"/>
          <w:szCs w:val="20"/>
          <w:color w:val="auto"/>
        </w:rPr>
      </w:pPr>
    </w:p>
    <w:p>
      <w:pPr>
        <w:ind w:right="100" w:firstLine="619"/>
        <w:spacing w:after="0" w:line="215" w:lineRule="auto"/>
        <w:rPr>
          <w:sz w:val="20"/>
          <w:szCs w:val="20"/>
          <w:color w:val="auto"/>
        </w:rPr>
      </w:pPr>
      <w:r>
        <w:rPr>
          <w:rFonts w:ascii="Times New Roman" w:cs="Times New Roman" w:eastAsia="Times New Roman" w:hAnsi="Times New Roman"/>
          <w:sz w:val="21"/>
          <w:szCs w:val="21"/>
          <w:color w:val="auto"/>
        </w:rPr>
        <w:t>2.4 Default Interest. In the event any payment is not paid on the scheduled payment date,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2.2(h), plus four percent (4%) per annum. In the event any interest is not paid when due hereunder, delinquent interest shall be added to principal and shall bear interest on interest, compounded at the rate set forth in Section 2.2(h) or Section 2.4, as applicable.</w:t>
      </w:r>
    </w:p>
    <w:p>
      <w:pPr>
        <w:spacing w:after="0" w:line="146" w:lineRule="exact"/>
        <w:rPr>
          <w:sz w:val="20"/>
          <w:szCs w:val="20"/>
          <w:color w:val="auto"/>
        </w:rPr>
      </w:pPr>
    </w:p>
    <w:p>
      <w:pPr>
        <w:ind w:firstLine="619"/>
        <w:spacing w:after="0" w:line="210" w:lineRule="auto"/>
        <w:rPr>
          <w:sz w:val="20"/>
          <w:szCs w:val="20"/>
          <w:color w:val="auto"/>
        </w:rPr>
      </w:pPr>
      <w:r>
        <w:rPr>
          <w:rFonts w:ascii="Times New Roman" w:cs="Times New Roman" w:eastAsia="Times New Roman" w:hAnsi="Times New Roman"/>
          <w:sz w:val="21"/>
          <w:szCs w:val="21"/>
          <w:color w:val="auto"/>
        </w:rPr>
        <w:t>2.5 Prepayment. At its option, upon at least five (5) Business Days’ prior written notice to Agent, Borrower may prepay all or a portion of the outstanding Advances by paying the entire principal balance (or such portion thereof), all accrued and unpaid interest thereon, together with a prepayment charge equal to the following percentage of the Advance amount being prepaid: with respect to each Advance (which Advance amount shall include, for the avoidance of doubt, any principal that has been added to the principal balance of such Advance pursuant to Section 2.2(h)(ii)), if such Advance amounts are prepaid in any of the first twelve (12) months following the Third Amendment Closing Date, 3.00%; after twelve (12) months but on or prior to twenty four (24) months following the Third Amendment Closing Date, 2.00%; and thereafter, 1.00% (each, a “Prepayment Charge”); provided that each prepayment shall be in a minimum principal amount of Ten Million Dollars ($10,000,000) or, if less, the remaining outstanding principal amount of the Advances.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31</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34" w:name="page135"/>
    <w:bookmarkEnd w:id="134"/>
    <w:p>
      <w:pPr>
        <w:ind w:right="60"/>
        <w:spacing w:after="0" w:line="222" w:lineRule="auto"/>
        <w:rPr>
          <w:sz w:val="20"/>
          <w:szCs w:val="20"/>
          <w:color w:val="auto"/>
        </w:rPr>
      </w:pPr>
      <w:r>
        <w:rPr>
          <w:rFonts w:ascii="Times New Roman" w:cs="Times New Roman" w:eastAsia="Times New Roman" w:hAnsi="Times New Roman"/>
          <w:sz w:val="20"/>
          <w:szCs w:val="20"/>
          <w:color w:val="auto"/>
        </w:rPr>
        <w:t>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or any other prepayment hereunder. Notwithstanding the foregoing, Agent and the Lenders hereby waive the Prepayment Charge if Agent and the Lenders or any Affiliate thereof (in their sole and absolute discretion) provide any refinancing of the Advances prior to the Term Loan Maturity Date. After prepayment, no Term Loan Advance (or any portion thereof) may be reborrowed). For the avoidance of doubt, if a payment hereunder becomes due and payable on a day that is not a Business Day, the due date thereof shall be the immediately succeeding Business Day.</w:t>
      </w:r>
    </w:p>
    <w:p>
      <w:pPr>
        <w:spacing w:after="0" w:line="14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0"/>
          <w:szCs w:val="20"/>
          <w:color w:val="auto"/>
        </w:rPr>
        <w:t>End of Term Charge.</w:t>
      </w:r>
    </w:p>
    <w:p>
      <w:pPr>
        <w:spacing w:after="0" w:line="171" w:lineRule="exact"/>
        <w:rPr>
          <w:sz w:val="20"/>
          <w:szCs w:val="20"/>
          <w:color w:val="auto"/>
        </w:rPr>
      </w:pPr>
    </w:p>
    <w:p>
      <w:pPr>
        <w:ind w:left="620" w:right="100" w:firstLine="621"/>
        <w:spacing w:after="0" w:line="220" w:lineRule="auto"/>
        <w:tabs>
          <w:tab w:leader="none" w:pos="1854"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date that Borrower partially prepays the outstanding Secured Obligations pursuant to Section 2.5 (other than, for the avoidance of doubt, any partial prepayment that would result in all remaining outstanding Secured Obligations being prepaid in full), Borrower shall pay the Lenders a charge equal to four point ninety-five percent (4.95%) of the aggregate principal amount of such Term Loan Advances being prepaid.</w:t>
      </w:r>
    </w:p>
    <w:p>
      <w:pPr>
        <w:spacing w:after="0" w:line="145" w:lineRule="exact"/>
        <w:rPr>
          <w:rFonts w:ascii="Times New Roman" w:cs="Times New Roman" w:eastAsia="Times New Roman" w:hAnsi="Times New Roman"/>
          <w:sz w:val="21"/>
          <w:szCs w:val="21"/>
          <w:color w:val="auto"/>
        </w:rPr>
      </w:pPr>
    </w:p>
    <w:p>
      <w:pPr>
        <w:ind w:left="620" w:firstLine="621"/>
        <w:spacing w:after="0" w:line="219" w:lineRule="auto"/>
        <w:tabs>
          <w:tab w:leader="none" w:pos="1853"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earliest to occur of (i) October 1, 2027,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(including by acceleration of the Secured Obligations during an Event of Default) pursuant to the terms of this Agreement, Borrower shall pay the lenders a charge equal to (x) Two Million Two Hundred Twenty-Seven Thousand Five Hundred Dollars ($2,227,500) </w:t>
      </w:r>
      <w:r>
        <w:rPr>
          <w:rFonts w:ascii="Times New Roman" w:cs="Times New Roman" w:eastAsia="Times New Roman" w:hAnsi="Times New Roman"/>
          <w:sz w:val="20"/>
          <w:szCs w:val="20"/>
          <w:i w:val="1"/>
          <w:iCs w:val="1"/>
          <w:color w:val="auto"/>
        </w:rPr>
        <w:t>minus</w:t>
      </w:r>
    </w:p>
    <w:p>
      <w:pPr>
        <w:spacing w:after="0" w:line="4" w:lineRule="exact"/>
        <w:rPr>
          <w:rFonts w:ascii="Times New Roman" w:cs="Times New Roman" w:eastAsia="Times New Roman" w:hAnsi="Times New Roman"/>
          <w:sz w:val="20"/>
          <w:szCs w:val="20"/>
          <w:color w:val="auto"/>
        </w:rPr>
      </w:pPr>
    </w:p>
    <w:p>
      <w:pPr>
        <w:ind w:left="620" w:right="340" w:firstLine="2"/>
        <w:spacing w:after="0" w:line="224" w:lineRule="auto"/>
        <w:tabs>
          <w:tab w:leader="none" w:pos="91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payments made pursuant to Section 2.6(a) with respect to the Tranche 1 Advance and Tranche 2 Advance.</w:t>
      </w:r>
    </w:p>
    <w:p>
      <w:pPr>
        <w:spacing w:after="0" w:line="146" w:lineRule="exact"/>
        <w:rPr>
          <w:rFonts w:ascii="Times New Roman" w:cs="Times New Roman" w:eastAsia="Times New Roman" w:hAnsi="Times New Roman"/>
          <w:sz w:val="21"/>
          <w:szCs w:val="21"/>
          <w:color w:val="auto"/>
        </w:rPr>
      </w:pPr>
    </w:p>
    <w:p>
      <w:pPr>
        <w:ind w:left="620" w:firstLine="621"/>
        <w:spacing w:after="0" w:line="211" w:lineRule="auto"/>
        <w:tabs>
          <w:tab w:leader="none" w:pos="185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(including by acceleration of the Secured Obligations during an Event of Default) pursuant to the terms of this Agreement, Borrower shall pay the Lenders a charge equal to (x) four point ninety-five percent (4.95%) of the aggregate original principal amount of the Term Loan Advances made hereunder (other than the Tranche 1 Advance and Tranche 2 Advance), plus (y) if the Term Loan Maturity Date is extended to October 1, 2029, Seven Hundred Eighty-Seven Thousand Five Hundred Dollars ($787,500)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(z) the aggregate amount of payments made pursuant to Section 2.6(a) with respect to the Tranche 3 Advance, Tranche 4 Advance, Tranche 5 Advance and Tranche 6 Advances (collectively, with any charge required to be paid pursuant to Section 2.6(a) and 2.6(b), the “End of Term Charge”).</w:t>
      </w:r>
    </w:p>
    <w:p>
      <w:pPr>
        <w:spacing w:after="0" w:line="145" w:lineRule="exact"/>
        <w:rPr>
          <w:rFonts w:ascii="Times New Roman" w:cs="Times New Roman" w:eastAsia="Times New Roman" w:hAnsi="Times New Roman"/>
          <w:sz w:val="21"/>
          <w:szCs w:val="21"/>
          <w:color w:val="auto"/>
        </w:rPr>
      </w:pPr>
    </w:p>
    <w:p>
      <w:pPr>
        <w:ind w:left="620" w:firstLine="621"/>
        <w:spacing w:after="0" w:line="220" w:lineRule="auto"/>
        <w:tabs>
          <w:tab w:leader="none" w:pos="1853"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required payment date of such End of Term Charge, the applicable pro rata portion of the End of Term Charge with respect to any Advance shall be deemed earned by the Lenders as of the applicable Advance Date. For the avoidance of doubt, if a payment hereunder becomes due and payable on a day that is not a Business Day, the due date thereof shall be the immediately preceding Business Day.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32</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35" w:name="page136"/>
    <w:bookmarkEnd w:id="135"/>
    <w:p>
      <w:pPr>
        <w:ind w:right="280" w:firstLine="619"/>
        <w:spacing w:after="0" w:line="235" w:lineRule="auto"/>
        <w:rPr>
          <w:sz w:val="20"/>
          <w:szCs w:val="20"/>
          <w:color w:val="auto"/>
        </w:rPr>
      </w:pPr>
      <w:r>
        <w:rPr>
          <w:rFonts w:ascii="Times New Roman" w:cs="Times New Roman" w:eastAsia="Times New Roman" w:hAnsi="Times New Roman"/>
          <w:sz w:val="21"/>
          <w:szCs w:val="21"/>
          <w:color w:val="auto"/>
        </w:rPr>
        <w:t>2.7 Pro Rata Treatment. Each payment (including prepayment) on account of any fee and any reduction of the Term Loan shall be made pro rata according to the Term Commitments of the relevant Lender.</w:t>
      </w:r>
    </w:p>
    <w:p>
      <w:pPr>
        <w:spacing w:after="0" w:line="146" w:lineRule="exact"/>
        <w:rPr>
          <w:sz w:val="20"/>
          <w:szCs w:val="20"/>
          <w:color w:val="auto"/>
        </w:rPr>
      </w:pPr>
    </w:p>
    <w:p>
      <w:pPr>
        <w:ind w:right="120" w:firstLine="619"/>
        <w:spacing w:after="0" w:line="235" w:lineRule="auto"/>
        <w:rPr>
          <w:sz w:val="20"/>
          <w:szCs w:val="20"/>
          <w:color w:val="auto"/>
        </w:rPr>
      </w:pPr>
      <w:r>
        <w:rPr>
          <w:rFonts w:ascii="Times New Roman" w:cs="Times New Roman" w:eastAsia="Times New Roman" w:hAnsi="Times New Roman"/>
          <w:sz w:val="21"/>
          <w:szCs w:val="21"/>
          <w:color w:val="auto"/>
        </w:rPr>
        <w:t>2.8 Taxes; Increased Costs. Borrower, the Agent and the Lenders each hereby agree to the terms and conditions set forth on Addendum 1 attached hereto.</w:t>
      </w:r>
    </w:p>
    <w:p>
      <w:pPr>
        <w:spacing w:after="0" w:line="146" w:lineRule="exact"/>
        <w:rPr>
          <w:sz w:val="20"/>
          <w:szCs w:val="20"/>
          <w:color w:val="auto"/>
        </w:rPr>
      </w:pPr>
    </w:p>
    <w:p>
      <w:pPr>
        <w:ind w:firstLine="619"/>
        <w:spacing w:after="0" w:line="208" w:lineRule="auto"/>
        <w:rPr>
          <w:sz w:val="20"/>
          <w:szCs w:val="20"/>
          <w:color w:val="auto"/>
        </w:rPr>
      </w:pPr>
      <w:r>
        <w:rPr>
          <w:rFonts w:ascii="Times New Roman" w:cs="Times New Roman" w:eastAsia="Times New Roman" w:hAnsi="Times New Roman"/>
          <w:sz w:val="21"/>
          <w:szCs w:val="21"/>
          <w:color w:val="auto"/>
        </w:rPr>
        <w:t>2.9 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and the Third Amendment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paragraph. Borrower expressly acknowledges that their agreement to pay each of the Prepayment Charge and the End of Term Charge to the Lenders as herein described was on the Closing Date and the Third Amendment Closing Date and continues to be a material inducement to the Lenders to provide the Term Loan.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xml:space="preserve">SECTION 3  </w:t>
      </w:r>
      <w:r>
        <w:rPr>
          <w:rFonts w:ascii="Times New Roman" w:cs="Times New Roman" w:eastAsia="Times New Roman" w:hAnsi="Times New Roman"/>
          <w:sz w:val="21"/>
          <w:szCs w:val="21"/>
          <w:b w:val="1"/>
          <w:bCs w:val="1"/>
          <w:u w:val="single" w:color="auto"/>
          <w:color w:val="auto"/>
        </w:rPr>
        <w:t>SECURITY INTEREST</w:t>
      </w:r>
    </w:p>
    <w:p>
      <w:pPr>
        <w:spacing w:after="0" w:line="175" w:lineRule="exact"/>
        <w:rPr>
          <w:sz w:val="20"/>
          <w:szCs w:val="20"/>
          <w:color w:val="auto"/>
        </w:rPr>
      </w:pPr>
    </w:p>
    <w:p>
      <w:pPr>
        <w:ind w:right="20" w:firstLine="619"/>
        <w:spacing w:after="0" w:line="210" w:lineRule="auto"/>
        <w:rPr>
          <w:sz w:val="20"/>
          <w:szCs w:val="20"/>
          <w:color w:val="auto"/>
        </w:rPr>
      </w:pPr>
      <w:r>
        <w:rPr>
          <w:rFonts w:ascii="Times New Roman" w:cs="Times New Roman" w:eastAsia="Times New Roman" w:hAnsi="Times New Roman"/>
          <w:sz w:val="21"/>
          <w:szCs w:val="21"/>
          <w:color w:val="auto"/>
        </w:rPr>
        <w:t xml:space="preserve">3.1 As security for the prompt and complete payment when due (whether on the payment dates or otherwise) of all the Secured Obligations, each Borrower grants to Agent a security interest in all of such Borrower’s right, title, and interest in, to and under all of such Borrower’s personal property and other assets including without limitation the following (except as set forth herein) whether now owned or hereafter acquired (collectively, the “UCC Collateral”): (a) Receivables; (b) Equipment; (c) Fixtures; (d) General Intangibles; (e) Inventory; (f) Investment Property; (g) Deposit Accounts; (h) Cash; (i) Goods; (j) Company IP; and all other tangible and intangible 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the Collateral shall include all Accounts and General Intangibles that consist of rights to payment and proceeds from the sale, licensing or disposition of all or any part, or rights in, the Company IP (the “Rights to Payment”).</w:t>
      </w:r>
    </w:p>
    <w:p>
      <w:pPr>
        <w:spacing w:after="0" w:line="151" w:lineRule="exact"/>
        <w:rPr>
          <w:sz w:val="20"/>
          <w:szCs w:val="20"/>
          <w:color w:val="auto"/>
        </w:rPr>
      </w:pPr>
    </w:p>
    <w:p>
      <w:pPr>
        <w:ind w:right="160" w:firstLine="619"/>
        <w:spacing w:after="0" w:line="220" w:lineRule="auto"/>
        <w:rPr>
          <w:sz w:val="20"/>
          <w:szCs w:val="20"/>
          <w:color w:val="auto"/>
        </w:rPr>
      </w:pPr>
      <w:r>
        <w:rPr>
          <w:rFonts w:ascii="Times New Roman" w:cs="Times New Roman" w:eastAsia="Times New Roman" w:hAnsi="Times New Roman"/>
          <w:sz w:val="21"/>
          <w:szCs w:val="21"/>
          <w:color w:val="auto"/>
        </w:rPr>
        <w:t xml:space="preserve">3.2 Notwithstanding the broad grant of the security interest set forth in Section 3.1, above, the term “UCC Collateral” shall not include (a) any “intent-to-use” trademarks at all times prior to the first use thereof, whether by the actual use thereof in commerce, the recording of a statement of use or amendment to allege use with the United States Patent and Trademark Office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upon submission and acceptance by the United States Patent and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33</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36" w:name="page137"/>
    <w:bookmarkEnd w:id="136"/>
    <w:p>
      <w:pPr>
        <w:ind w:right="60"/>
        <w:spacing w:after="0" w:line="207" w:lineRule="auto"/>
        <w:rPr>
          <w:sz w:val="20"/>
          <w:szCs w:val="20"/>
          <w:color w:val="auto"/>
        </w:rPr>
      </w:pPr>
      <w:r>
        <w:rPr>
          <w:rFonts w:ascii="Times New Roman" w:cs="Times New Roman" w:eastAsia="Times New Roman" w:hAnsi="Times New Roman"/>
          <w:sz w:val="21"/>
          <w:szCs w:val="21"/>
          <w:color w:val="auto"/>
        </w:rPr>
        <w:t>Trademark Office of a statement of use or an amendment to allege use of an intent-to-use trademark application pursuant to 15 U.S.C. Section 1060(a) (or any successor provision) such intent-to-use application shall constitute Collateral, (b) any governmental licenses or state or local charters and authorizations to the extent a security interest is prohibited or restricted by any applicable law (except to the extent such prohibition or restriction is ineffective under the UCC or other applicable law), but only for so long as such prohibition or restriction exists, (c) any property owned by any Borrower that is subject to a purchase money Lien or a capital lease or similar arrangement permitted by this Agreement to the extent that the obligation pursuant to which such Lien is granted (or in the document, instrument or agreement providing for such capital lease) prohibits (or causes a default thereunder), invalidates such obligation, document, instrument or agreement or provides a right of termination in favor of any other party thereto (other than the applicable Borrower and its Affiliates) by granting, any other Lien or interest on such property (but only to the extent (i) such prohibition on transfer is enforceable under applicable law, including, without limitation, Sections 9-406, 9-407 and 9-408 of the UCC and (ii) no consent or waiver has been obtained that would permit Agent’s security interest or lien to attach notwithstanding the prohibition or restriction on such property subject to such purchase money Lien or capital lease), (d) nonassignable licenses or contracts, which by their terms require the consent of the licensor thereof or another party (but only to the extent (i) such prohibition on transfer is enforceable under applicable law, including, without limitation, Sections 9-406, 9-407 and 9-408 of the UCC and (ii) no consent or waiver has been obtained that would permit Agent’s security interest or lien to attach notwithstanding the prohibition or restriction on the pledge of such lease, license or agreement), (e) any property to the extent that Agent, in its sole discretion, determines that the cost and/or burden of obtaining a security interest in such property outweigh the benefit to the Agent and the Lenders and (f) any Excluded Account. For the avoidance of doubt, the foregoing exclusions of clauses (c) and (d) shall in no way be construed to limit, impair, or otherwise affect any of Agent’s continuing security interests in and liens upon any rights or interests of any Borrower in or to (x) monies due or to become due under or in connection with any described lease, license or agreement or the property subject to such purchase money lien or capital lease, or (y) any proceeds from the sale, license, lease, or other dispositions of any such ease, license or agreement or the property subject to such purchase money lien or capital lease.</w:t>
      </w:r>
    </w:p>
    <w:p>
      <w:pPr>
        <w:spacing w:after="0" w:line="162" w:lineRule="exact"/>
        <w:rPr>
          <w:sz w:val="20"/>
          <w:szCs w:val="20"/>
          <w:color w:val="auto"/>
        </w:rPr>
      </w:pPr>
    </w:p>
    <w:p>
      <w:pPr>
        <w:ind w:right="180" w:firstLine="619"/>
        <w:spacing w:after="0" w:line="220" w:lineRule="auto"/>
        <w:rPr>
          <w:sz w:val="20"/>
          <w:szCs w:val="20"/>
          <w:color w:val="auto"/>
        </w:rPr>
      </w:pPr>
      <w:r>
        <w:rPr>
          <w:rFonts w:ascii="Times New Roman" w:cs="Times New Roman" w:eastAsia="Times New Roman" w:hAnsi="Times New Roman"/>
          <w:sz w:val="21"/>
          <w:szCs w:val="21"/>
          <w:color w:val="auto"/>
        </w:rPr>
        <w:t>3.3 Parent and Replimune UK have entered into the English Security Documents pursuant to which they have granted security interests on, to and under the collateral described therein (such collateral, with the UCC Collateral, collectively, the “Collateral”). Solely with respect to Replimune UK, in the event of a conflict between Section 3.1 of this Agreement and the terms of the English Debenture, the terms of the English Debenture shall govern and control.</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xml:space="preserve">SECTION 4  </w:t>
      </w:r>
      <w:r>
        <w:rPr>
          <w:rFonts w:ascii="Times New Roman" w:cs="Times New Roman" w:eastAsia="Times New Roman" w:hAnsi="Times New Roman"/>
          <w:sz w:val="21"/>
          <w:szCs w:val="21"/>
          <w:b w:val="1"/>
          <w:bCs w:val="1"/>
          <w:u w:val="single" w:color="auto"/>
          <w:color w:val="auto"/>
        </w:rPr>
        <w:t>CONDITIONS PRECEDENT TO LOAN</w:t>
      </w:r>
    </w:p>
    <w:p>
      <w:pPr>
        <w:spacing w:after="0" w:line="201" w:lineRule="exact"/>
        <w:rPr>
          <w:sz w:val="20"/>
          <w:szCs w:val="20"/>
          <w:color w:val="auto"/>
        </w:rPr>
      </w:pPr>
    </w:p>
    <w:p>
      <w:pPr>
        <w:ind w:right="780" w:firstLine="619"/>
        <w:spacing w:after="0" w:line="269" w:lineRule="auto"/>
        <w:rPr>
          <w:sz w:val="20"/>
          <w:szCs w:val="20"/>
          <w:color w:val="auto"/>
        </w:rPr>
      </w:pPr>
      <w:r>
        <w:rPr>
          <w:rFonts w:ascii="Times New Roman" w:cs="Times New Roman" w:eastAsia="Times New Roman" w:hAnsi="Times New Roman"/>
          <w:sz w:val="21"/>
          <w:szCs w:val="21"/>
          <w:color w:val="auto"/>
        </w:rPr>
        <w:t>The obligations of the Lenders to make the Loan hereunder are subject to the satisfaction by Borrower of the following conditions:</w:t>
      </w:r>
    </w:p>
    <w:p>
      <w:pPr>
        <w:spacing w:after="0" w:line="12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0"/>
          <w:szCs w:val="20"/>
          <w:color w:val="auto"/>
        </w:rPr>
        <w:t>Initial Advance. On or prior to the Closing Date, Borrower shall have delivered to Agent the following:</w:t>
      </w:r>
    </w:p>
    <w:p>
      <w:pPr>
        <w:spacing w:after="0" w:line="171" w:lineRule="exact"/>
        <w:rPr>
          <w:sz w:val="20"/>
          <w:szCs w:val="20"/>
          <w:color w:val="auto"/>
        </w:rPr>
      </w:pPr>
    </w:p>
    <w:p>
      <w:pPr>
        <w:ind w:left="620" w:firstLine="621"/>
        <w:spacing w:after="0" w:line="225" w:lineRule="auto"/>
        <w:tabs>
          <w:tab w:leader="none" w:pos="185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copies of the Loan Documents,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45"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legal opinion of Agent’s U.K. counsel in form and substance reasonably acceptable to Agent;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34</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37" w:name="page138"/>
    <w:bookmarkEnd w:id="137"/>
    <w:p>
      <w:pPr>
        <w:ind w:right="80" w:firstLine="621"/>
        <w:spacing w:after="0" w:line="219" w:lineRule="auto"/>
        <w:tabs>
          <w:tab w:leader="none" w:pos="123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certified copy of resolutions of each Borrower’s Board of Directors (and shareholder, with respect to Replimune UK) evidencing (i) approval of the Loan and other transactions evidenced by the Loan Documents (ii) authorizing a specified person or persons to execute the Loan Documents to which it is a party on its behalf; (iii) authorizing a specified person or persons, on its behalf, to sign and/or dispatch all documents and notices (including, if relevant, any Advance Request or other relevant notice) to be signed and/or dispatched by it under or in connection with the Loan Documents to which it is a party; and</w:t>
      </w:r>
    </w:p>
    <w:p>
      <w:pPr>
        <w:spacing w:after="0" w:line="4" w:lineRule="exact"/>
        <w:rPr>
          <w:rFonts w:ascii="Times New Roman" w:cs="Times New Roman" w:eastAsia="Times New Roman" w:hAnsi="Times New Roman"/>
          <w:sz w:val="20"/>
          <w:szCs w:val="20"/>
          <w:color w:val="auto"/>
        </w:rPr>
      </w:pPr>
    </w:p>
    <w:p>
      <w:pPr>
        <w:ind w:right="60" w:firstLine="2"/>
        <w:spacing w:after="0" w:line="214" w:lineRule="auto"/>
        <w:tabs>
          <w:tab w:leader="none" w:pos="34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acknowledging that the Board of Directors are acting for a proper purpose and that the Loan Documents are in the best interests of that Borrower and for its commercial benefit; and (B) acknowledging that the relevant Borrower was solvent and there were reasonable grounds to expect that the relevant Borrower would continue to be solvent after executing and complying with its obligations under the Loan Documents;</w:t>
      </w:r>
    </w:p>
    <w:p>
      <w:pPr>
        <w:spacing w:after="0" w:line="148" w:lineRule="exact"/>
        <w:rPr>
          <w:rFonts w:ascii="Times New Roman" w:cs="Times New Roman" w:eastAsia="Times New Roman" w:hAnsi="Times New Roman"/>
          <w:sz w:val="21"/>
          <w:szCs w:val="21"/>
          <w:color w:val="auto"/>
        </w:rPr>
      </w:pPr>
    </w:p>
    <w:p>
      <w:pPr>
        <w:ind w:right="100" w:firstLine="621"/>
        <w:spacing w:after="0" w:line="235" w:lineRule="auto"/>
        <w:tabs>
          <w:tab w:leader="none" w:pos="123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certified copies of the constitutional documents and (as applicable) the Bylaws, as amended through the Closing Date, of Borrower;</w:t>
      </w:r>
    </w:p>
    <w:p>
      <w:pPr>
        <w:spacing w:after="0" w:line="145" w:lineRule="exact"/>
        <w:rPr>
          <w:rFonts w:ascii="Times New Roman" w:cs="Times New Roman" w:eastAsia="Times New Roman" w:hAnsi="Times New Roman"/>
          <w:sz w:val="21"/>
          <w:szCs w:val="21"/>
          <w:color w:val="auto"/>
        </w:rPr>
      </w:pPr>
    </w:p>
    <w:p>
      <w:pPr>
        <w:ind w:right="140" w:firstLine="621"/>
        <w:spacing w:after="0" w:line="225" w:lineRule="auto"/>
        <w:tabs>
          <w:tab w:leader="none" w:pos="1234"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with respect to Replimune UK, a certificate of good standing for Borrower from its state of incorporation and similar certificates from all other jurisdictions in which it does business and where the failure to be qualified would reasonably be expected to have a Material Adverse Effect;</w:t>
      </w:r>
    </w:p>
    <w:p>
      <w:pPr>
        <w:spacing w:after="0" w:line="145" w:lineRule="exact"/>
        <w:rPr>
          <w:rFonts w:ascii="Times New Roman" w:cs="Times New Roman" w:eastAsia="Times New Roman" w:hAnsi="Times New Roman"/>
          <w:sz w:val="21"/>
          <w:szCs w:val="21"/>
          <w:color w:val="auto"/>
        </w:rPr>
      </w:pPr>
    </w:p>
    <w:p>
      <w:pPr>
        <w:ind w:firstLine="621"/>
        <w:spacing w:after="0" w:line="220" w:lineRule="auto"/>
        <w:tabs>
          <w:tab w:leader="none" w:pos="1237"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director of Replimune UK confirming that guaranteeing or securing the Loan would not cause any guaranteeing or similar limit binding on Replimune UK to be exceeded and certifying that each copy document relating to it specified in this Section 4, is correct, complete and the original of such copy document, is in full force and effect and has not been amended or superseded as at a date no earlier than the Closing Date;</w:t>
      </w:r>
    </w:p>
    <w:p>
      <w:pPr>
        <w:spacing w:after="0" w:line="132" w:lineRule="exact"/>
        <w:rPr>
          <w:rFonts w:ascii="Times New Roman" w:cs="Times New Roman" w:eastAsia="Times New Roman" w:hAnsi="Times New Roman"/>
          <w:sz w:val="21"/>
          <w:szCs w:val="21"/>
          <w:color w:val="auto"/>
        </w:rPr>
      </w:pPr>
    </w:p>
    <w:p>
      <w:pPr>
        <w:ind w:left="1240" w:hanging="619"/>
        <w:spacing w:after="0"/>
        <w:tabs>
          <w:tab w:leader="none" w:pos="124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perfection certificate (the “</w:t>
      </w:r>
      <w:r>
        <w:rPr>
          <w:rFonts w:ascii="Times New Roman" w:cs="Times New Roman" w:eastAsia="Times New Roman" w:hAnsi="Times New Roman"/>
          <w:sz w:val="21"/>
          <w:szCs w:val="21"/>
          <w:b w:val="1"/>
          <w:bCs w:val="1"/>
          <w:color w:val="auto"/>
        </w:rPr>
        <w:t>Perfection Certificate</w:t>
      </w:r>
      <w:r>
        <w:rPr>
          <w:rFonts w:ascii="Times New Roman" w:cs="Times New Roman" w:eastAsia="Times New Roman" w:hAnsi="Times New Roman"/>
          <w:sz w:val="21"/>
          <w:szCs w:val="21"/>
          <w:color w:val="auto"/>
        </w:rPr>
        <w:t>”) of Borrower, together with duly executed signatures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thereto;</w:t>
      </w:r>
    </w:p>
    <w:p>
      <w:pPr>
        <w:spacing w:after="0" w:line="149" w:lineRule="exact"/>
        <w:rPr>
          <w:rFonts w:ascii="Times New Roman" w:cs="Times New Roman" w:eastAsia="Times New Roman" w:hAnsi="Times New Roman"/>
          <w:sz w:val="21"/>
          <w:szCs w:val="21"/>
          <w:color w:val="auto"/>
        </w:rPr>
      </w:pPr>
    </w:p>
    <w:p>
      <w:pPr>
        <w:ind w:right="140" w:firstLine="621"/>
        <w:spacing w:after="0" w:line="235" w:lineRule="auto"/>
        <w:tabs>
          <w:tab w:leader="none" w:pos="123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certified copies, dated as of a recent date, of searches for financing statements filed in the central filing office of the State of Delaware and with the Companies House;</w:t>
      </w:r>
    </w:p>
    <w:p>
      <w:pPr>
        <w:spacing w:after="0" w:line="145" w:lineRule="exact"/>
        <w:rPr>
          <w:rFonts w:ascii="Times New Roman" w:cs="Times New Roman" w:eastAsia="Times New Roman" w:hAnsi="Times New Roman"/>
          <w:sz w:val="21"/>
          <w:szCs w:val="21"/>
          <w:color w:val="auto"/>
        </w:rPr>
      </w:pPr>
    </w:p>
    <w:p>
      <w:pPr>
        <w:jc w:val="both"/>
        <w:ind w:right="80" w:firstLine="621"/>
        <w:spacing w:after="0" w:line="225" w:lineRule="auto"/>
        <w:tabs>
          <w:tab w:leader="none" w:pos="122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to any UK PSC Loan Party, a copy of the PSC Register together with confirmation from an authorized signatory that no “warning notice” or “restrictions notice” (in each case as defined in Schedule 1B of the Companies Act 2006) has been issued in respect of the shares pledged as Collateral;</w:t>
      </w:r>
    </w:p>
    <w:p>
      <w:pPr>
        <w:spacing w:after="0" w:line="145" w:lineRule="exact"/>
        <w:rPr>
          <w:rFonts w:ascii="Times New Roman" w:cs="Times New Roman" w:eastAsia="Times New Roman" w:hAnsi="Times New Roman"/>
          <w:sz w:val="21"/>
          <w:szCs w:val="21"/>
          <w:color w:val="auto"/>
        </w:rPr>
      </w:pPr>
    </w:p>
    <w:p>
      <w:pPr>
        <w:ind w:right="120" w:firstLine="621"/>
        <w:spacing w:after="0" w:line="235" w:lineRule="auto"/>
        <w:tabs>
          <w:tab w:leader="none" w:pos="122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current searches at the U.S. Patent and Trademark Office or the U.S. Copyright Office (and the equivalent in the UK), as applicable, listing issued or pending Current Company IP of Borrower;</w:t>
      </w:r>
    </w:p>
    <w:p>
      <w:pPr>
        <w:spacing w:after="0" w:line="145" w:lineRule="exact"/>
        <w:rPr>
          <w:rFonts w:ascii="Times New Roman" w:cs="Times New Roman" w:eastAsia="Times New Roman" w:hAnsi="Times New Roman"/>
          <w:sz w:val="21"/>
          <w:szCs w:val="21"/>
          <w:color w:val="auto"/>
        </w:rPr>
      </w:pPr>
    </w:p>
    <w:p>
      <w:pPr>
        <w:ind w:right="300" w:firstLine="621"/>
        <w:spacing w:after="0" w:line="220" w:lineRule="auto"/>
        <w:tabs>
          <w:tab w:leader="none" w:pos="1233"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Initial Facility Charge and reimbursement of Agent’s and the Lenders’ current expenses reimbursable pursuant to this Agreement, which amounts may be deducted from the initial Advance, it being understood and agreed that the Due Diligence Fee previously paid shall be applied to the payment of the non-legal transaction costs and due diligence expenses</w:t>
      </w:r>
    </w:p>
    <w:p>
      <w:pPr>
        <w:spacing w:after="0" w:line="145" w:lineRule="exact"/>
        <w:rPr>
          <w:rFonts w:ascii="Times New Roman" w:cs="Times New Roman" w:eastAsia="Times New Roman" w:hAnsi="Times New Roman"/>
          <w:sz w:val="21"/>
          <w:szCs w:val="21"/>
          <w:color w:val="auto"/>
        </w:rPr>
      </w:pPr>
    </w:p>
    <w:p>
      <w:pPr>
        <w:ind w:left="1220" w:hanging="599"/>
        <w:spacing w:after="0"/>
        <w:tabs>
          <w:tab w:leader="none" w:pos="122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certificates of insurance, endorsements and copies of each insurance policy required hereunder; and</w:t>
      </w:r>
    </w:p>
    <w:p>
      <w:pPr>
        <w:spacing w:after="0" w:line="200" w:lineRule="exact"/>
        <w:rPr>
          <w:sz w:val="20"/>
          <w:szCs w:val="20"/>
          <w:color w:val="auto"/>
        </w:rPr>
      </w:pPr>
    </w:p>
    <w:p>
      <w:pPr>
        <w:spacing w:after="0" w:line="37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35</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00"/>
          </w:cols>
          <w:pgMar w:left="940" w:top="1339" w:right="359" w:bottom="1440" w:gutter="0" w:footer="0" w:header="0"/>
        </w:sectPr>
      </w:pPr>
    </w:p>
    <w:bookmarkStart w:id="138" w:name="page139"/>
    <w:bookmarkEnd w:id="138"/>
    <w:p>
      <w:pPr>
        <w:ind w:left="1840" w:hanging="599"/>
        <w:spacing w:after="0"/>
        <w:tabs>
          <w:tab w:leader="none" w:pos="184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documents as Agent may reasonably request.</w:t>
      </w:r>
    </w:p>
    <w:p>
      <w:pPr>
        <w:spacing w:after="0" w:line="171"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4.2    All Advances. On each Advance Date:</w:t>
      </w:r>
    </w:p>
    <w:p>
      <w:pPr>
        <w:spacing w:after="0" w:line="171" w:lineRule="exact"/>
        <w:rPr>
          <w:sz w:val="20"/>
          <w:szCs w:val="20"/>
          <w:color w:val="auto"/>
        </w:rPr>
      </w:pPr>
    </w:p>
    <w:p>
      <w:pPr>
        <w:ind w:left="620" w:right="200" w:firstLine="621"/>
        <w:spacing w:after="0" w:line="217" w:lineRule="auto"/>
        <w:tabs>
          <w:tab w:leader="none" w:pos="185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(i) an Advance Request for the relevant Advance as required by Section 2.2(g), each duly executed by Borrower’s Chief Executive Officer or Chief Financial Officer, and (ii) any other documents related to Borrower’s business or financial condition that Agent, in good faith, may reasonably request promptly upon or prior to its receipt of such Advance Request, so long as such request does not result in the intentional delay or denial of the relevant Advance without cause.</w:t>
      </w:r>
    </w:p>
    <w:p>
      <w:pPr>
        <w:spacing w:after="0" w:line="145" w:lineRule="exact"/>
        <w:rPr>
          <w:rFonts w:ascii="Times New Roman" w:cs="Times New Roman" w:eastAsia="Times New Roman" w:hAnsi="Times New Roman"/>
          <w:sz w:val="21"/>
          <w:szCs w:val="21"/>
          <w:color w:val="auto"/>
        </w:rPr>
      </w:pPr>
    </w:p>
    <w:p>
      <w:pPr>
        <w:ind w:left="620" w:firstLine="621"/>
        <w:spacing w:after="0" w:line="225" w:lineRule="auto"/>
        <w:tabs>
          <w:tab w:leader="none" w:pos="185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32"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and immediately after such Advance no Default or Event of Default shall have occurred and be</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continuing.</w:t>
      </w:r>
    </w:p>
    <w:p>
      <w:pPr>
        <w:spacing w:after="0" w:line="149" w:lineRule="exact"/>
        <w:rPr>
          <w:rFonts w:ascii="Times New Roman" w:cs="Times New Roman" w:eastAsia="Times New Roman" w:hAnsi="Times New Roman"/>
          <w:sz w:val="21"/>
          <w:szCs w:val="21"/>
          <w:color w:val="auto"/>
        </w:rPr>
      </w:pPr>
    </w:p>
    <w:p>
      <w:pPr>
        <w:ind w:left="620" w:right="280" w:firstLine="621"/>
        <w:spacing w:after="0" w:line="235" w:lineRule="auto"/>
        <w:tabs>
          <w:tab w:leader="none" w:pos="185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initial Tranche 3 Advance, Borrower shall have paid the Tranche 3 Facility Charge (which amount may be deducted from such Tranche 3 Advance).</w:t>
      </w:r>
    </w:p>
    <w:p>
      <w:pPr>
        <w:spacing w:after="0" w:line="145" w:lineRule="exact"/>
        <w:rPr>
          <w:rFonts w:ascii="Times New Roman" w:cs="Times New Roman" w:eastAsia="Times New Roman" w:hAnsi="Times New Roman"/>
          <w:sz w:val="21"/>
          <w:szCs w:val="21"/>
          <w:color w:val="auto"/>
        </w:rPr>
      </w:pPr>
    </w:p>
    <w:p>
      <w:pPr>
        <w:ind w:left="620" w:right="100" w:firstLine="621"/>
        <w:spacing w:after="0" w:line="235" w:lineRule="auto"/>
        <w:tabs>
          <w:tab w:leader="none" w:pos="185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Tranche 4 Advance, Borrower shall have paid the Tranche 4 Facility Charge (which amount may be deducted from such Tranche 4 Advance).</w:t>
      </w:r>
    </w:p>
    <w:p>
      <w:pPr>
        <w:spacing w:after="0" w:line="145" w:lineRule="exact"/>
        <w:rPr>
          <w:rFonts w:ascii="Times New Roman" w:cs="Times New Roman" w:eastAsia="Times New Roman" w:hAnsi="Times New Roman"/>
          <w:sz w:val="21"/>
          <w:szCs w:val="21"/>
          <w:color w:val="auto"/>
        </w:rPr>
      </w:pPr>
    </w:p>
    <w:p>
      <w:pPr>
        <w:ind w:left="620" w:right="100" w:firstLine="621"/>
        <w:spacing w:after="0" w:line="235" w:lineRule="auto"/>
        <w:tabs>
          <w:tab w:leader="none" w:pos="185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Tranche 5 Advance, Borrower shall have paid the Tranche 5 Facility Charge (which amount may be deducted from such Tranche 5 Advance).</w:t>
      </w:r>
    </w:p>
    <w:p>
      <w:pPr>
        <w:spacing w:after="0" w:line="145" w:lineRule="exact"/>
        <w:rPr>
          <w:rFonts w:ascii="Times New Roman" w:cs="Times New Roman" w:eastAsia="Times New Roman" w:hAnsi="Times New Roman"/>
          <w:sz w:val="21"/>
          <w:szCs w:val="21"/>
          <w:color w:val="auto"/>
        </w:rPr>
      </w:pPr>
    </w:p>
    <w:p>
      <w:pPr>
        <w:ind w:left="620" w:right="100" w:firstLine="621"/>
        <w:spacing w:after="0" w:line="235" w:lineRule="auto"/>
        <w:tabs>
          <w:tab w:leader="none" w:pos="185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Tranche 6 Advance, Borrower shall have paid the Tranche 6 Facility Charge (which amount may be deducted from such Tranche 6 Advance).</w:t>
      </w:r>
    </w:p>
    <w:p>
      <w:pPr>
        <w:spacing w:after="0" w:line="145" w:lineRule="exact"/>
        <w:rPr>
          <w:rFonts w:ascii="Times New Roman" w:cs="Times New Roman" w:eastAsia="Times New Roman" w:hAnsi="Times New Roman"/>
          <w:sz w:val="21"/>
          <w:szCs w:val="21"/>
          <w:color w:val="auto"/>
        </w:rPr>
      </w:pPr>
    </w:p>
    <w:p>
      <w:pPr>
        <w:ind w:left="620" w:right="120" w:firstLine="621"/>
        <w:spacing w:after="0" w:line="225" w:lineRule="auto"/>
        <w:tabs>
          <w:tab w:leader="none" w:pos="185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46" w:lineRule="exact"/>
        <w:rPr>
          <w:sz w:val="20"/>
          <w:szCs w:val="20"/>
          <w:color w:val="auto"/>
        </w:rPr>
      </w:pPr>
    </w:p>
    <w:p>
      <w:pPr>
        <w:ind w:right="160" w:firstLine="619"/>
        <w:spacing w:after="0" w:line="225" w:lineRule="auto"/>
        <w:rPr>
          <w:sz w:val="20"/>
          <w:szCs w:val="20"/>
          <w:color w:val="auto"/>
        </w:rPr>
      </w:pPr>
      <w:r>
        <w:rPr>
          <w:rFonts w:ascii="Times New Roman" w:cs="Times New Roman" w:eastAsia="Times New Roman" w:hAnsi="Times New Roman"/>
          <w:sz w:val="21"/>
          <w:szCs w:val="21"/>
          <w:color w:val="auto"/>
        </w:rPr>
        <w:t>4.3 No Default. As of the Closing Date and each Advance Date, (i) no Default or Event of Default shall have occurred and be continuing, and (ii) no event that has had or could reasonably be expected to have a Material Adverse Effect has occurred and is continuing.</w:t>
      </w:r>
    </w:p>
    <w:p>
      <w:pPr>
        <w:spacing w:after="0" w:line="146" w:lineRule="exact"/>
        <w:rPr>
          <w:sz w:val="20"/>
          <w:szCs w:val="20"/>
          <w:color w:val="auto"/>
        </w:rPr>
      </w:pPr>
    </w:p>
    <w:p>
      <w:pPr>
        <w:ind w:right="140" w:firstLine="619"/>
        <w:spacing w:after="0" w:line="235" w:lineRule="auto"/>
        <w:rPr>
          <w:sz w:val="20"/>
          <w:szCs w:val="20"/>
          <w:color w:val="auto"/>
        </w:rPr>
      </w:pPr>
      <w:r>
        <w:rPr>
          <w:rFonts w:ascii="Times New Roman" w:cs="Times New Roman" w:eastAsia="Times New Roman" w:hAnsi="Times New Roman"/>
          <w:sz w:val="21"/>
          <w:szCs w:val="21"/>
          <w:color w:val="auto"/>
        </w:rPr>
        <w:t>4.4 Post-Closing Deliverables. Borrower shall deliver the documents or satisfy the conditions, as applicable, in accordance with Schedule 4.4 hereto.</w:t>
      </w:r>
    </w:p>
    <w:p>
      <w:pPr>
        <w:spacing w:after="0" w:line="142" w:lineRule="exact"/>
        <w:rPr>
          <w:sz w:val="20"/>
          <w:szCs w:val="20"/>
          <w:color w:val="auto"/>
        </w:rPr>
      </w:pPr>
    </w:p>
    <w:p>
      <w:pPr>
        <w:ind w:left="620" w:right="2160" w:firstLine="1590"/>
        <w:spacing w:after="0" w:line="465"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b w:val="1"/>
          <w:bCs w:val="1"/>
          <w:u w:val="single" w:color="auto"/>
          <w:color w:val="auto"/>
        </w:rPr>
        <w:t>REPRESENTATIONS AND WARRANTIES OF BORROWER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represents and warrants that:</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36</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339" w:right="379" w:bottom="1440" w:gutter="0" w:footer="0" w:header="0"/>
        </w:sectPr>
      </w:pPr>
    </w:p>
    <w:bookmarkStart w:id="139" w:name="page140"/>
    <w:bookmarkEnd w:id="139"/>
    <w:p>
      <w:pPr>
        <w:ind w:firstLine="619"/>
        <w:spacing w:after="0" w:line="213" w:lineRule="auto"/>
        <w:rPr>
          <w:sz w:val="20"/>
          <w:szCs w:val="20"/>
          <w:color w:val="auto"/>
        </w:rPr>
      </w:pPr>
      <w:r>
        <w:rPr>
          <w:rFonts w:ascii="Times New Roman" w:cs="Times New Roman" w:eastAsia="Times New Roman" w:hAnsi="Times New Roman"/>
          <w:sz w:val="21"/>
          <w:szCs w:val="21"/>
          <w:color w:val="auto"/>
        </w:rPr>
        <w:t>5.1 Corporate Status. Each Borrower is an entity of the type described on Exhibit B, duly organized, legally existing and, to the extent applicable, is in good standing under the laws of its applicable jurisdiction or state of formation, and, to the extent applicable, is duly qualified as a foreign corporation in all jurisdictions in which the nature of its business or location of its properties require such qualifications and where the failure to be qualified would reasonably be expected to have a Material Adverse Effect. Borrower’s present name, former names (if any), locations, place of formation, Tax identification number, organizational identification number, if applicable, and other information are correctly set forth in Exhibit B, as may be updated by Borrower in a written notice (including any Compliance Certificate) provided to Agent after the Closing Date.</w:t>
      </w:r>
    </w:p>
    <w:p>
      <w:pPr>
        <w:spacing w:after="0" w:line="150" w:lineRule="exact"/>
        <w:rPr>
          <w:sz w:val="20"/>
          <w:szCs w:val="20"/>
          <w:color w:val="auto"/>
        </w:rPr>
      </w:pPr>
    </w:p>
    <w:p>
      <w:pPr>
        <w:ind w:right="480" w:firstLine="619"/>
        <w:spacing w:after="0" w:line="235" w:lineRule="auto"/>
        <w:rPr>
          <w:sz w:val="20"/>
          <w:szCs w:val="20"/>
          <w:color w:val="auto"/>
        </w:rPr>
      </w:pPr>
      <w:r>
        <w:rPr>
          <w:rFonts w:ascii="Times New Roman" w:cs="Times New Roman" w:eastAsia="Times New Roman" w:hAnsi="Times New Roman"/>
          <w:sz w:val="21"/>
          <w:szCs w:val="21"/>
          <w:color w:val="auto"/>
        </w:rPr>
        <w:t>5.2 Collateral. Borrower owns the Collateral, free of all Liens, except for Permitted Liens. Borrower has the power and authority to grant to Agent a Lien in the Collateral as security for the Secured Obligations.</w:t>
      </w:r>
    </w:p>
    <w:p>
      <w:pPr>
        <w:spacing w:after="0" w:line="146" w:lineRule="exact"/>
        <w:rPr>
          <w:sz w:val="20"/>
          <w:szCs w:val="20"/>
          <w:color w:val="auto"/>
        </w:rPr>
      </w:pPr>
    </w:p>
    <w:p>
      <w:pPr>
        <w:ind w:right="40" w:firstLine="619"/>
        <w:spacing w:after="0" w:line="213" w:lineRule="auto"/>
        <w:rPr>
          <w:sz w:val="20"/>
          <w:szCs w:val="20"/>
          <w:color w:val="auto"/>
        </w:rPr>
      </w:pPr>
      <w:r>
        <w:rPr>
          <w:rFonts w:ascii="Times New Roman" w:cs="Times New Roman" w:eastAsia="Times New Roman" w:hAnsi="Times New Roman"/>
          <w:sz w:val="21"/>
          <w:szCs w:val="21"/>
          <w:color w:val="auto"/>
        </w:rPr>
        <w:t>5.3 Consents. Borrower’s execution, delivery and performance of this Agreement and all other Loan Documents, (i) have been duly authorized by all necessary corporate or other requisite action of Borrower, (ii) will not result in the creation or imposition of any Lien upon the Collateral, other than Permitted Liens and the Liens created by this Agreement and the other Loan Documents, (iii) do not violate any provisions of Borrower’s constitutional or governing documents, (iv) do not violate any material law, regulation, order, injunction, judgment, decree or writ to which Borrower is subject and (v) except as described on Schedule 5.3, do not violate any material contract or agreement or require the consent or approval of any other Person which has not already been obtained. The individual or individuals executing the Loan Documents are duly authorized to do so.</w:t>
      </w:r>
    </w:p>
    <w:p>
      <w:pPr>
        <w:spacing w:after="0" w:line="150" w:lineRule="exact"/>
        <w:rPr>
          <w:sz w:val="20"/>
          <w:szCs w:val="20"/>
          <w:color w:val="auto"/>
        </w:rPr>
      </w:pPr>
    </w:p>
    <w:p>
      <w:pPr>
        <w:ind w:right="240" w:firstLine="619"/>
        <w:spacing w:after="0" w:line="225" w:lineRule="auto"/>
        <w:rPr>
          <w:sz w:val="20"/>
          <w:szCs w:val="20"/>
          <w:color w:val="auto"/>
        </w:rPr>
      </w:pPr>
      <w:r>
        <w:rPr>
          <w:rFonts w:ascii="Times New Roman" w:cs="Times New Roman" w:eastAsia="Times New Roman" w:hAnsi="Times New Roman"/>
          <w:sz w:val="21"/>
          <w:szCs w:val="21"/>
          <w:color w:val="auto"/>
        </w:rPr>
        <w:t>5.4 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46" w:lineRule="exact"/>
        <w:rPr>
          <w:sz w:val="20"/>
          <w:szCs w:val="20"/>
          <w:color w:val="auto"/>
        </w:rPr>
      </w:pPr>
    </w:p>
    <w:p>
      <w:pPr>
        <w:ind w:right="160" w:firstLine="619"/>
        <w:spacing w:after="0" w:line="225" w:lineRule="auto"/>
        <w:rPr>
          <w:sz w:val="20"/>
          <w:szCs w:val="20"/>
          <w:color w:val="auto"/>
        </w:rPr>
      </w:pPr>
      <w:r>
        <w:rPr>
          <w:rFonts w:ascii="Times New Roman" w:cs="Times New Roman" w:eastAsia="Times New Roman" w:hAnsi="Times New Roman"/>
          <w:sz w:val="21"/>
          <w:szCs w:val="21"/>
          <w:color w:val="auto"/>
        </w:rPr>
        <w:t>5.5 Actions Before Governmental Authorities. There are no actions, suits or proceedings at law or in equity or by or before any governmental authority now pending or, to the knowledge of Borrower, threatened against or affecting Borrower or its property, that is reasonably expected to result in a Material Adverse Effect.</w:t>
      </w:r>
    </w:p>
    <w:p>
      <w:pPr>
        <w:spacing w:after="0" w:line="146" w:lineRule="exact"/>
        <w:rPr>
          <w:sz w:val="20"/>
          <w:szCs w:val="20"/>
          <w:color w:val="auto"/>
        </w:rPr>
      </w:pPr>
    </w:p>
    <w:p>
      <w:pPr>
        <w:ind w:right="520" w:firstLine="619"/>
        <w:spacing w:after="0" w:line="220" w:lineRule="auto"/>
        <w:rPr>
          <w:sz w:val="20"/>
          <w:szCs w:val="20"/>
          <w:color w:val="auto"/>
        </w:rPr>
      </w:pPr>
      <w:r>
        <w:rPr>
          <w:rFonts w:ascii="Times New Roman" w:cs="Times New Roman" w:eastAsia="Times New Roman" w:hAnsi="Times New Roman"/>
          <w:sz w:val="21"/>
          <w:szCs w:val="21"/>
          <w:color w:val="auto"/>
        </w:rPr>
        <w:t>5.6 Laws.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material Indebtedness, or any other material agreement to which it is a party or by which it is bound.</w:t>
      </w:r>
    </w:p>
    <w:p>
      <w:pPr>
        <w:spacing w:after="0" w:line="172"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1"/>
          <w:szCs w:val="21"/>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37</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40" w:name="page141"/>
    <w:bookmarkEnd w:id="140"/>
    <w:p>
      <w:pPr>
        <w:jc w:val="both"/>
        <w:ind w:right="120"/>
        <w:spacing w:after="0" w:line="275" w:lineRule="auto"/>
        <w:rPr>
          <w:sz w:val="20"/>
          <w:szCs w:val="20"/>
          <w:color w:val="auto"/>
        </w:rPr>
      </w:pPr>
      <w:r>
        <w:rPr>
          <w:rFonts w:ascii="Times New Roman" w:cs="Times New Roman" w:eastAsia="Times New Roman" w:hAnsi="Times New Roman"/>
          <w:sz w:val="20"/>
          <w:szCs w:val="20"/>
          <w:color w:val="auto"/>
        </w:rPr>
        <w:t>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6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1"/>
          <w:szCs w:val="21"/>
          <w:color w:val="auto"/>
        </w:rPr>
        <w:t>None of Borrower, any of its Subsidiaries, nor, to Borrower’s knowledge, any of Borrower’s or its Subsidiaries’ Affiliates or any of their respective agents, acting or benefiting in any capacity in connection with the transactions contemplated by this Agreement is (i) in violation of any Anti Terrorism Law, (ii) engaging in or conspiring to engage in any transaction that evades or avoids, or has the purpose of evading or avoiding or attempts to violate, any of the prohibitions set forth in any Anti Terrorism Law, or (iii) is a Blocked Person. None of Borrower, any of its Subsidiaries, nor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 Terrorism Law. None of the funds to be provided under this Agreement will be used, directly or indirectly, (a) for any activities in violation of any applicable anti-money laundering, economic sanctions and anti-bribery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60" w:lineRule="exact"/>
        <w:rPr>
          <w:sz w:val="20"/>
          <w:szCs w:val="20"/>
          <w:color w:val="auto"/>
        </w:rPr>
      </w:pPr>
    </w:p>
    <w:p>
      <w:pPr>
        <w:ind w:right="40" w:firstLine="619"/>
        <w:spacing w:after="0" w:line="217" w:lineRule="auto"/>
        <w:rPr>
          <w:sz w:val="20"/>
          <w:szCs w:val="20"/>
          <w:color w:val="auto"/>
        </w:rPr>
      </w:pPr>
      <w:r>
        <w:rPr>
          <w:rFonts w:ascii="Times New Roman" w:cs="Times New Roman" w:eastAsia="Times New Roman" w:hAnsi="Times New Roman"/>
          <w:sz w:val="20"/>
          <w:szCs w:val="20"/>
          <w:color w:val="auto"/>
        </w:rPr>
        <w:t>5.7 Information Correct and Current. No information, report, Advance Request, financial statement, exhibit or schedule (other than financial or business projections or forecasts) furnished, by or on behalf of Borrower to Agent in connection with any Loan Document or included therein or delivered pursuant thereto, when taken as a whole, contained, contains or will contain any material misstatement of fact or, when taken together with all other such information or documents, omitted, omits or will omit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or forecasts provided by Borrower to Agent, whether prior to or after the Closing Date, shall be (i) provided in good faith and based on the most current data and information available to Borrower, and (ii) the most current of such projections or forecasts provided to Borrower’s Board of Directors; it being understood by the Agent and the Lender that such projections or forecasts as to future events</w:t>
      </w:r>
    </w:p>
    <w:p>
      <w:pPr>
        <w:spacing w:after="0" w:line="7" w:lineRule="exact"/>
        <w:rPr>
          <w:sz w:val="20"/>
          <w:szCs w:val="20"/>
          <w:color w:val="auto"/>
        </w:rPr>
      </w:pPr>
    </w:p>
    <w:p>
      <w:pPr>
        <w:jc w:val="both"/>
        <w:ind w:right="40" w:firstLine="3"/>
        <w:spacing w:after="0" w:line="225" w:lineRule="auto"/>
        <w:tabs>
          <w:tab w:leader="none" w:pos="29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not to be viewed as facts, (y)(1) are subject to significant uncertainties and contingencies, many of which are beyond the control of Borrower, (2) no assurance is given by Borrower that the results forecast in any such projections or forecasts will be realized, and (3) the actual results during the period or periods covered by any such projections or forecasts may differ from the forecast results set forth in such projections or forecasts and such differences may be material, and (z) are not a guarantee of performance.</w:t>
      </w:r>
    </w:p>
    <w:p>
      <w:pPr>
        <w:spacing w:after="0" w:line="147" w:lineRule="exact"/>
        <w:rPr>
          <w:sz w:val="20"/>
          <w:szCs w:val="20"/>
          <w:color w:val="auto"/>
        </w:rPr>
      </w:pPr>
    </w:p>
    <w:p>
      <w:pPr>
        <w:ind w:right="400" w:firstLine="619"/>
        <w:spacing w:after="0" w:line="225" w:lineRule="auto"/>
        <w:rPr>
          <w:sz w:val="20"/>
          <w:szCs w:val="20"/>
          <w:color w:val="auto"/>
        </w:rPr>
      </w:pPr>
      <w:r>
        <w:rPr>
          <w:rFonts w:ascii="Times New Roman" w:cs="Times New Roman" w:eastAsia="Times New Roman" w:hAnsi="Times New Roman"/>
          <w:sz w:val="21"/>
          <w:szCs w:val="21"/>
          <w:color w:val="auto"/>
        </w:rPr>
        <w:t>5.8 Tax Matters. Except as described on Schedule 5.8,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41" w:name="page142"/>
    <w:bookmarkEnd w:id="141"/>
    <w:p>
      <w:pPr>
        <w:ind w:right="20"/>
        <w:spacing w:after="0" w:line="220" w:lineRule="auto"/>
        <w:rPr>
          <w:sz w:val="20"/>
          <w:szCs w:val="20"/>
          <w:color w:val="auto"/>
        </w:rPr>
      </w:pPr>
      <w:r>
        <w:rPr>
          <w:rFonts w:ascii="Times New Roman" w:cs="Times New Roman" w:eastAsia="Times New Roman" w:hAnsi="Times New Roman"/>
          <w:sz w:val="21"/>
          <w:szCs w:val="21"/>
          <w:color w:val="auto"/>
        </w:rPr>
        <w:t>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would reasonably be expected to have, individually or in the aggregate, a Material Adverse Effect.</w:t>
      </w:r>
    </w:p>
    <w:p>
      <w:pPr>
        <w:spacing w:after="0" w:line="146" w:lineRule="exact"/>
        <w:rPr>
          <w:sz w:val="20"/>
          <w:szCs w:val="20"/>
          <w:color w:val="auto"/>
        </w:rPr>
      </w:pPr>
    </w:p>
    <w:p>
      <w:pPr>
        <w:ind w:right="140" w:firstLine="619"/>
        <w:spacing w:after="0" w:line="210" w:lineRule="auto"/>
        <w:rPr>
          <w:sz w:val="20"/>
          <w:szCs w:val="20"/>
          <w:color w:val="auto"/>
        </w:rPr>
      </w:pPr>
      <w:r>
        <w:rPr>
          <w:rFonts w:ascii="Times New Roman" w:cs="Times New Roman" w:eastAsia="Times New Roman" w:hAnsi="Times New Roman"/>
          <w:sz w:val="21"/>
          <w:szCs w:val="21"/>
          <w:color w:val="auto"/>
        </w:rPr>
        <w:t>5.9 Current Company IP Claims. Borrower is the sole owner of, or otherwise has the right to use, the Current Company IP material to Borrower’s business. Except as described on Schedule 5.9, (i) to the knowledge of any Borrower, each of the material Copyrights, Trademarks and Patents is valid and enforceable, (ii) no material part of the Current Company IP has been judged invalid or unenforceable, in whole or in part, and (iii) no claim has been made to Borrower that any material part of the Current Company IP violates the rights of any third party. Section 5 of the Perfection Certificate contains a true, correct and complete list of each of Borrower’s Patents, registered Trademarks, registered Copyrights, and material agreements under which Borrower licenses Current Company IP from third parties (other than shrink-wrap software licenses),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5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5.10</w:t>
      </w:r>
      <w:r>
        <w:rPr>
          <w:sz w:val="20"/>
          <w:szCs w:val="20"/>
          <w:color w:val="auto"/>
        </w:rPr>
        <w:tab/>
      </w:r>
      <w:r>
        <w:rPr>
          <w:rFonts w:ascii="Times New Roman" w:cs="Times New Roman" w:eastAsia="Times New Roman" w:hAnsi="Times New Roman"/>
          <w:sz w:val="20"/>
          <w:szCs w:val="20"/>
          <w:color w:val="auto"/>
        </w:rPr>
        <w:t>Current Company IP.</w:t>
      </w:r>
    </w:p>
    <w:p>
      <w:pPr>
        <w:spacing w:after="0" w:line="171" w:lineRule="exact"/>
        <w:rPr>
          <w:sz w:val="20"/>
          <w:szCs w:val="20"/>
          <w:color w:val="auto"/>
        </w:rPr>
      </w:pPr>
    </w:p>
    <w:p>
      <w:pPr>
        <w:ind w:left="620" w:right="60" w:firstLine="621"/>
        <w:spacing w:after="0" w:line="217" w:lineRule="auto"/>
        <w:tabs>
          <w:tab w:leader="none" w:pos="185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true, correct and complete list of each pending, registered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Products, and is owned or co-owned by or exclusively or non-exclusively licensed to Borrower or any of its Subsidiaries (collectively, the “Current Company IP”), including its name/title, current owner or co-owners (including ownership interest), registration, patent or application number, and registration or application date, issued or filed in the United States of America, is set forth on Schedule 5.10(a). Except as set forth on Schedule 5.10(a), (i) (A) to the knowledge of any Borrower,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w:t>
      </w:r>
    </w:p>
    <w:p>
      <w:pPr>
        <w:spacing w:after="0" w:line="3" w:lineRule="exact"/>
        <w:rPr>
          <w:rFonts w:ascii="Times New Roman" w:cs="Times New Roman" w:eastAsia="Times New Roman" w:hAnsi="Times New Roman"/>
          <w:sz w:val="20"/>
          <w:szCs w:val="20"/>
          <w:color w:val="auto"/>
        </w:rPr>
      </w:pPr>
    </w:p>
    <w:p>
      <w:pPr>
        <w:ind w:left="620" w:firstLine="2"/>
        <w:spacing w:after="0" w:line="208" w:lineRule="auto"/>
        <w:tabs>
          <w:tab w:leader="none" w:pos="92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each such item of Current Company IP which is licensed from another Person is valid, subsisting and enforceable and no such item of Current Company IP has lapsed, expired, been canceled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any Borrower, there are no published Patents, Patent applications, articles or prior art references (other than prior art cited in any of Borrower’s patent prosecution) that would reasonably be expected to materially adversely affect the exploitation of the Products. Except as set forth on Schedule 5.10(a), (x) each Person who has or has had any rights in or to owned Current Company IP or any trade secrets owned by Borrower or any of its Subsidiaries, including each inventor named on the Patents within such owned Current Company IP filed by Borrower or any of its Subsidiaries, has executed an agreement assigning his, her or its entire right, title and interest in and to such owned Current Company IP and such trade secrets, and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39</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42" w:name="page143"/>
    <w:bookmarkEnd w:id="142"/>
    <w:p>
      <w:pPr>
        <w:ind w:right="60"/>
        <w:spacing w:after="0" w:line="236" w:lineRule="auto"/>
        <w:rPr>
          <w:sz w:val="20"/>
          <w:szCs w:val="20"/>
          <w:color w:val="auto"/>
        </w:rPr>
      </w:pPr>
      <w:r>
        <w:rPr>
          <w:rFonts w:ascii="Times New Roman" w:cs="Times New Roman" w:eastAsia="Times New Roman" w:hAnsi="Times New Roman"/>
          <w:sz w:val="20"/>
          <w:szCs w:val="20"/>
          <w:color w:val="auto"/>
        </w:rPr>
        <w:t>inventions, improvements,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Products or entitle such Person to ongoing payments.</w:t>
      </w:r>
    </w:p>
    <w:p>
      <w:pPr>
        <w:spacing w:after="0" w:line="147" w:lineRule="exact"/>
        <w:rPr>
          <w:sz w:val="20"/>
          <w:szCs w:val="20"/>
          <w:color w:val="auto"/>
        </w:rPr>
      </w:pPr>
    </w:p>
    <w:p>
      <w:pPr>
        <w:ind w:right="40" w:firstLine="621"/>
        <w:spacing w:after="0" w:line="235" w:lineRule="auto"/>
        <w:tabs>
          <w:tab w:leader="none" w:pos="123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Borrower or any of its Subsidiaries possesses valid title to the Current Company IP for which it is listed as the owner or co-owner, as applicable, on Schedule 5.10(a); and (ii) there are no Liens on any Current Company IP.</w:t>
      </w:r>
    </w:p>
    <w:p>
      <w:pPr>
        <w:spacing w:after="0" w:line="145" w:lineRule="exact"/>
        <w:rPr>
          <w:rFonts w:ascii="Times New Roman" w:cs="Times New Roman" w:eastAsia="Times New Roman" w:hAnsi="Times New Roman"/>
          <w:sz w:val="21"/>
          <w:szCs w:val="21"/>
          <w:color w:val="auto"/>
        </w:rPr>
      </w:pPr>
    </w:p>
    <w:p>
      <w:pPr>
        <w:ind w:right="100" w:firstLine="621"/>
        <w:spacing w:after="0" w:line="215" w:lineRule="auto"/>
        <w:tabs>
          <w:tab w:leader="none" w:pos="123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maintenance, annuity or renewal fees that are currently overdue beyond their allotted grace period for any of the Current Company IP which is owned or exclusively licensed to Borrower or any of its Subsidiaries, nor have any applications or registrations therefore lapsed or become abandoned, been cancelled or expired. There are no maintenance, annuity or renewal fees that are currently overdue beyond their allotted grace period for any of the Current Company IP which is non-exclusively licensed to Borrower or any of its Subsidiaries, nor have any applications or registrations therefor lapsed or become abandoned, been cancelled or expired.</w:t>
      </w:r>
    </w:p>
    <w:p>
      <w:pPr>
        <w:spacing w:after="0" w:line="145" w:lineRule="exact"/>
        <w:rPr>
          <w:rFonts w:ascii="Times New Roman" w:cs="Times New Roman" w:eastAsia="Times New Roman" w:hAnsi="Times New Roman"/>
          <w:sz w:val="21"/>
          <w:szCs w:val="21"/>
          <w:color w:val="auto"/>
        </w:rPr>
      </w:pPr>
    </w:p>
    <w:p>
      <w:pPr>
        <w:ind w:right="20" w:firstLine="621"/>
        <w:spacing w:after="0" w:line="223" w:lineRule="auto"/>
        <w:tabs>
          <w:tab w:leader="none" w:pos="123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Neither Borrower nor any of its Subsidiaries, as applicable, is in breach of or default in any manner that could reasonably be expected to materially affect the Products under any material agreement to which it is a party or may otherwise be bound, and no circumstances or grounds exists that would give rise to a claim of breach or right of rescission, termination, non-renewal, revision or amendment of any of the material agreements, including the execution, delivery and performance of this Agreement and the other Loan Documents.</w:t>
      </w:r>
    </w:p>
    <w:p>
      <w:pPr>
        <w:spacing w:after="0" w:line="146" w:lineRule="exact"/>
        <w:rPr>
          <w:rFonts w:ascii="Times New Roman" w:cs="Times New Roman" w:eastAsia="Times New Roman" w:hAnsi="Times New Roman"/>
          <w:sz w:val="20"/>
          <w:szCs w:val="20"/>
          <w:color w:val="auto"/>
        </w:rPr>
      </w:pPr>
    </w:p>
    <w:p>
      <w:pPr>
        <w:ind w:right="480" w:firstLine="621"/>
        <w:spacing w:after="0" w:line="225" w:lineRule="auto"/>
        <w:tabs>
          <w:tab w:leader="none" w:pos="123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payments by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145" w:lineRule="exact"/>
        <w:rPr>
          <w:rFonts w:ascii="Times New Roman" w:cs="Times New Roman" w:eastAsia="Times New Roman" w:hAnsi="Times New Roman"/>
          <w:sz w:val="21"/>
          <w:szCs w:val="21"/>
          <w:color w:val="auto"/>
        </w:rPr>
      </w:pPr>
    </w:p>
    <w:p>
      <w:pPr>
        <w:ind w:firstLine="621"/>
        <w:spacing w:after="0" w:line="217" w:lineRule="auto"/>
        <w:tabs>
          <w:tab w:leader="none" w:pos="1237"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Borrower nor any of its Subsidiaries has undertaken or omitted to undertake any acts, and to no circumstance or grounds exist, that would invalidate or render unenforceable (i) any Current Company IP in any manner that could reasonably be expected to materially adversely affect the Products, or (ii) in the case of Current Company IP owned or co-owned or exclusively or non-exclusively licensed by Borrower or any of its Subsidiaries, in each case except as set forth on Schedule 5.10(f), Borrower’s or Subsidiary’s entitlement to own or license and exploit such Current Company IP.</w:t>
      </w:r>
    </w:p>
    <w:p>
      <w:pPr>
        <w:spacing w:after="0" w:line="145" w:lineRule="exact"/>
        <w:rPr>
          <w:rFonts w:ascii="Times New Roman" w:cs="Times New Roman" w:eastAsia="Times New Roman" w:hAnsi="Times New Roman"/>
          <w:sz w:val="21"/>
          <w:szCs w:val="21"/>
          <w:color w:val="auto"/>
        </w:rPr>
      </w:pPr>
    </w:p>
    <w:p>
      <w:pPr>
        <w:ind w:right="180" w:firstLine="621"/>
        <w:spacing w:after="0" w:line="215" w:lineRule="auto"/>
        <w:tabs>
          <w:tab w:leader="none" w:pos="123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described on Schedule 5.9(g)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w:t>
      </w:r>
    </w:p>
    <w:p>
      <w:pPr>
        <w:spacing w:after="0" w:line="200" w:lineRule="exact"/>
        <w:rPr>
          <w:sz w:val="20"/>
          <w:szCs w:val="20"/>
          <w:color w:val="auto"/>
        </w:rPr>
      </w:pPr>
    </w:p>
    <w:p>
      <w:pPr>
        <w:spacing w:after="0" w:line="3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40</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00"/>
          </w:cols>
          <w:pgMar w:left="940" w:top="1339" w:right="359" w:bottom="1440" w:gutter="0" w:footer="0" w:header="0"/>
        </w:sectPr>
      </w:pPr>
    </w:p>
    <w:bookmarkStart w:id="143" w:name="page144"/>
    <w:bookmarkEnd w:id="143"/>
    <w:p>
      <w:pPr>
        <w:jc w:val="both"/>
        <w:ind w:right="180"/>
        <w:spacing w:after="0" w:line="225" w:lineRule="auto"/>
        <w:rPr>
          <w:sz w:val="20"/>
          <w:szCs w:val="20"/>
          <w:color w:val="auto"/>
        </w:rPr>
      </w:pPr>
      <w:r>
        <w:rPr>
          <w:rFonts w:ascii="Times New Roman" w:cs="Times New Roman" w:eastAsia="Times New Roman" w:hAnsi="Times New Roman"/>
          <w:sz w:val="21"/>
          <w:szCs w:val="21"/>
          <w:color w:val="auto"/>
        </w:rPr>
        <w:t>Subsidiaries (collectively referred to hereinafter as “Specified Disputes”), nor to the knowledge of any Borrower, has any such Specified Dispute been threatened in writing, in each case challenging the legality, validity, enforceability or ownership of any Current Company IP, in each case that would have a material adverse effect on the Products.</w:t>
      </w:r>
    </w:p>
    <w:p>
      <w:pPr>
        <w:spacing w:after="0" w:line="146" w:lineRule="exact"/>
        <w:rPr>
          <w:sz w:val="20"/>
          <w:szCs w:val="20"/>
          <w:color w:val="auto"/>
        </w:rPr>
      </w:pPr>
    </w:p>
    <w:p>
      <w:pPr>
        <w:ind w:right="20" w:firstLine="621"/>
        <w:spacing w:after="0" w:line="235" w:lineRule="auto"/>
        <w:tabs>
          <w:tab w:leader="none" w:pos="123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case where an issued Patent within the Current Company IP is owned or co-owned by Borrower or any of its Subsidiaries by assignment, the assignment has been duly recorded with the U.S. Patent and Trademark Office.</w:t>
      </w:r>
    </w:p>
    <w:p>
      <w:pPr>
        <w:spacing w:after="0" w:line="145" w:lineRule="exact"/>
        <w:rPr>
          <w:rFonts w:ascii="Times New Roman" w:cs="Times New Roman" w:eastAsia="Times New Roman" w:hAnsi="Times New Roman"/>
          <w:sz w:val="21"/>
          <w:szCs w:val="21"/>
          <w:color w:val="auto"/>
        </w:rPr>
      </w:pPr>
    </w:p>
    <w:p>
      <w:pPr>
        <w:ind w:right="20" w:firstLine="621"/>
        <w:spacing w:after="0" w:line="215" w:lineRule="auto"/>
        <w:tabs>
          <w:tab w:leader="none" w:pos="122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on Schedule 5.10(i) there are no pending or, to the knowledge of any Borrower, threatened claims against Borrower or any of its Subsidiaries alleging (i) that any research, development, manufacture, production, use, commercialization, marketing, importing, storage, transport, offer for sale, distribution or sale of the Products in the United States of America infringes or violates (or in the past infringed or violated) the rights of any third parties in or to any Intellectual Property (“Third Party IP”) or constitutes a misappropriation of (or in the past constituted a misappropriation of) any Third Party IP, or (ii) that any Current Company IP is invalid or unenforceable.</w:t>
      </w:r>
    </w:p>
    <w:p>
      <w:pPr>
        <w:spacing w:after="0" w:line="145" w:lineRule="exact"/>
        <w:rPr>
          <w:rFonts w:ascii="Times New Roman" w:cs="Times New Roman" w:eastAsia="Times New Roman" w:hAnsi="Times New Roman"/>
          <w:sz w:val="21"/>
          <w:szCs w:val="21"/>
          <w:color w:val="auto"/>
        </w:rPr>
      </w:pPr>
    </w:p>
    <w:p>
      <w:pPr>
        <w:ind w:right="200" w:firstLine="621"/>
        <w:spacing w:after="0" w:line="228" w:lineRule="auto"/>
        <w:tabs>
          <w:tab w:leader="none" w:pos="122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Schedule 5.10(j), the manufacture, production, use, commercialization, marketing, importing, storage, transport, offer for sale, distribution or sale of the Products does not, to the knowledge of any Borrower, infringe or violate (or in the past infringed or violated) any issued or registered Third Party IP (including any issued Patent within the Third Party IP) or constitute a misappropriation of (or in the past constituted a misappropriation of) any Third Party IP, in each case, in a manner that would reasonably be expected to materially adversely affect the exploitation of the Products.</w:t>
      </w:r>
    </w:p>
    <w:p>
      <w:pPr>
        <w:spacing w:after="0" w:line="145" w:lineRule="exact"/>
        <w:rPr>
          <w:rFonts w:ascii="Times New Roman" w:cs="Times New Roman" w:eastAsia="Times New Roman" w:hAnsi="Times New Roman"/>
          <w:sz w:val="20"/>
          <w:szCs w:val="20"/>
          <w:color w:val="auto"/>
        </w:rPr>
      </w:pPr>
    </w:p>
    <w:p>
      <w:pPr>
        <w:ind w:right="40" w:firstLine="621"/>
        <w:spacing w:after="0" w:line="217" w:lineRule="auto"/>
        <w:tabs>
          <w:tab w:leader="none" w:pos="123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on Schedule 5.10(k),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Products (in order to accommodate any Third Party IP or otherwise), or (ii) permit any third parties to use any Current Company IP.</w:t>
      </w:r>
    </w:p>
    <w:p>
      <w:pPr>
        <w:spacing w:after="0" w:line="145" w:lineRule="exact"/>
        <w:rPr>
          <w:rFonts w:ascii="Times New Roman" w:cs="Times New Roman" w:eastAsia="Times New Roman" w:hAnsi="Times New Roman"/>
          <w:sz w:val="21"/>
          <w:szCs w:val="21"/>
          <w:color w:val="auto"/>
        </w:rPr>
      </w:pPr>
    </w:p>
    <w:p>
      <w:pPr>
        <w:ind w:firstLine="621"/>
        <w:spacing w:after="0" w:line="225" w:lineRule="auto"/>
        <w:tabs>
          <w:tab w:leader="none" w:pos="122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on Schedule 5.10(l), to the knowledge of any Borrower (i) there is no, nor has there been any, infringement or violation by any Person of any of the Current Company IP or the rights therein, and (ii) there is no, nor has there been any, misappropriation by any Person of any Current Company IP or the subject matter thereof.</w:t>
      </w:r>
    </w:p>
    <w:p>
      <w:pPr>
        <w:spacing w:after="0" w:line="145" w:lineRule="exact"/>
        <w:rPr>
          <w:rFonts w:ascii="Times New Roman" w:cs="Times New Roman" w:eastAsia="Times New Roman" w:hAnsi="Times New Roman"/>
          <w:sz w:val="21"/>
          <w:szCs w:val="21"/>
          <w:color w:val="auto"/>
        </w:rPr>
      </w:pPr>
    </w:p>
    <w:p>
      <w:pPr>
        <w:ind w:right="160" w:firstLine="621"/>
        <w:spacing w:after="0" w:line="231" w:lineRule="auto"/>
        <w:tabs>
          <w:tab w:leader="none" w:pos="122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and each of its Subsidiaries has taken commercially reasonable measures customary in the biopharmaceutical industry to protect the confidentiality of all trade secrets owned by Borrower or any of its Subsidiaries or used or held for use by Borrower or any of its Subsidiaries, in each case relating to the research, development, manufacture, production, use, commercialization, marketing, importing, storage, transport, offer for sale, distribution or sale of the Products.</w:t>
      </w:r>
    </w:p>
    <w:p>
      <w:pPr>
        <w:spacing w:after="0" w:line="145" w:lineRule="exact"/>
        <w:rPr>
          <w:rFonts w:ascii="Times New Roman" w:cs="Times New Roman" w:eastAsia="Times New Roman" w:hAnsi="Times New Roman"/>
          <w:sz w:val="20"/>
          <w:szCs w:val="20"/>
          <w:color w:val="auto"/>
        </w:rPr>
      </w:pPr>
    </w:p>
    <w:p>
      <w:pPr>
        <w:ind w:left="1240" w:hanging="619"/>
        <w:spacing w:after="0"/>
        <w:tabs>
          <w:tab w:leader="none" w:pos="124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rFonts w:ascii="Times New Roman" w:cs="Times New Roman" w:eastAsia="Times New Roman" w:hAnsi="Times New Roman"/>
          <w:sz w:val="21"/>
          <w:szCs w:val="21"/>
          <w:color w:val="auto"/>
        </w:rPr>
      </w:pPr>
    </w:p>
    <w:p>
      <w:pPr>
        <w:ind w:right="80" w:firstLine="621"/>
        <w:spacing w:after="0" w:line="225" w:lineRule="auto"/>
        <w:tabs>
          <w:tab w:leader="none" w:pos="1233"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described on Schedule 5.10(o), Borrower has all material rights with respect to Intellectual Property necessary or other than would not be expected to cause a Material Adverse Effect, with respect to Current Company IP material in the operation or conduct of Borrower’s business as currently conducted and proposed to be</w:t>
      </w:r>
    </w:p>
    <w:p>
      <w:pPr>
        <w:spacing w:after="0" w:line="200" w:lineRule="exact"/>
        <w:rPr>
          <w:sz w:val="20"/>
          <w:szCs w:val="20"/>
          <w:color w:val="auto"/>
        </w:rPr>
      </w:pPr>
    </w:p>
    <w:p>
      <w:pPr>
        <w:spacing w:after="0" w:line="34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1"/>
          <w:szCs w:val="21"/>
          <w:color w:val="auto"/>
        </w:rPr>
        <w:t>41</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20"/>
          </w:cols>
          <w:pgMar w:left="940" w:top="1339" w:right="339" w:bottom="1440" w:gutter="0" w:footer="0" w:header="0"/>
        </w:sectPr>
      </w:pPr>
    </w:p>
    <w:bookmarkStart w:id="144" w:name="page145"/>
    <w:bookmarkEnd w:id="144"/>
    <w:p>
      <w:pPr>
        <w:ind w:left="620" w:right="40"/>
        <w:spacing w:after="0" w:line="211" w:lineRule="auto"/>
        <w:rPr>
          <w:sz w:val="20"/>
          <w:szCs w:val="20"/>
          <w:color w:val="auto"/>
        </w:rPr>
      </w:pPr>
      <w:r>
        <w:rPr>
          <w:rFonts w:ascii="Times New Roman" w:cs="Times New Roman" w:eastAsia="Times New Roman" w:hAnsi="Times New Roman"/>
          <w:sz w:val="21"/>
          <w:szCs w:val="21"/>
          <w:color w:val="auto"/>
        </w:rPr>
        <w:t>conducted by Borrower. Without limiting the generality of the foregoing, and in the case of Licenses, except for restrictions that are unenforceable under Article 9 of the UCC, Borrower has the right, to the extent required to operate Borrower’s business, to freely transfer, license or assign Current Company IP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except customary covenants in inbound license agreements and equipment leases where Borrower is the licensee or lessee.</w:t>
      </w:r>
    </w:p>
    <w:p>
      <w:pPr>
        <w:spacing w:after="0" w:line="152" w:lineRule="exact"/>
        <w:rPr>
          <w:sz w:val="20"/>
          <w:szCs w:val="20"/>
          <w:color w:val="auto"/>
        </w:rPr>
      </w:pPr>
    </w:p>
    <w:p>
      <w:pPr>
        <w:ind w:left="620" w:firstLine="621"/>
        <w:spacing w:after="0" w:line="213" w:lineRule="auto"/>
        <w:tabs>
          <w:tab w:leader="none" w:pos="1853"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50" w:lineRule="exact"/>
        <w:rPr>
          <w:sz w:val="20"/>
          <w:szCs w:val="20"/>
          <w:color w:val="auto"/>
        </w:rPr>
      </w:pPr>
    </w:p>
    <w:p>
      <w:pPr>
        <w:ind w:firstLine="619"/>
        <w:spacing w:after="0" w:line="210" w:lineRule="auto"/>
        <w:rPr>
          <w:sz w:val="20"/>
          <w:szCs w:val="20"/>
          <w:color w:val="auto"/>
        </w:rPr>
      </w:pPr>
      <w:r>
        <w:rPr>
          <w:rFonts w:ascii="Times New Roman" w:cs="Times New Roman" w:eastAsia="Times New Roman" w:hAnsi="Times New Roman"/>
          <w:sz w:val="21"/>
          <w:szCs w:val="21"/>
          <w:color w:val="auto"/>
        </w:rPr>
        <w:t>5.11 Borrower Products. Except as described on Schedule 5.11, no Current Company IP owned by Borrower and material in its business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Borrower has not received any written notice or claim challenging or questioning Borrower’s ownership in any Current Company IP (or written notice of any claim challenging or questioning the ownership in any licensed Current Company IP of the owner thereof) or suggesting that any third party has any claim of legal or beneficial ownership with respect thereto nor, to Borrower’s knowledge, is there a reasonable basis for any such claim.</w:t>
      </w:r>
    </w:p>
    <w:p>
      <w:pPr>
        <w:spacing w:after="0" w:line="151" w:lineRule="exact"/>
        <w:rPr>
          <w:sz w:val="20"/>
          <w:szCs w:val="20"/>
          <w:color w:val="auto"/>
        </w:rPr>
      </w:pPr>
    </w:p>
    <w:p>
      <w:pPr>
        <w:ind w:right="120" w:firstLine="619"/>
        <w:spacing w:after="0" w:line="217" w:lineRule="auto"/>
        <w:rPr>
          <w:sz w:val="20"/>
          <w:szCs w:val="20"/>
          <w:color w:val="auto"/>
        </w:rPr>
      </w:pPr>
      <w:r>
        <w:rPr>
          <w:rFonts w:ascii="Times New Roman" w:cs="Times New Roman" w:eastAsia="Times New Roman" w:hAnsi="Times New Roman"/>
          <w:sz w:val="21"/>
          <w:szCs w:val="21"/>
          <w:color w:val="auto"/>
        </w:rPr>
        <w:t>5.12 Financial Accounts. Exhibit D,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46" w:lineRule="exact"/>
        <w:rPr>
          <w:sz w:val="20"/>
          <w:szCs w:val="20"/>
          <w:color w:val="auto"/>
        </w:rPr>
      </w:pPr>
    </w:p>
    <w:p>
      <w:pPr>
        <w:ind w:right="60" w:firstLine="619"/>
        <w:spacing w:after="0" w:line="225" w:lineRule="auto"/>
        <w:rPr>
          <w:sz w:val="20"/>
          <w:szCs w:val="20"/>
          <w:color w:val="auto"/>
        </w:rPr>
      </w:pPr>
      <w:r>
        <w:rPr>
          <w:rFonts w:ascii="Times New Roman" w:cs="Times New Roman" w:eastAsia="Times New Roman" w:hAnsi="Times New Roman"/>
          <w:sz w:val="21"/>
          <w:szCs w:val="21"/>
          <w:color w:val="auto"/>
        </w:rPr>
        <w:t>5.13 Employee Loans. Borrower has no outstanding loans to any employee, officer or director of Borrower nor has Borrower guaranteed the payment of any loan made to an employee, officer or director of Borrower by a third party except as permitted hereunder.</w:t>
      </w:r>
    </w:p>
    <w:p>
      <w:pPr>
        <w:spacing w:after="0" w:line="146" w:lineRule="exact"/>
        <w:rPr>
          <w:sz w:val="20"/>
          <w:szCs w:val="20"/>
          <w:color w:val="auto"/>
        </w:rPr>
      </w:pPr>
    </w:p>
    <w:p>
      <w:pPr>
        <w:jc w:val="both"/>
        <w:ind w:right="520" w:firstLine="619"/>
        <w:spacing w:after="0" w:line="225" w:lineRule="auto"/>
        <w:rPr>
          <w:sz w:val="20"/>
          <w:szCs w:val="20"/>
          <w:color w:val="auto"/>
        </w:rPr>
      </w:pPr>
      <w:r>
        <w:rPr>
          <w:rFonts w:ascii="Times New Roman" w:cs="Times New Roman" w:eastAsia="Times New Roman" w:hAnsi="Times New Roman"/>
          <w:sz w:val="21"/>
          <w:szCs w:val="21"/>
          <w:color w:val="auto"/>
        </w:rPr>
        <w:t>5.14 Capitalization and Subsidiaries. Borrower’s capitalization (other than Parent) as of the Closing Date is set forth on Schedule 5.14 annexed hereto. Borrower does not own any stock, partnership interest or other securities of any Person, except for Permitted Investments.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42</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45" w:name="page146"/>
    <w:bookmarkEnd w:id="145"/>
    <w:p>
      <w:pPr>
        <w:ind w:right="340"/>
        <w:spacing w:after="0" w:line="235" w:lineRule="auto"/>
        <w:rPr>
          <w:sz w:val="20"/>
          <w:szCs w:val="20"/>
          <w:color w:val="auto"/>
        </w:rPr>
      </w:pPr>
      <w:r>
        <w:rPr>
          <w:rFonts w:ascii="Times New Roman" w:cs="Times New Roman" w:eastAsia="Times New Roman" w:hAnsi="Times New Roman"/>
          <w:sz w:val="21"/>
          <w:szCs w:val="21"/>
          <w:color w:val="auto"/>
        </w:rPr>
        <w:t>Attached as Schedule 5.14, as may be updated by Borrower in a written notice provided after the Closing Date, is a true, correct and complete list of each Subsidiary.</w:t>
      </w:r>
    </w:p>
    <w:p>
      <w:pPr>
        <w:spacing w:after="0" w:line="146" w:lineRule="exact"/>
        <w:rPr>
          <w:sz w:val="20"/>
          <w:szCs w:val="20"/>
          <w:color w:val="auto"/>
        </w:rPr>
      </w:pPr>
    </w:p>
    <w:p>
      <w:pPr>
        <w:ind w:right="40" w:firstLine="619"/>
        <w:spacing w:after="0" w:line="220" w:lineRule="auto"/>
        <w:rPr>
          <w:sz w:val="20"/>
          <w:szCs w:val="20"/>
          <w:color w:val="auto"/>
        </w:rPr>
      </w:pPr>
      <w:r>
        <w:rPr>
          <w:rFonts w:ascii="Times New Roman" w:cs="Times New Roman" w:eastAsia="Times New Roman" w:hAnsi="Times New Roman"/>
          <w:sz w:val="21"/>
          <w:szCs w:val="21"/>
          <w:color w:val="auto"/>
        </w:rPr>
        <w:t>5.15 Centre of Main Interests and Establishments. For the purposes of The Council of the European Union Regulation No. 2015/848 of 20 May 2015 on insolvency proceedings (recast) on Insolvency Proceedings (the “Regulation”), Replimune UK’s centre of main interest (as that term is used in Article 3(1) of the Regulation) is situated in England and Wales and it has no “establishment” (as that term is used in Article 2(10) of the Regulation) in any other jurisdiction.</w:t>
      </w:r>
    </w:p>
    <w:p>
      <w:pPr>
        <w:spacing w:after="0" w:line="13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5.16</w:t>
      </w:r>
      <w:r>
        <w:rPr>
          <w:sz w:val="20"/>
          <w:szCs w:val="20"/>
          <w:color w:val="auto"/>
        </w:rPr>
        <w:tab/>
      </w:r>
      <w:r>
        <w:rPr>
          <w:rFonts w:ascii="Times New Roman" w:cs="Times New Roman" w:eastAsia="Times New Roman" w:hAnsi="Times New Roman"/>
          <w:sz w:val="20"/>
          <w:szCs w:val="20"/>
          <w:color w:val="auto"/>
        </w:rPr>
        <w:t>Solvency. (i) The fair saleable value of Borrower’s consolidated assets exceeds the fair value of Borrower’s liabilities;</w:t>
      </w:r>
    </w:p>
    <w:p>
      <w:pPr>
        <w:ind w:right="140" w:firstLine="3"/>
        <w:spacing w:after="0" w:line="224" w:lineRule="auto"/>
        <w:tabs>
          <w:tab w:leader="none" w:pos="304"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is not left with unreasonably small capital after the transactions in the Loan Documents; and (iii) Borrower is able to pay its debts (including trade debts) as they become due.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b w:val="1"/>
          <w:bCs w:val="1"/>
          <w:u w:val="single" w:color="auto"/>
          <w:color w:val="auto"/>
        </w:rPr>
        <w:t>INSURANCE; INDEMNIFICATION</w:t>
      </w:r>
    </w:p>
    <w:p>
      <w:pPr>
        <w:spacing w:after="0" w:line="175" w:lineRule="exact"/>
        <w:rPr>
          <w:sz w:val="20"/>
          <w:szCs w:val="20"/>
          <w:color w:val="auto"/>
        </w:rPr>
      </w:pPr>
    </w:p>
    <w:p>
      <w:pPr>
        <w:ind w:firstLine="619"/>
        <w:spacing w:after="0" w:line="223" w:lineRule="auto"/>
        <w:rPr>
          <w:sz w:val="20"/>
          <w:szCs w:val="20"/>
          <w:color w:val="auto"/>
        </w:rPr>
      </w:pPr>
      <w:r>
        <w:rPr>
          <w:rFonts w:ascii="Times New Roman" w:cs="Times New Roman" w:eastAsia="Times New Roman" w:hAnsi="Times New Roman"/>
          <w:sz w:val="20"/>
          <w:szCs w:val="20"/>
          <w:color w:val="auto"/>
        </w:rPr>
        <w:t>6.1 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and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w:t>
      </w:r>
    </w:p>
    <w:p>
      <w:pPr>
        <w:spacing w:after="0" w:line="147" w:lineRule="exact"/>
        <w:rPr>
          <w:sz w:val="20"/>
          <w:szCs w:val="20"/>
          <w:color w:val="auto"/>
        </w:rPr>
      </w:pPr>
    </w:p>
    <w:p>
      <w:pPr>
        <w:ind w:right="20" w:firstLine="619"/>
        <w:spacing w:after="0" w:line="220" w:lineRule="auto"/>
        <w:rPr>
          <w:sz w:val="20"/>
          <w:szCs w:val="20"/>
          <w:color w:val="auto"/>
        </w:rPr>
      </w:pPr>
      <w:r>
        <w:rPr>
          <w:rFonts w:ascii="Times New Roman" w:cs="Times New Roman" w:eastAsia="Times New Roman" w:hAnsi="Times New Roman"/>
          <w:sz w:val="20"/>
          <w:szCs w:val="20"/>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At Agent’s written request, Borrower shall provide Agent with copies of each insurance policy, and upon entering or amending any insurance policy required hereunder in any material respect, Borrower shall provide Agent with copies of such policies and shall promptly deliver to Agent updated insurance certificates with respect to such policies.</w:t>
      </w:r>
    </w:p>
    <w:p>
      <w:pPr>
        <w:spacing w:after="0" w:line="152" w:lineRule="exact"/>
        <w:rPr>
          <w:sz w:val="20"/>
          <w:szCs w:val="20"/>
          <w:color w:val="auto"/>
        </w:rPr>
      </w:pPr>
    </w:p>
    <w:p>
      <w:pPr>
        <w:ind w:right="160" w:firstLine="619"/>
        <w:spacing w:after="0" w:line="217" w:lineRule="auto"/>
        <w:rPr>
          <w:sz w:val="20"/>
          <w:szCs w:val="20"/>
          <w:color w:val="auto"/>
        </w:rPr>
      </w:pPr>
      <w:r>
        <w:rPr>
          <w:rFonts w:ascii="Times New Roman" w:cs="Times New Roman" w:eastAsia="Times New Roman" w:hAnsi="Times New Roman"/>
          <w:sz w:val="21"/>
          <w:szCs w:val="21"/>
          <w:color w:val="auto"/>
        </w:rPr>
        <w:t>6.3 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and documented attorneys’ fees and out-of-pocket disbursements and other costs of investigation or defense (including those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43</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46" w:name="page147"/>
    <w:bookmarkEnd w:id="146"/>
    <w:p>
      <w:pPr>
        <w:spacing w:after="0" w:line="211" w:lineRule="auto"/>
        <w:rPr>
          <w:sz w:val="20"/>
          <w:szCs w:val="20"/>
          <w:color w:val="auto"/>
        </w:rPr>
      </w:pPr>
      <w:r>
        <w:rPr>
          <w:rFonts w:ascii="Times New Roman" w:cs="Times New Roman" w:eastAsia="Times New Roman" w:hAnsi="Times New Roman"/>
          <w:sz w:val="21"/>
          <w:szCs w:val="21"/>
          <w:color w:val="auto"/>
        </w:rPr>
        <w:t>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willful misconduct or breach in bad faith of its obligations hereunder.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the Loan Agreement.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xml:space="preserve">SECTION 7  </w:t>
      </w:r>
      <w:r>
        <w:rPr>
          <w:rFonts w:ascii="Times New Roman" w:cs="Times New Roman" w:eastAsia="Times New Roman" w:hAnsi="Times New Roman"/>
          <w:sz w:val="21"/>
          <w:szCs w:val="21"/>
          <w:b w:val="1"/>
          <w:bCs w:val="1"/>
          <w:u w:val="single" w:color="auto"/>
          <w:color w:val="auto"/>
        </w:rPr>
        <w:t>COVENANTS OF BORROWER</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Borrower agrees as follows:</w:t>
      </w:r>
    </w:p>
    <w:p>
      <w:pPr>
        <w:spacing w:after="0" w:line="17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0"/>
          <w:szCs w:val="20"/>
          <w:color w:val="auto"/>
        </w:rPr>
        <w:t>Financial Reports. Borrower shall furnish to Agent the financial statements and reports listed hereinafter (the “Financial</w:t>
      </w:r>
    </w:p>
    <w:p>
      <w:pPr>
        <w:spacing w:after="0"/>
        <w:rPr>
          <w:sz w:val="20"/>
          <w:szCs w:val="20"/>
          <w:color w:val="auto"/>
        </w:rPr>
      </w:pPr>
      <w:r>
        <w:rPr>
          <w:rFonts w:ascii="Times New Roman" w:cs="Times New Roman" w:eastAsia="Times New Roman" w:hAnsi="Times New Roman"/>
          <w:sz w:val="21"/>
          <w:szCs w:val="21"/>
          <w:color w:val="auto"/>
        </w:rPr>
        <w:t>Statements”):</w:t>
      </w:r>
    </w:p>
    <w:p>
      <w:pPr>
        <w:spacing w:after="0" w:line="149" w:lineRule="exact"/>
        <w:rPr>
          <w:sz w:val="20"/>
          <w:szCs w:val="20"/>
          <w:color w:val="auto"/>
        </w:rPr>
      </w:pPr>
    </w:p>
    <w:p>
      <w:pPr>
        <w:ind w:left="620" w:right="60" w:firstLine="621"/>
        <w:spacing w:after="0" w:line="219" w:lineRule="auto"/>
        <w:tabs>
          <w:tab w:leader="none" w:pos="185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(and in any event within 30 days)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all certified by Parent’s Chief Executive Officer or Chief Financial Officer to the effect that they have been prepared in accordance with GAAP, except (i) for the absence of footnotes,</w:t>
      </w:r>
    </w:p>
    <w:p>
      <w:pPr>
        <w:ind w:left="620" w:firstLine="2"/>
        <w:spacing w:after="0" w:line="224" w:lineRule="auto"/>
        <w:tabs>
          <w:tab w:leader="none" w:pos="92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they are subject to normal year end adjustments, and (iii) they do not contain certain non-cash items that are customarily included in quarterly and annual financial statements;</w:t>
      </w:r>
    </w:p>
    <w:p>
      <w:pPr>
        <w:spacing w:after="0" w:line="146" w:lineRule="exact"/>
        <w:rPr>
          <w:rFonts w:ascii="Times New Roman" w:cs="Times New Roman" w:eastAsia="Times New Roman" w:hAnsi="Times New Roman"/>
          <w:sz w:val="21"/>
          <w:szCs w:val="21"/>
          <w:color w:val="auto"/>
        </w:rPr>
      </w:pPr>
    </w:p>
    <w:p>
      <w:pPr>
        <w:ind w:left="620" w:right="40" w:firstLine="621"/>
        <w:spacing w:after="0" w:line="213" w:lineRule="auto"/>
        <w:tabs>
          <w:tab w:leader="none" w:pos="1853"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within 45 days) after the end of each calendar quarter,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would reasonably be expected to have a Material Adverse Effect, certified by Parent’s Chief Executive Officer or Chief Financial Officer to the effect that they have been prepared in accordance with GAAP, except (i) for the absence of footnotes, and (ii) that they are subject to normal year end adjustments;</w:t>
      </w:r>
    </w:p>
    <w:p>
      <w:pPr>
        <w:spacing w:after="0" w:line="149" w:lineRule="exact"/>
        <w:rPr>
          <w:rFonts w:ascii="Times New Roman" w:cs="Times New Roman" w:eastAsia="Times New Roman" w:hAnsi="Times New Roman"/>
          <w:sz w:val="21"/>
          <w:szCs w:val="21"/>
          <w:color w:val="auto"/>
        </w:rPr>
      </w:pPr>
    </w:p>
    <w:p>
      <w:pPr>
        <w:ind w:left="620" w:right="100" w:firstLine="621"/>
        <w:spacing w:after="0" w:line="213" w:lineRule="auto"/>
        <w:tabs>
          <w:tab w:leader="none" w:pos="1854"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within ninety (90) days) after the end of each fiscal year,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without qualification (other than any going concern qualification) by a firm of independent certified public accountants selected by Parent and reasonably acceptable to Agent (it being understood that PricewaterhouseCoopers is reasonably acceptable to Agent), accompanied by any final management report from such accountants;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44</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47" w:name="page148"/>
    <w:bookmarkEnd w:id="147"/>
    <w:p>
      <w:pPr>
        <w:ind w:left="620" w:right="60" w:firstLine="621"/>
        <w:spacing w:after="0" w:line="235" w:lineRule="auto"/>
        <w:tabs>
          <w:tab w:leader="none" w:pos="185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within 30 days) after the end of each month, a Compliance Certificate in the form of Exhibit E;</w:t>
      </w:r>
    </w:p>
    <w:p>
      <w:pPr>
        <w:spacing w:after="0" w:line="145" w:lineRule="exact"/>
        <w:rPr>
          <w:rFonts w:ascii="Times New Roman" w:cs="Times New Roman" w:eastAsia="Times New Roman" w:hAnsi="Times New Roman"/>
          <w:sz w:val="21"/>
          <w:szCs w:val="21"/>
          <w:color w:val="auto"/>
        </w:rPr>
      </w:pPr>
    </w:p>
    <w:p>
      <w:pPr>
        <w:ind w:left="620" w:right="140" w:firstLine="621"/>
        <w:spacing w:after="0" w:line="235" w:lineRule="auto"/>
        <w:tabs>
          <w:tab w:leader="none" w:pos="185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within 30 days) after the end of each month, a report showing agings of accounts receivable and accounts payable;</w:t>
      </w:r>
    </w:p>
    <w:p>
      <w:pPr>
        <w:spacing w:after="0" w:line="145" w:lineRule="exact"/>
        <w:rPr>
          <w:rFonts w:ascii="Times New Roman" w:cs="Times New Roman" w:eastAsia="Times New Roman" w:hAnsi="Times New Roman"/>
          <w:sz w:val="21"/>
          <w:szCs w:val="21"/>
          <w:color w:val="auto"/>
        </w:rPr>
      </w:pPr>
    </w:p>
    <w:p>
      <w:pPr>
        <w:ind w:left="620" w:firstLine="621"/>
        <w:spacing w:after="0" w:line="220" w:lineRule="auto"/>
        <w:tabs>
          <w:tab w:leader="none" w:pos="185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sending or filing thereof, as the case may be, copies of any proxy statements, financial statements or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45" w:lineRule="exact"/>
        <w:rPr>
          <w:rFonts w:ascii="Times New Roman" w:cs="Times New Roman" w:eastAsia="Times New Roman" w:hAnsi="Times New Roman"/>
          <w:sz w:val="21"/>
          <w:szCs w:val="21"/>
          <w:color w:val="auto"/>
        </w:rPr>
      </w:pPr>
    </w:p>
    <w:p>
      <w:pPr>
        <w:ind w:left="620" w:right="220" w:firstLine="621"/>
        <w:spacing w:after="0" w:line="217" w:lineRule="auto"/>
        <w:tabs>
          <w:tab w:leader="none" w:pos="185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delivery thereof to its directors, copies of all notices, minutes, consents and other materials that Borrower provides to its directors in connection with meetings of the Board of Directors, provided that in all cases Borrower may exclude (x) confidential compensation information, (y) information that is subject to attorney/client privilege, and (z) materials that are reasonably related to Borrower’s strategy, negotiating position or other matters materially relating to this Agreement or any other Loan Documents or any permitted refinancings thereof;</w:t>
      </w:r>
    </w:p>
    <w:p>
      <w:pPr>
        <w:spacing w:after="0" w:line="145" w:lineRule="exact"/>
        <w:rPr>
          <w:rFonts w:ascii="Times New Roman" w:cs="Times New Roman" w:eastAsia="Times New Roman" w:hAnsi="Times New Roman"/>
          <w:sz w:val="21"/>
          <w:szCs w:val="21"/>
          <w:color w:val="auto"/>
        </w:rPr>
      </w:pPr>
    </w:p>
    <w:p>
      <w:pPr>
        <w:ind w:left="620" w:right="180" w:firstLine="621"/>
        <w:spacing w:after="0" w:line="225" w:lineRule="auto"/>
        <w:tabs>
          <w:tab w:leader="none" w:pos="1853"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and business projections promptly following their approval by Parent’s Board of Directors, and in any event, within 90 days after the end of Parent’s fiscal year, as well as budgets, operating plans and other financial information reasonably requested by Agent; and</w:t>
      </w:r>
    </w:p>
    <w:p>
      <w:pPr>
        <w:spacing w:after="0" w:line="145" w:lineRule="exact"/>
        <w:rPr>
          <w:rFonts w:ascii="Times New Roman" w:cs="Times New Roman" w:eastAsia="Times New Roman" w:hAnsi="Times New Roman"/>
          <w:sz w:val="21"/>
          <w:szCs w:val="21"/>
          <w:color w:val="auto"/>
        </w:rPr>
      </w:pPr>
    </w:p>
    <w:p>
      <w:pPr>
        <w:ind w:left="620" w:right="80" w:firstLine="621"/>
        <w:spacing w:after="0" w:line="225" w:lineRule="auto"/>
        <w:tabs>
          <w:tab w:leader="none" w:pos="184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immediate notice if Borrower or any Subsidiary has knowledge that Borrower, or any Subsidiary or Affiliate of Borrower, is listed on the OFAC Lists or (a) is convicted on, (b) pleads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(c) is indicted on, or (d) is arraigned and held over on charges involving money laundering or predicate crimes to money laundering.</w:t>
      </w:r>
    </w:p>
    <w:p>
      <w:pPr>
        <w:spacing w:after="0" w:line="172" w:lineRule="exact"/>
        <w:rPr>
          <w:sz w:val="20"/>
          <w:szCs w:val="20"/>
          <w:color w:val="auto"/>
        </w:rPr>
      </w:pPr>
    </w:p>
    <w:p>
      <w:pPr>
        <w:ind w:right="700" w:firstLine="619"/>
        <w:spacing w:after="0" w:line="269" w:lineRule="auto"/>
        <w:rPr>
          <w:sz w:val="20"/>
          <w:szCs w:val="20"/>
          <w:color w:val="auto"/>
        </w:rPr>
      </w:pPr>
      <w:r>
        <w:rPr>
          <w:rFonts w:ascii="Times New Roman" w:cs="Times New Roman" w:eastAsia="Times New Roman" w:hAnsi="Times New Roman"/>
          <w:sz w:val="21"/>
          <w:szCs w:val="21"/>
          <w:color w:val="auto"/>
        </w:rPr>
        <w:t>Borrower shall not make any change in its (a) accounting policies or reporting practices (other than changes required by GAAP), or (b) fiscal years or fiscal quarters. The fiscal year of Borrower shall end on March 31.</w:t>
      </w:r>
    </w:p>
    <w:p>
      <w:pPr>
        <w:spacing w:after="0" w:line="155"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21"/>
          <w:szCs w:val="21"/>
          <w:color w:val="auto"/>
        </w:rPr>
        <w:t>The executed Compliance Certificate may be sent via email to Agent at legal@htgc.com. Except as specified below, all Financial Statements required to be delivered pursuant to clauses (a), (b) and (c) shall be sent via e-mail to financialstatements@htgc.com with a copy to legal@htgc.com, bjadot@htgc.com, jralto@htgc.com and mdutra@htgc.com, provided, that if e-mail is not available or sending such Financial Statements via e-mail is not possible, they shall be faxed to Agent at: (650) 473-9194, attention Account Manager: Replimune Group, Inc.</w:t>
      </w:r>
    </w:p>
    <w:p>
      <w:pPr>
        <w:spacing w:after="0" w:line="171" w:lineRule="exact"/>
        <w:rPr>
          <w:sz w:val="20"/>
          <w:szCs w:val="20"/>
          <w:color w:val="auto"/>
        </w:rPr>
      </w:pPr>
    </w:p>
    <w:p>
      <w:pPr>
        <w:jc w:val="both"/>
        <w:ind w:right="80" w:firstLine="619"/>
        <w:spacing w:after="0" w:line="262" w:lineRule="auto"/>
        <w:rPr>
          <w:sz w:val="20"/>
          <w:szCs w:val="20"/>
          <w:color w:val="auto"/>
        </w:rPr>
      </w:pPr>
      <w:r>
        <w:rPr>
          <w:rFonts w:ascii="Times New Roman" w:cs="Times New Roman" w:eastAsia="Times New Roman" w:hAnsi="Times New Roman"/>
          <w:sz w:val="21"/>
          <w:szCs w:val="21"/>
          <w:color w:val="auto"/>
        </w:rPr>
        <w:t>Notwithstanding the foregoing, documents required to be delivered under Sections 7.1(a), (b), (c) or (f) (to the extent any such documents are included in materials otherwise filed with the SEC) may be delivered electronically and if so delivered, shall be deemed to have been delivered on the date on which Borrower makes such documents publicly available.</w:t>
      </w:r>
    </w:p>
    <w:p>
      <w:pPr>
        <w:spacing w:after="0" w:line="137" w:lineRule="exact"/>
        <w:rPr>
          <w:sz w:val="20"/>
          <w:szCs w:val="20"/>
          <w:color w:val="auto"/>
        </w:rPr>
      </w:pPr>
    </w:p>
    <w:p>
      <w:pPr>
        <w:ind w:right="140" w:firstLine="619"/>
        <w:spacing w:after="0" w:line="225" w:lineRule="auto"/>
        <w:rPr>
          <w:sz w:val="20"/>
          <w:szCs w:val="20"/>
          <w:color w:val="auto"/>
        </w:rPr>
      </w:pPr>
      <w:r>
        <w:rPr>
          <w:rFonts w:ascii="Times New Roman" w:cs="Times New Roman" w:eastAsia="Times New Roman" w:hAnsi="Times New Roman"/>
          <w:sz w:val="21"/>
          <w:szCs w:val="21"/>
          <w:color w:val="auto"/>
        </w:rPr>
        <w:t>7.2 Management Rights. Borrower shall permit any representative that Agent or the Lenders authorizes, including its attorneys and accountants, to inspect the Collateral and examine and make copies and abstracts of the books of account and records of Borrower at reasonable</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45</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48" w:name="page149"/>
    <w:bookmarkEnd w:id="148"/>
    <w:p>
      <w:pPr>
        <w:spacing w:after="0" w:line="211" w:lineRule="auto"/>
        <w:rPr>
          <w:sz w:val="20"/>
          <w:szCs w:val="20"/>
          <w:color w:val="auto"/>
        </w:rPr>
      </w:pPr>
      <w:r>
        <w:rPr>
          <w:rFonts w:ascii="Times New Roman" w:cs="Times New Roman" w:eastAsia="Times New Roman" w:hAnsi="Times New Roman"/>
          <w:sz w:val="21"/>
          <w:szCs w:val="21"/>
          <w:color w:val="auto"/>
        </w:rPr>
        <w:t xml:space="preserve">times and upon reasonable notice during normal business hours;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52" w:lineRule="exact"/>
        <w:rPr>
          <w:sz w:val="20"/>
          <w:szCs w:val="20"/>
          <w:color w:val="auto"/>
        </w:rPr>
      </w:pPr>
    </w:p>
    <w:p>
      <w:pPr>
        <w:ind w:right="40" w:firstLine="619"/>
        <w:spacing w:after="0" w:line="210" w:lineRule="auto"/>
        <w:rPr>
          <w:sz w:val="20"/>
          <w:szCs w:val="20"/>
          <w:color w:val="auto"/>
        </w:rPr>
      </w:pPr>
      <w:r>
        <w:rPr>
          <w:rFonts w:ascii="Times New Roman" w:cs="Times New Roman" w:eastAsia="Times New Roman" w:hAnsi="Times New Roman"/>
          <w:sz w:val="21"/>
          <w:szCs w:val="21"/>
          <w:color w:val="auto"/>
        </w:rPr>
        <w:t>7.3 Further Assurances. Subject to the terms of this Agreement, Borrower shall from time to time execute, deliver and file, alone or with Agent, any financing statements, security agreements, collateral assignments, notices, control agreements, promissory notes or other documents to perfect, give the highest priority to Agent’s Lien on the Collateral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51" w:lineRule="exact"/>
        <w:rPr>
          <w:sz w:val="20"/>
          <w:szCs w:val="20"/>
          <w:color w:val="auto"/>
        </w:rPr>
      </w:pPr>
    </w:p>
    <w:p>
      <w:pPr>
        <w:ind w:right="100" w:firstLine="619"/>
        <w:spacing w:after="0" w:line="212" w:lineRule="auto"/>
        <w:rPr>
          <w:sz w:val="20"/>
          <w:szCs w:val="20"/>
          <w:color w:val="auto"/>
        </w:rPr>
      </w:pPr>
      <w:r>
        <w:rPr>
          <w:rFonts w:ascii="Times New Roman" w:cs="Times New Roman" w:eastAsia="Times New Roman" w:hAnsi="Times New Roman"/>
          <w:sz w:val="21"/>
          <w:szCs w:val="21"/>
          <w:color w:val="auto"/>
        </w:rPr>
        <w:t>7.4 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purchase money Indebtedness or Indebtedness in respect of capital leases permitted hereunder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46</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49" w:name="page150"/>
    <w:bookmarkEnd w:id="149"/>
    <w:p>
      <w:pPr>
        <w:spacing w:after="0" w:line="106" w:lineRule="exact"/>
        <w:rPr>
          <w:sz w:val="20"/>
          <w:szCs w:val="20"/>
          <w:color w:val="auto"/>
        </w:rPr>
      </w:pPr>
    </w:p>
    <w:p>
      <w:pPr>
        <w:jc w:val="both"/>
        <w:ind w:right="580" w:firstLine="1779"/>
        <w:spacing w:after="0" w:line="207" w:lineRule="auto"/>
        <w:rPr>
          <w:sz w:val="20"/>
          <w:szCs w:val="20"/>
          <w:color w:val="auto"/>
        </w:rPr>
      </w:pPr>
      <w:r>
        <w:rPr>
          <w:rFonts w:ascii="Times New Roman" w:cs="Times New Roman" w:eastAsia="Times New Roman" w:hAnsi="Times New Roman"/>
          <w:sz w:val="21"/>
          <w:szCs w:val="21"/>
          <w:color w:val="auto"/>
        </w:rPr>
        <w:t>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provided that principal payments in cash (other than cash in lieu of fractional shares) shall only be allowed if the Redemption Conditions are satisfied in respect of such payment and at all times after such payment.</w:t>
      </w:r>
    </w:p>
    <w:p>
      <w:pPr>
        <w:spacing w:after="0" w:line="4" w:lineRule="exact"/>
        <w:rPr>
          <w:sz w:val="20"/>
          <w:szCs w:val="20"/>
          <w:color w:val="auto"/>
        </w:rPr>
      </w:pPr>
    </w:p>
    <w:p>
      <w:pPr>
        <w:ind w:firstLine="619"/>
        <w:spacing w:after="0" w:line="215" w:lineRule="auto"/>
        <w:rPr>
          <w:sz w:val="20"/>
          <w:szCs w:val="20"/>
          <w:color w:val="auto"/>
        </w:rPr>
      </w:pPr>
      <w:r>
        <w:rPr>
          <w:rFonts w:ascii="Times New Roman" w:cs="Times New Roman" w:eastAsia="Times New Roman" w:hAnsi="Times New Roman"/>
          <w:sz w:val="20"/>
          <w:szCs w:val="20"/>
          <w:color w:val="auto"/>
        </w:rPr>
        <w:t>7.5 Collateral. Borrower shall at all times keep the Collateral and all other property and assets used in Borrower’s business or in which Borrower now or hereafter holds any interest free and clear from any Liens whatsoever (other than Permitted Liens), and shall give Agent prompt written notice of (a) any legal process affecting the Collateral or such other property and assets in an aggregate amount greater than $1,000,000 at any time, or (b) any Liens thereon (other than Permitted Liens), provided however, that the Collateral and such other property and assets may be subject to Permitted Liens except that there shall be no Liens whatsoever (other than Permitted Liens (x) under clause (i) of the definition thereof, or (y) that are do not arise by agreement, such as tax or statutory Liens) on Company IP. Borrower shall not enter into or suffer to exist or become effective any agreement that prohibits or limits the ability of any Borrower to create, incur, assume or suffer to exist any Lien upon any of its property (including Company IP),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w:t>
      </w:r>
    </w:p>
    <w:p>
      <w:pPr>
        <w:spacing w:after="0" w:line="3" w:lineRule="exact"/>
        <w:rPr>
          <w:sz w:val="20"/>
          <w:szCs w:val="20"/>
          <w:color w:val="auto"/>
        </w:rPr>
      </w:pPr>
    </w:p>
    <w:p>
      <w:pPr>
        <w:ind w:right="40" w:firstLine="3"/>
        <w:spacing w:after="0" w:line="210" w:lineRule="auto"/>
        <w:tabs>
          <w:tab w:leader="none" w:pos="28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restrictions on the assignment of leases, licenses and other agreements. Borrower shall cause its Subsidiaries to protect and defend such Subsidiary’s title to its assets from and against all Persons claiming any interest adverse to such Subsidiary (other than Permitted Liens), and Borrower shall cause its Subsidiaries at all times to keep such Subsidiary’s property and assets free and clear from any legal process or Liens whatsoever (except for Permitted Liens, provided however, that there shall be no Liens whatsoever (other than Permitted Liens that are do not arise by agreement, such as tax or statutory Liens) on Company IP), and shall give Agent prompt written notice of any legal process affecting such Subsidiary’s assets in an aggregate amount greater than $1,000,000 at any time.</w:t>
      </w:r>
    </w:p>
    <w:p>
      <w:pPr>
        <w:spacing w:after="0" w:line="149" w:lineRule="exact"/>
        <w:rPr>
          <w:sz w:val="20"/>
          <w:szCs w:val="20"/>
          <w:color w:val="auto"/>
        </w:rPr>
      </w:pPr>
    </w:p>
    <w:p>
      <w:pPr>
        <w:ind w:right="300" w:firstLine="619"/>
        <w:spacing w:after="0" w:line="235" w:lineRule="auto"/>
        <w:rPr>
          <w:sz w:val="20"/>
          <w:szCs w:val="20"/>
          <w:color w:val="auto"/>
        </w:rPr>
      </w:pPr>
      <w:r>
        <w:rPr>
          <w:rFonts w:ascii="Times New Roman" w:cs="Times New Roman" w:eastAsia="Times New Roman" w:hAnsi="Times New Roman"/>
          <w:sz w:val="21"/>
          <w:szCs w:val="21"/>
          <w:color w:val="auto"/>
        </w:rPr>
        <w:t>7.6 Investments. Borrower shall not directly or indirectly acquire or own, or make any Investment in or to any Person, or permit any of its Subsidiaries so to do, other than Permitted Investments.</w:t>
      </w:r>
    </w:p>
    <w:p>
      <w:pPr>
        <w:spacing w:after="0" w:line="172" w:lineRule="exact"/>
        <w:rPr>
          <w:sz w:val="20"/>
          <w:szCs w:val="20"/>
          <w:color w:val="auto"/>
        </w:rPr>
      </w:pPr>
    </w:p>
    <w:p>
      <w:pPr>
        <w:ind w:firstLine="619"/>
        <w:spacing w:after="0" w:line="264" w:lineRule="auto"/>
        <w:rPr>
          <w:sz w:val="20"/>
          <w:szCs w:val="20"/>
          <w:color w:val="auto"/>
        </w:rPr>
      </w:pPr>
      <w:r>
        <w:rPr>
          <w:rFonts w:ascii="Times New Roman" w:cs="Times New Roman" w:eastAsia="Times New Roman" w:hAnsi="Times New Roman"/>
          <w:sz w:val="20"/>
          <w:szCs w:val="20"/>
          <w:color w:val="auto"/>
        </w:rPr>
        <w:t>7.7 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47</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440" w:right="379" w:bottom="1440" w:gutter="0" w:footer="0" w:header="0"/>
        </w:sectPr>
      </w:pPr>
    </w:p>
    <w:bookmarkStart w:id="150" w:name="page151"/>
    <w:bookmarkEnd w:id="150"/>
    <w:p>
      <w:pPr>
        <w:ind w:right="100" w:firstLine="619"/>
        <w:spacing w:after="0" w:line="212" w:lineRule="auto"/>
        <w:rPr>
          <w:sz w:val="20"/>
          <w:szCs w:val="20"/>
          <w:color w:val="auto"/>
        </w:rPr>
      </w:pPr>
      <w:r>
        <w:rPr>
          <w:rFonts w:ascii="Times New Roman" w:cs="Times New Roman" w:eastAsia="Times New Roman" w:hAnsi="Times New Roman"/>
          <w:sz w:val="21"/>
          <w:szCs w:val="21"/>
          <w:color w:val="auto"/>
        </w:rPr>
        <w:t>7.8 Distributions. Borrower shall not, and shall not allow any Subsidiary to, (a) repurchase or redeem any class of stock or other Equity Interest other than pursuant to employee, director or consultant repurchase plans or other similar agreements, provided, however, in each case the repurchase or redemption price does not exceed the fair market value for such stock or Equity Interest, or (b) declare or pay any cash dividend or make any other cash distribution on any class of stock or other Equity Interest, except that a Subsidiary may pay dividends or make other distributions to Borrower or any Subsidiary of Borrower, (c) lend money to any employees, officers or directors or guarantee the payment of any such loans granted by a third party in excess of $200,000 in the aggregate at any time outstanding or (d) waive, release or forgive any Indebtedness owed by any employees, officers or directors in excess of $200,000 in the aggregate.</w:t>
      </w:r>
    </w:p>
    <w:p>
      <w:pPr>
        <w:spacing w:after="0" w:line="176" w:lineRule="exact"/>
        <w:rPr>
          <w:sz w:val="20"/>
          <w:szCs w:val="20"/>
          <w:color w:val="auto"/>
        </w:rPr>
      </w:pPr>
    </w:p>
    <w:p>
      <w:pPr>
        <w:ind w:right="20" w:firstLine="619"/>
        <w:spacing w:after="0" w:line="251" w:lineRule="auto"/>
        <w:rPr>
          <w:sz w:val="20"/>
          <w:szCs w:val="20"/>
          <w:color w:val="auto"/>
        </w:rPr>
      </w:pPr>
      <w:r>
        <w:rPr>
          <w:rFonts w:ascii="Times New Roman" w:cs="Times New Roman" w:eastAsia="Times New Roman" w:hAnsi="Times New Roman"/>
          <w:sz w:val="21"/>
          <w:szCs w:val="21"/>
          <w:color w:val="auto"/>
        </w:rPr>
        <w:t>7.9 Notwithstanding the foregoing, and for the avoidance of doubt, this Section 7.7 shall not prohibit the conversion by holders of (including any payment upon conversion, whether in cash, Common Stock or a combination thereof), or required payment of any principal or premium on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w:t>
      </w:r>
    </w:p>
    <w:p>
      <w:pPr>
        <w:spacing w:after="0" w:line="148" w:lineRule="exact"/>
        <w:rPr>
          <w:sz w:val="20"/>
          <w:szCs w:val="20"/>
          <w:color w:val="auto"/>
        </w:rPr>
      </w:pPr>
    </w:p>
    <w:p>
      <w:pPr>
        <w:ind w:right="180" w:firstLine="619"/>
        <w:spacing w:after="0" w:line="217" w:lineRule="auto"/>
        <w:rPr>
          <w:sz w:val="20"/>
          <w:szCs w:val="20"/>
          <w:color w:val="auto"/>
        </w:rPr>
      </w:pPr>
      <w:r>
        <w:rPr>
          <w:rFonts w:ascii="Times New Roman" w:cs="Times New Roman" w:eastAsia="Times New Roman" w:hAnsi="Times New Roman"/>
          <w:sz w:val="21"/>
          <w:szCs w:val="21"/>
          <w:color w:val="auto"/>
        </w:rPr>
        <w:t xml:space="preserve">7.10 Transfers. Except for Permitted Transfers, Borrower shall not, and shall not allow any Subsidiary to, voluntarily or involuntarily transfer, sell, lease, license, lend or in any other manner convey any equitable, beneficial or legal interest in any material portion of its assets;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licenses of Company IP (to the extent not constituting Permitted Transfers) may be made with the consent of the Required Lenders, it being understood that the Required Lenders’ response in respect of such consent shall not be unreasonably withheld or delayed.</w:t>
      </w:r>
    </w:p>
    <w:p>
      <w:pPr>
        <w:spacing w:after="0" w:line="146" w:lineRule="exact"/>
        <w:rPr>
          <w:sz w:val="20"/>
          <w:szCs w:val="20"/>
          <w:color w:val="auto"/>
        </w:rPr>
      </w:pPr>
    </w:p>
    <w:p>
      <w:pPr>
        <w:ind w:right="220" w:firstLine="619"/>
        <w:spacing w:after="0" w:line="228" w:lineRule="auto"/>
        <w:rPr>
          <w:sz w:val="20"/>
          <w:szCs w:val="20"/>
          <w:color w:val="auto"/>
        </w:rPr>
      </w:pPr>
      <w:r>
        <w:rPr>
          <w:rFonts w:ascii="Times New Roman" w:cs="Times New Roman" w:eastAsia="Times New Roman" w:hAnsi="Times New Roman"/>
          <w:sz w:val="20"/>
          <w:szCs w:val="20"/>
          <w:color w:val="auto"/>
        </w:rPr>
        <w:t>7.11 Mergers or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 or, other than Permitted Acquisitions, acquire, or permit any of its Subsidiaries to acquire, in each case including for the avoidance of doubt through a merger, purchase, in-licensing arrangement or any similar transaction, all or substantially all of the capital stock or any property of another Person.</w:t>
      </w:r>
    </w:p>
    <w:p>
      <w:pPr>
        <w:spacing w:after="0" w:line="145" w:lineRule="exact"/>
        <w:rPr>
          <w:sz w:val="20"/>
          <w:szCs w:val="20"/>
          <w:color w:val="auto"/>
        </w:rPr>
      </w:pPr>
    </w:p>
    <w:p>
      <w:pPr>
        <w:ind w:firstLine="619"/>
        <w:spacing w:after="0" w:line="213" w:lineRule="auto"/>
        <w:rPr>
          <w:sz w:val="20"/>
          <w:szCs w:val="20"/>
          <w:color w:val="auto"/>
        </w:rPr>
      </w:pPr>
      <w:r>
        <w:rPr>
          <w:rFonts w:ascii="Times New Roman" w:cs="Times New Roman" w:eastAsia="Times New Roman" w:hAnsi="Times New Roman"/>
          <w:sz w:val="21"/>
          <w:szCs w:val="21"/>
          <w:color w:val="auto"/>
        </w:rPr>
        <w:t>7.12 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50" w:lineRule="exact"/>
        <w:rPr>
          <w:sz w:val="20"/>
          <w:szCs w:val="20"/>
          <w:color w:val="auto"/>
        </w:rPr>
      </w:pPr>
    </w:p>
    <w:p>
      <w:pPr>
        <w:ind w:right="120" w:firstLine="619"/>
        <w:spacing w:after="0" w:line="220" w:lineRule="auto"/>
        <w:rPr>
          <w:sz w:val="20"/>
          <w:szCs w:val="20"/>
          <w:color w:val="auto"/>
        </w:rPr>
      </w:pPr>
      <w:r>
        <w:rPr>
          <w:rFonts w:ascii="Times New Roman" w:cs="Times New Roman" w:eastAsia="Times New Roman" w:hAnsi="Times New Roman"/>
          <w:sz w:val="21"/>
          <w:szCs w:val="21"/>
          <w:color w:val="auto"/>
        </w:rPr>
        <w:t>7.13 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other than with respect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1" w:name="page152"/>
    <w:bookmarkEnd w:id="151"/>
    <w:p>
      <w:pPr>
        <w:ind w:right="20"/>
        <w:spacing w:after="0" w:line="221" w:lineRule="auto"/>
        <w:rPr>
          <w:sz w:val="20"/>
          <w:szCs w:val="20"/>
          <w:color w:val="auto"/>
        </w:rPr>
      </w:pPr>
      <w:r>
        <w:rPr>
          <w:rFonts w:ascii="Times New Roman" w:cs="Times New Roman" w:eastAsia="Times New Roman" w:hAnsi="Times New Roman"/>
          <w:sz w:val="20"/>
          <w:szCs w:val="20"/>
          <w:color w:val="auto"/>
        </w:rPr>
        <w:t>to Replimune UK, such relocation shall be within the continental United States of America. Neither Borrower nor any Subsidiary shall relocate any item of Collateral (other than (x) sales of Inventory in the ordinary course of business, (y) relocations of Equipment having an aggregate value of up to $150,000 in any fiscal year, and (z) relocations of Collateral from a location identified in Section 4(d) and Section 4(e) of the Perfection Certificate (as in effect on the date hereof) to another location identified in Section 4(d) and Section 4(e) of the Perfection Certificate (as in effect on the date hereof)) unless (1) it has provided prompt written notice to Agent, (2) other than with respect to Replimune UK, such relocation is within the continental United States of America or, with respect to Replimune UK, such relocation is within the United Kingdom, and (3) if such relocation is to a third party bailee, it has delivered a bailee agreement (to the extent customary under applicable law) in form and substance reasonably acceptable to Agent, excluding: (A) the leased premises located at 69 Innovation Drive, Milton Park, Abingdon, Oxfordshire, United Kingdom, OX14 4RQ and (B) the locations identified in Section 4(e) of the Perfection Certificate (as in effect on the date hereof), but such exclusion shall only be effective if such locations are solely used in connection with clinical trials or the Collateral located at such locations are comprised solely of drug products.</w:t>
      </w:r>
    </w:p>
    <w:p>
      <w:pPr>
        <w:spacing w:after="0" w:line="146" w:lineRule="exact"/>
        <w:rPr>
          <w:sz w:val="20"/>
          <w:szCs w:val="20"/>
          <w:color w:val="auto"/>
        </w:rPr>
      </w:pPr>
    </w:p>
    <w:p>
      <w:pPr>
        <w:ind w:right="200" w:firstLine="619"/>
        <w:spacing w:after="0" w:line="217" w:lineRule="auto"/>
        <w:rPr>
          <w:sz w:val="20"/>
          <w:szCs w:val="20"/>
          <w:color w:val="auto"/>
        </w:rPr>
      </w:pPr>
      <w:r>
        <w:rPr>
          <w:rFonts w:ascii="Times New Roman" w:cs="Times New Roman" w:eastAsia="Times New Roman" w:hAnsi="Times New Roman"/>
          <w:sz w:val="21"/>
          <w:szCs w:val="21"/>
          <w:color w:val="auto"/>
        </w:rPr>
        <w:t>7.14 Deposit Accounts. Neither Borrower nor any Subsidiary (other than Excluded Subsidiaries and the MSC Subsidiary) shall maintain any Deposit Accounts, or accounts holding Investment Property, except with respect to which Agent has an Account Control Agreement, in each case other than Excluded Accounts. Borrower shall not permit any Excluded Subsidiary to hold cash or cash equivalents in an aggregate amount greater than $1,000,000 for any single Excluded Subsidiary and $1,500,000 for all Excluded Subsidiaries.</w:t>
      </w:r>
    </w:p>
    <w:p>
      <w:pPr>
        <w:spacing w:after="0" w:line="146" w:lineRule="exact"/>
        <w:rPr>
          <w:sz w:val="20"/>
          <w:szCs w:val="20"/>
          <w:color w:val="auto"/>
        </w:rPr>
      </w:pPr>
    </w:p>
    <w:p>
      <w:pPr>
        <w:ind w:firstLine="619"/>
        <w:spacing w:after="0" w:line="220" w:lineRule="auto"/>
        <w:rPr>
          <w:sz w:val="20"/>
          <w:szCs w:val="20"/>
          <w:color w:val="auto"/>
        </w:rPr>
      </w:pPr>
      <w:r>
        <w:rPr>
          <w:rFonts w:ascii="Times New Roman" w:cs="Times New Roman" w:eastAsia="Times New Roman" w:hAnsi="Times New Roman"/>
          <w:sz w:val="21"/>
          <w:szCs w:val="21"/>
          <w:color w:val="auto"/>
        </w:rPr>
        <w:t>7.15 New Subsidiaries. Borrower shall notify Agent of each Subsidiary formed subsequent to the Closing Date and, within 30 days of formation, shall cause any such Subsidiary (other than an Excluded Subsidiary) to execute and deliver to Agent a Joinder Agreement. In the event one or more Subsidiaries that were previously Excluded Subsidiaries no longer qualify as an Excluded Subsidiary, such Subsidiaries shall be subject to the requirements of the immediately preceding sentence.</w:t>
      </w:r>
    </w:p>
    <w:p>
      <w:pPr>
        <w:spacing w:after="0" w:line="146" w:lineRule="exact"/>
        <w:rPr>
          <w:sz w:val="20"/>
          <w:szCs w:val="20"/>
          <w:color w:val="auto"/>
        </w:rPr>
      </w:pPr>
    </w:p>
    <w:p>
      <w:pPr>
        <w:jc w:val="both"/>
        <w:ind w:right="60" w:firstLine="619"/>
        <w:spacing w:after="0" w:line="225" w:lineRule="auto"/>
        <w:rPr>
          <w:sz w:val="20"/>
          <w:szCs w:val="20"/>
          <w:color w:val="auto"/>
        </w:rPr>
      </w:pPr>
      <w:r>
        <w:rPr>
          <w:rFonts w:ascii="Times New Roman" w:cs="Times New Roman" w:eastAsia="Times New Roman" w:hAnsi="Times New Roman"/>
          <w:sz w:val="21"/>
          <w:szCs w:val="21"/>
          <w:color w:val="auto"/>
        </w:rPr>
        <w:t>7.16 MSC Investments. At any time that (a) the MSC Subsidiary has any assets or liabilities and (b) the aggregate amount of the consolidated Cash of Borrower and its Subsidiaries is equal to or less than One Hundred Fifty Million Dollars ($150,000,000), then Borrower shall satisfy the MSC Investment Conditions at any such time.</w:t>
      </w:r>
    </w:p>
    <w:p>
      <w:pPr>
        <w:spacing w:after="0" w:line="14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7.17</w:t>
      </w:r>
      <w:r>
        <w:rPr>
          <w:sz w:val="20"/>
          <w:szCs w:val="20"/>
          <w:color w:val="auto"/>
        </w:rPr>
        <w:tab/>
      </w:r>
      <w:r>
        <w:rPr>
          <w:rFonts w:ascii="Times New Roman" w:cs="Times New Roman" w:eastAsia="Times New Roman" w:hAnsi="Times New Roman"/>
          <w:sz w:val="20"/>
          <w:szCs w:val="20"/>
          <w:color w:val="auto"/>
        </w:rPr>
        <w:t>Notification of Event of Default. Borrower shall notify Agent immediately of the occurrence of any Event of Default.</w:t>
      </w:r>
    </w:p>
    <w:p>
      <w:pPr>
        <w:spacing w:after="0" w:line="171" w:lineRule="exact"/>
        <w:rPr>
          <w:sz w:val="20"/>
          <w:szCs w:val="20"/>
          <w:color w:val="auto"/>
        </w:rPr>
      </w:pPr>
    </w:p>
    <w:p>
      <w:pPr>
        <w:jc w:val="both"/>
        <w:ind w:right="60" w:firstLine="619"/>
        <w:spacing w:after="0" w:line="225" w:lineRule="auto"/>
        <w:rPr>
          <w:sz w:val="20"/>
          <w:szCs w:val="20"/>
          <w:color w:val="auto"/>
        </w:rPr>
      </w:pPr>
      <w:r>
        <w:rPr>
          <w:rFonts w:ascii="Times New Roman" w:cs="Times New Roman" w:eastAsia="Times New Roman" w:hAnsi="Times New Roman"/>
          <w:sz w:val="21"/>
          <w:szCs w:val="21"/>
          <w:color w:val="auto"/>
        </w:rPr>
        <w:t>7.18 Use of Proceeds. Borrower agrees that the proceeds of the Loans shall be used solely to pay related fees and expenses in connection with this Agreement and for working capital and general corporate purposes. The proceeds of the Loans will not be used in violation of Anti-Corruption Laws or applicable Sanctions.</w:t>
      </w:r>
    </w:p>
    <w:p>
      <w:pPr>
        <w:spacing w:after="0" w:line="14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7.19</w:t>
      </w:r>
      <w:r>
        <w:rPr>
          <w:sz w:val="20"/>
          <w:szCs w:val="20"/>
          <w:color w:val="auto"/>
        </w:rPr>
        <w:tab/>
      </w:r>
      <w:r>
        <w:rPr>
          <w:rFonts w:ascii="Times New Roman" w:cs="Times New Roman" w:eastAsia="Times New Roman" w:hAnsi="Times New Roman"/>
          <w:sz w:val="20"/>
          <w:szCs w:val="20"/>
          <w:color w:val="auto"/>
        </w:rPr>
        <w:t>Compliance with Laws.</w:t>
      </w:r>
    </w:p>
    <w:p>
      <w:pPr>
        <w:spacing w:after="0" w:line="171" w:lineRule="exact"/>
        <w:rPr>
          <w:sz w:val="20"/>
          <w:szCs w:val="20"/>
          <w:color w:val="auto"/>
        </w:rPr>
      </w:pPr>
    </w:p>
    <w:p>
      <w:pPr>
        <w:ind w:left="620" w:firstLine="621"/>
        <w:spacing w:after="0" w:line="215" w:lineRule="auto"/>
        <w:tabs>
          <w:tab w:leader="none" w:pos="185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(i) shall maintain, and shall cause its Subsidiaries to maintain, compliance in all material respects with all applicable laws, rules or regulations (including any law, rule or regulation with respect to the making or brokering of loans or financial accommodations), and (ii) shall, or cause its Subsidiaries to, obtain and maintain all required governmental authorizations, approvals, licenses, franchises, permits or registrations reasonably necessary in connection with the conduct of Borrower’s business. Borrower shall not become an “investment company” or a company controlled by an “investment company”, under the Investment Company Act of 1940, as amended, or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49</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52" w:name="page153"/>
    <w:bookmarkEnd w:id="152"/>
    <w:p>
      <w:pPr>
        <w:ind w:left="620"/>
        <w:spacing w:after="0" w:line="235" w:lineRule="auto"/>
        <w:rPr>
          <w:sz w:val="20"/>
          <w:szCs w:val="20"/>
          <w:color w:val="auto"/>
        </w:rPr>
      </w:pPr>
      <w:r>
        <w:rPr>
          <w:rFonts w:ascii="Times New Roman" w:cs="Times New Roman" w:eastAsia="Times New Roman" w:hAnsi="Times New Roman"/>
          <w:sz w:val="21"/>
          <w:szCs w:val="21"/>
          <w:color w:val="auto"/>
        </w:rPr>
        <w:t>undertake as one of its important activities extending credit to purchase or carry margin stock (as defined in Regulation X, T and U of the Federal Reserve Board of Governors).</w:t>
      </w:r>
    </w:p>
    <w:p>
      <w:pPr>
        <w:spacing w:after="0" w:line="146" w:lineRule="exact"/>
        <w:rPr>
          <w:sz w:val="20"/>
          <w:szCs w:val="20"/>
          <w:color w:val="auto"/>
        </w:rPr>
      </w:pPr>
    </w:p>
    <w:p>
      <w:pPr>
        <w:ind w:left="620" w:right="120" w:firstLine="621"/>
        <w:spacing w:after="0" w:line="211" w:lineRule="auto"/>
        <w:tabs>
          <w:tab w:leader="none" w:pos="185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Borrower nor any of its Subsidiaries shall, nor shall Borrower or any of its Subsidiaries permit, to its knowledge, any Affiliate to, directly or indirectly, knowingly enter into any documents, instruments, agreements or contracts with any Person listed on the OFAC Lists. Neither Borrower nor any Subsidiary shall, nor shall Borrower or any of its Subsidiaries permit, to its knowledge,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45" w:lineRule="exact"/>
        <w:rPr>
          <w:rFonts w:ascii="Times New Roman" w:cs="Times New Roman" w:eastAsia="Times New Roman" w:hAnsi="Times New Roman"/>
          <w:sz w:val="21"/>
          <w:szCs w:val="21"/>
          <w:color w:val="auto"/>
        </w:rPr>
      </w:pPr>
    </w:p>
    <w:p>
      <w:pPr>
        <w:ind w:left="620" w:right="360" w:firstLine="621"/>
        <w:spacing w:after="0" w:line="217" w:lineRule="auto"/>
        <w:tabs>
          <w:tab w:leader="none" w:pos="185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has implemented and maintains in effect policies and procedures designed to ensure compliance by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45" w:lineRule="exact"/>
        <w:rPr>
          <w:rFonts w:ascii="Times New Roman" w:cs="Times New Roman" w:eastAsia="Times New Roman" w:hAnsi="Times New Roman"/>
          <w:sz w:val="21"/>
          <w:szCs w:val="21"/>
          <w:color w:val="auto"/>
        </w:rPr>
      </w:pPr>
    </w:p>
    <w:p>
      <w:pPr>
        <w:jc w:val="both"/>
        <w:ind w:left="620" w:right="180" w:firstLine="621"/>
        <w:spacing w:after="0" w:line="220" w:lineRule="auto"/>
        <w:tabs>
          <w:tab w:leader="none" w:pos="185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46" w:lineRule="exact"/>
        <w:rPr>
          <w:sz w:val="20"/>
          <w:szCs w:val="20"/>
          <w:color w:val="auto"/>
        </w:rPr>
      </w:pPr>
    </w:p>
    <w:p>
      <w:pPr>
        <w:ind w:right="20" w:firstLine="619"/>
        <w:spacing w:after="0" w:line="208" w:lineRule="auto"/>
        <w:rPr>
          <w:sz w:val="20"/>
          <w:szCs w:val="20"/>
          <w:color w:val="auto"/>
        </w:rPr>
      </w:pPr>
      <w:r>
        <w:rPr>
          <w:rFonts w:ascii="Times New Roman" w:cs="Times New Roman" w:eastAsia="Times New Roman" w:hAnsi="Times New Roman"/>
          <w:sz w:val="21"/>
          <w:szCs w:val="21"/>
          <w:color w:val="auto"/>
        </w:rPr>
        <w:t>7.20 Company IP. Each Borrower shall (i) protect, defend and maintain the validity and enforceability of its Company IP that is material to its business; (ii) promptly advise Agent in writing of material infringements of its Company IP that is material to its business; and (iii) not allow any Company IP material to Borrower’s business to be abandoned, forfeited or dedicated to the public without Agent’s written consent, provided that Borrower is not required to advise Agent or obtain Agent’s consent (written or otherwise) to allow to abandon, forfeit or dedicate to the public Current Company IP as determined in the good faith business judgment of the Borrower. If a Borrower (a) obtains any Patent, registered Copyright, registered Trademark, or any pending application for any of the foregoing, whether as owner, licensee or otherwise, or (b) applies for any Patent or the registration of any Trademark, then such Borrower shall, concurrently with the delivery of the Financial Statements pursuant to Section 7.1(b) for the period in which such acquisition or application occurs, provide written notice thereof to Agent and shall promptly thereafter execute such intellectual property security agreements and other documents and take such other actions as Agent may reasonably request in its good faith business judgment and consistent with the terms of the Loan Documents to perfect and maintain a first priority perfected security interest in favor of Agent in such property. If a Borrower decides to register any Copyrights or mask works in the United States Copyright Office, such Borrower shall: (x) concurrently with the delivery of the Financial Statements pursuant to Section 7.1(b) for the period in which such acquisition or application occurs, provide written notice to Agent (including copies of all applications and/or evidence of registration therefor) of such Borrower’s registration of such Copyrights or mask works together with a copy of the application filed with the United States Copyright Office (excluding exhibits thereto); and (y)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3" w:name="page154"/>
    <w:bookmarkEnd w:id="153"/>
    <w:p>
      <w:pPr>
        <w:ind w:right="20"/>
        <w:spacing w:after="0" w:line="219" w:lineRule="auto"/>
        <w:rPr>
          <w:sz w:val="20"/>
          <w:szCs w:val="20"/>
          <w:color w:val="auto"/>
        </w:rPr>
      </w:pPr>
      <w:r>
        <w:rPr>
          <w:rFonts w:ascii="Times New Roman" w:cs="Times New Roman" w:eastAsia="Times New Roman" w:hAnsi="Times New Roman"/>
          <w:sz w:val="20"/>
          <w:szCs w:val="20"/>
          <w:color w:val="auto"/>
        </w:rPr>
        <w:t>promptly thereafter execute an intellectual property security agreement and such other documents and take such other actions as Agent may reasonably request in its good faith business judgment and consistent with the terms of the Loan Documents to perfect and maintain a first priority perfected security interest in favor of Agent in the Copyrights or mask works intended to be registered with the United States Copyright Office. Borrowers shall, concurrently with the delivery of the Financial Statements pursuant to Section 7.1(b) for the period in which such application is filed, provide to Agent copies of all applications that it files for Patents or for the registration of Trademarks, Copyrights or mask works. Notwithstanding the foregoing, prior to the occurrence and continuance of an Event of Default (and during the continuance thereof, after written request therefor from the Agent), no Borrower will be required to make any filings or recordings or take such other actions in respect of perfecting or recording the security interests created pursuant to this Agreement in any Company IP, other than filings or recordings to perfect or make enforceable any security interests in any Company IP in the United States or the United Kingdom. Borrower shall provide written notice to Agent concurrently with the delivery of the Financial Statements pursuant to Section 7.1(b) for the period in which Borrower enters or becomes bound by any Restricted License. From and after the date the aggregate outstanding Term Loan Advances exceeds $100,000,000, promptly following Agent’s request therefor, Borrower shall use commercially reasonable efforts to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w:t>
      </w:r>
    </w:p>
    <w:p>
      <w:pPr>
        <w:spacing w:after="0" w:line="145" w:lineRule="exact"/>
        <w:rPr>
          <w:sz w:val="20"/>
          <w:szCs w:val="20"/>
          <w:color w:val="auto"/>
        </w:rPr>
      </w:pPr>
    </w:p>
    <w:p>
      <w:pPr>
        <w:ind w:right="200" w:firstLine="619"/>
        <w:spacing w:after="0" w:line="231" w:lineRule="auto"/>
        <w:rPr>
          <w:sz w:val="20"/>
          <w:szCs w:val="20"/>
          <w:color w:val="auto"/>
        </w:rPr>
      </w:pPr>
      <w:r>
        <w:rPr>
          <w:rFonts w:ascii="Times New Roman" w:cs="Times New Roman" w:eastAsia="Times New Roman" w:hAnsi="Times New Roman"/>
          <w:sz w:val="20"/>
          <w:szCs w:val="20"/>
          <w:color w:val="auto"/>
        </w:rPr>
        <w:t>7.21 Transactions with Affiliates. Borrower shall not and shall not permit any Subsidiary to, directly or indirectly, enter into or permit to exist any transaction of any kind with any Affiliate of Borrower or such Subsidiary (other than transactions among Borrowers permitted under this Agreement) on terms that are less favorable to Borrower or such Subsidiary, as the case may be, than those that might be obtained in an arm’s length transaction from a Person who is not an Affiliate of Borrower or such Subsidiary.</w:t>
      </w:r>
    </w:p>
    <w:p>
      <w:pPr>
        <w:spacing w:after="0" w:line="146"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0"/>
          <w:szCs w:val="20"/>
          <w:color w:val="auto"/>
        </w:rPr>
        <w:t>7.22 COMI. No Borrower or a Subsidiary of a Borrower, in each case whose jurisdiction of incorporation or organization is in a member state of the European Union shall change its “centre of main interests” (as that term is used in Article 3(1) of the Regulation).</w:t>
      </w:r>
    </w:p>
    <w:p>
      <w:pPr>
        <w:spacing w:after="0" w:line="11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7.23</w:t>
      </w:r>
      <w:r>
        <w:rPr>
          <w:sz w:val="20"/>
          <w:szCs w:val="20"/>
          <w:color w:val="auto"/>
        </w:rPr>
        <w:tab/>
      </w:r>
      <w:r>
        <w:rPr>
          <w:rFonts w:ascii="Times New Roman" w:cs="Times New Roman" w:eastAsia="Times New Roman" w:hAnsi="Times New Roman"/>
          <w:sz w:val="20"/>
          <w:szCs w:val="20"/>
          <w:color w:val="auto"/>
        </w:rPr>
        <w:t>People with Significant Control Regime. Each Borrower shall (and the Parent shall ensure that each of its Subsidiaries</w:t>
      </w:r>
    </w:p>
    <w:p>
      <w:pPr>
        <w:spacing w:after="0" w:line="215" w:lineRule="auto"/>
        <w:rPr>
          <w:sz w:val="20"/>
          <w:szCs w:val="20"/>
          <w:color w:val="auto"/>
        </w:rPr>
      </w:pPr>
      <w:r>
        <w:rPr>
          <w:rFonts w:ascii="Times New Roman" w:cs="Times New Roman" w:eastAsia="Times New Roman" w:hAnsi="Times New Roman"/>
          <w:sz w:val="20"/>
          <w:szCs w:val="20"/>
          <w:color w:val="auto"/>
        </w:rPr>
        <w:t>will): (a) within the relevant timeframe, comply with any notice it receives pursuant to Part 21A of the Companies Act 2006 from any</w:t>
      </w:r>
    </w:p>
    <w:p>
      <w:pPr>
        <w:spacing w:after="0"/>
        <w:rPr>
          <w:sz w:val="20"/>
          <w:szCs w:val="20"/>
          <w:color w:val="auto"/>
        </w:rPr>
      </w:pPr>
      <w:r>
        <w:rPr>
          <w:rFonts w:ascii="Times New Roman" w:cs="Times New Roman" w:eastAsia="Times New Roman" w:hAnsi="Times New Roman"/>
          <w:sz w:val="21"/>
          <w:szCs w:val="21"/>
          <w:color w:val="auto"/>
        </w:rPr>
        <w:t>UK PSC Loan Party; and (b) promptly provide Agent with a copy of that notice.</w:t>
      </w:r>
    </w:p>
    <w:p>
      <w:pPr>
        <w:spacing w:after="0" w:line="14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7.24</w:t>
      </w:r>
      <w:r>
        <w:rPr>
          <w:sz w:val="20"/>
          <w:szCs w:val="20"/>
          <w:color w:val="auto"/>
        </w:rPr>
        <w:tab/>
      </w:r>
      <w:r>
        <w:rPr>
          <w:rFonts w:ascii="Times New Roman" w:cs="Times New Roman" w:eastAsia="Times New Roman" w:hAnsi="Times New Roman"/>
          <w:sz w:val="20"/>
          <w:szCs w:val="20"/>
          <w:color w:val="auto"/>
        </w:rPr>
        <w:t>Financial Covenants.</w:t>
      </w:r>
    </w:p>
    <w:p>
      <w:pPr>
        <w:spacing w:after="0" w:line="171" w:lineRule="exact"/>
        <w:rPr>
          <w:sz w:val="20"/>
          <w:szCs w:val="20"/>
          <w:color w:val="auto"/>
        </w:rPr>
      </w:pPr>
    </w:p>
    <w:p>
      <w:pPr>
        <w:ind w:left="1860" w:hanging="619"/>
        <w:spacing w:after="0"/>
        <w:tabs>
          <w:tab w:leader="none" w:pos="186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Minimum Cash.</w:t>
      </w:r>
    </w:p>
    <w:p>
      <w:pPr>
        <w:spacing w:after="0" w:line="171" w:lineRule="exact"/>
        <w:rPr>
          <w:rFonts w:ascii="Times New Roman" w:cs="Times New Roman" w:eastAsia="Times New Roman" w:hAnsi="Times New Roman"/>
          <w:sz w:val="21"/>
          <w:szCs w:val="21"/>
          <w:color w:val="auto"/>
        </w:rPr>
      </w:pPr>
    </w:p>
    <w:p>
      <w:pPr>
        <w:ind w:left="1240" w:right="80" w:firstLine="1238"/>
        <w:spacing w:after="0" w:line="213" w:lineRule="auto"/>
        <w:tabs>
          <w:tab w:leader="none" w:pos="3085"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at all times maintain Unrestricted Cash in an amount not less than 35% of the aggregate outstanding Secured Obligations (inclusive of any Prepayment Charge and End of Term Charge that would be due and owing if the outstanding Term Loan Advances were prepaid at the time of measurement) plus the Qualified Cash A/P Amount; provided that, upon (i) achievement of the Approval Milestone and (ii) the effectiveness of the Performance Covenant, Borrower shall at all times maintain Unrestricted Cash in an amount not less than 20% of the aggregate outstanding Secured Obligations (inclusive of any Prepayment Charge and End of Term Charge that would be due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51</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4" w:name="page155"/>
    <w:bookmarkEnd w:id="154"/>
    <w:p>
      <w:pPr>
        <w:ind w:left="120" w:right="200"/>
        <w:spacing w:after="0" w:line="221" w:lineRule="auto"/>
        <w:rPr>
          <w:sz w:val="20"/>
          <w:szCs w:val="20"/>
          <w:color w:val="auto"/>
        </w:rPr>
      </w:pPr>
      <w:r>
        <w:rPr>
          <w:rFonts w:ascii="Times New Roman" w:cs="Times New Roman" w:eastAsia="Times New Roman" w:hAnsi="Times New Roman"/>
          <w:sz w:val="20"/>
          <w:szCs w:val="20"/>
          <w:color w:val="auto"/>
        </w:rPr>
        <w:t>and owing if the outstanding Term Loan Advances were prepaid at the time of measurement) plus the Qualified Cash A/P Amount; provided further that if the Borrower has not yet achieved the Approval Milestone, upon the earlier of (i) April 1, 2027 and (ii) sixty (60) days following Borrower’s receipt of a Complete Response Letter from the FDA for Borrower’s BLA resubmission for RP1 for the treatment of advanced melanoma (a copy of which shall be promptly delivered upon receipt to Agent), Borrower shall at all times until the date the Approval Milestone is achieved and the Performance Covenant is effective, maintain Unrestricted Cash in an amount of not less than 65% of the aggregate outstanding Secured Obligations (inclusive of any Prepayment Charge and End of Term Charge that would be due and owing if the outstanding Term Loan Advances were prepaid at the time of measurement) plus the Qualified Cash A/P Amount; provided, further, that the outstanding Term Loan Advances shall include, for the avoidance of doubt, any principal that has been added to the principal balance of such Term Loan Advances pursuant to Section 2.2(h)(ii)).</w:t>
      </w:r>
    </w:p>
    <w:p>
      <w:pPr>
        <w:spacing w:after="0" w:line="151" w:lineRule="exact"/>
        <w:rPr>
          <w:sz w:val="20"/>
          <w:szCs w:val="20"/>
          <w:color w:val="auto"/>
        </w:rPr>
      </w:pPr>
    </w:p>
    <w:p>
      <w:pPr>
        <w:ind w:left="120" w:right="140" w:firstLine="1238"/>
        <w:spacing w:after="0" w:line="225" w:lineRule="auto"/>
        <w:tabs>
          <w:tab w:leader="none" w:pos="1971"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makes any cash payment in respect of the principal of Permitted Convertible Debt, subject to satisfaction of the Redemption Conditions, Borrower shall, at all times thereafter, maintain Unrestricted Cash in the amount required by the defined term “Redemption Conditions”.</w:t>
      </w:r>
    </w:p>
    <w:p>
      <w:pPr>
        <w:spacing w:after="0" w:line="145" w:lineRule="exact"/>
        <w:rPr>
          <w:rFonts w:ascii="Times New Roman" w:cs="Times New Roman" w:eastAsia="Times New Roman" w:hAnsi="Times New Roman"/>
          <w:sz w:val="21"/>
          <w:szCs w:val="21"/>
          <w:color w:val="auto"/>
        </w:rPr>
      </w:pPr>
    </w:p>
    <w:p>
      <w:pPr>
        <w:ind w:left="-500" w:right="20" w:firstLine="621"/>
        <w:spacing w:after="0" w:line="217" w:lineRule="auto"/>
        <w:tabs>
          <w:tab w:leader="none" w:pos="733"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Conditional Performance Covenant. Beginning on the Performance Covenant Trigger Date, tested on a monthly basis from and after such date, Borrower shall be required to comply with at least one of the following requirements (it being understood and agreed that Borrower shall be permitted to switch on a month to month basis from one such requirement to another, such that compliance with one such requirement in one month will not preclude Borrower from complying with another such requirement in a subsequent month):</w:t>
      </w:r>
    </w:p>
    <w:p>
      <w:pPr>
        <w:spacing w:after="0" w:line="145" w:lineRule="exact"/>
        <w:rPr>
          <w:rFonts w:ascii="Times New Roman" w:cs="Times New Roman" w:eastAsia="Times New Roman" w:hAnsi="Times New Roman"/>
          <w:sz w:val="21"/>
          <w:szCs w:val="21"/>
          <w:color w:val="auto"/>
        </w:rPr>
      </w:pPr>
    </w:p>
    <w:p>
      <w:pPr>
        <w:ind w:left="120" w:right="20" w:firstLine="1238"/>
        <w:spacing w:after="0" w:line="225" w:lineRule="auto"/>
        <w:tabs>
          <w:tab w:leader="none" w:pos="1965"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last date of each month, Borrower’s T3M Net Product Revenue shall be no less than 60% of the projected T3M Net Product Revenue for the trailing three-month period most recently then ended as set forth in the Forecast, provided that for the avoidance of doubt, projected T3M Net Product Revenue shall not be $0;</w:t>
      </w:r>
    </w:p>
    <w:p>
      <w:pPr>
        <w:spacing w:after="0" w:line="146" w:lineRule="exact"/>
        <w:rPr>
          <w:sz w:val="20"/>
          <w:szCs w:val="20"/>
          <w:color w:val="auto"/>
        </w:rPr>
      </w:pPr>
    </w:p>
    <w:p>
      <w:pPr>
        <w:ind w:left="120" w:right="80" w:firstLine="1238"/>
        <w:spacing w:after="0" w:line="213" w:lineRule="auto"/>
        <w:tabs>
          <w:tab w:leader="none" w:pos="197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times during the maintenance period beginning on the first day of such month through and including the date on which Borrower has delivered the financial statements in accordance with Section 7.1(a) and the Compliance Certificate for such month in accordance with Section 7.1(d) to Agent, Borrower shall maintain (A) a Market Capitalization of at least $1,200,000,000 and (B) Unrestricted Cash in an amount not less than 50% of the aggregate outstanding Secured Obligations (inclusive of any Prepayment Charge and End of Term Charge that would be due and owing if the outstanding Term Loan Advances were prepaid at the time of measurement) plus the Qualified Cash A/P Amount; and</w:t>
      </w:r>
    </w:p>
    <w:p>
      <w:pPr>
        <w:spacing w:after="0" w:line="149" w:lineRule="exact"/>
        <w:rPr>
          <w:rFonts w:ascii="Times New Roman" w:cs="Times New Roman" w:eastAsia="Times New Roman" w:hAnsi="Times New Roman"/>
          <w:sz w:val="21"/>
          <w:szCs w:val="21"/>
          <w:color w:val="auto"/>
        </w:rPr>
      </w:pPr>
    </w:p>
    <w:p>
      <w:pPr>
        <w:ind w:left="120" w:firstLine="1238"/>
        <w:spacing w:after="0" w:line="217" w:lineRule="auto"/>
        <w:tabs>
          <w:tab w:leader="none" w:pos="1976"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all times during the maintenance period beginning on the first day of such month through and including the date on which Borrower has delivered the financial statements in accordance with Section 7.1(a) and the Compliance Certificate for such month in accordance with Section 7.1(d) to Agent, Borrower shall maintain Unrestricted Cash in an amount not less than 85% of the aggregate outstanding Secured Obligations (inclusive of any Prepayment Charge and End of Term Charge that would be due and owing if the outstanding</w:t>
      </w:r>
    </w:p>
    <w:p>
      <w:pPr>
        <w:spacing w:after="0" w:line="200" w:lineRule="exact"/>
        <w:rPr>
          <w:sz w:val="20"/>
          <w:szCs w:val="20"/>
          <w:color w:val="auto"/>
        </w:rPr>
      </w:pPr>
    </w:p>
    <w:p>
      <w:pPr>
        <w:spacing w:after="0" w:line="3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52</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20"/>
          </w:cols>
          <w:pgMar w:left="1440" w:top="1339" w:right="339" w:bottom="1440" w:gutter="0" w:footer="0" w:header="0"/>
        </w:sectPr>
      </w:pPr>
    </w:p>
    <w:bookmarkStart w:id="155" w:name="page156"/>
    <w:bookmarkEnd w:id="155"/>
    <w:p>
      <w:pPr>
        <w:ind w:left="1240"/>
        <w:spacing w:after="0"/>
        <w:rPr>
          <w:sz w:val="20"/>
          <w:szCs w:val="20"/>
          <w:color w:val="auto"/>
        </w:rPr>
      </w:pPr>
      <w:r>
        <w:rPr>
          <w:rFonts w:ascii="Times New Roman" w:cs="Times New Roman" w:eastAsia="Times New Roman" w:hAnsi="Times New Roman"/>
          <w:sz w:val="21"/>
          <w:szCs w:val="21"/>
          <w:color w:val="auto"/>
        </w:rPr>
        <w:t>Term Loan Advances were prepaid at the time of measurement) plus the Qualified Cash A/P Amount;</w:t>
      </w:r>
    </w:p>
    <w:p>
      <w:pPr>
        <w:spacing w:after="0" w:line="197" w:lineRule="exact"/>
        <w:rPr>
          <w:sz w:val="20"/>
          <w:szCs w:val="20"/>
          <w:color w:val="auto"/>
        </w:rPr>
      </w:pPr>
    </w:p>
    <w:p>
      <w:pPr>
        <w:ind w:left="1240" w:right="220" w:firstLine="1"/>
        <w:spacing w:after="0" w:line="269" w:lineRule="auto"/>
        <w:tabs>
          <w:tab w:leader="none" w:pos="184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that the outstanding Term Loan Advances shall include, for the avoidance of doubt, any principal that has been added to the principal balance of such Term Loan Advances pursuant to Section 2.2(h)(ii)).</w:t>
      </w:r>
    </w:p>
    <w:p>
      <w:pPr>
        <w:spacing w:after="0" w:line="12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7.25</w:t>
      </w:r>
      <w:r>
        <w:rPr>
          <w:sz w:val="20"/>
          <w:szCs w:val="20"/>
          <w:color w:val="auto"/>
        </w:rPr>
        <w:tab/>
      </w:r>
      <w:r>
        <w:rPr>
          <w:rFonts w:ascii="Times New Roman" w:cs="Times New Roman" w:eastAsia="Times New Roman" w:hAnsi="Times New Roman"/>
          <w:sz w:val="20"/>
          <w:szCs w:val="20"/>
          <w:color w:val="auto"/>
        </w:rPr>
        <w:t>[reserved]</w:t>
      </w:r>
    </w:p>
    <w:p>
      <w:pPr>
        <w:spacing w:after="0" w:line="171" w:lineRule="exact"/>
        <w:rPr>
          <w:sz w:val="20"/>
          <w:szCs w:val="20"/>
          <w:color w:val="auto"/>
        </w:rPr>
      </w:pPr>
    </w:p>
    <w:p>
      <w:pPr>
        <w:ind w:right="260" w:firstLine="619"/>
        <w:spacing w:after="0" w:line="235" w:lineRule="auto"/>
        <w:rPr>
          <w:sz w:val="20"/>
          <w:szCs w:val="20"/>
          <w:color w:val="auto"/>
        </w:rPr>
      </w:pPr>
      <w:r>
        <w:rPr>
          <w:rFonts w:ascii="Times New Roman" w:cs="Times New Roman" w:eastAsia="Times New Roman" w:hAnsi="Times New Roman"/>
          <w:sz w:val="21"/>
          <w:szCs w:val="21"/>
          <w:color w:val="auto"/>
        </w:rPr>
        <w:t>7.26 Regulatory and Product Notices. Borrower shall within three (3) Business Days after the receipt or occurrence thereof notify Agent of:</w:t>
      </w:r>
    </w:p>
    <w:p>
      <w:pPr>
        <w:spacing w:after="0" w:line="146" w:lineRule="exact"/>
        <w:rPr>
          <w:sz w:val="20"/>
          <w:szCs w:val="20"/>
          <w:color w:val="auto"/>
        </w:rPr>
      </w:pPr>
    </w:p>
    <w:p>
      <w:pPr>
        <w:ind w:left="620" w:right="220" w:firstLine="621"/>
        <w:spacing w:after="0" w:line="235" w:lineRule="auto"/>
        <w:tabs>
          <w:tab w:leader="none" w:pos="185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written notice from a governmental authority received by Borrower or its Subsidiaries alleging potential or actual violations of any Public Health Law by Borrower or its Subsidiaries;</w:t>
      </w:r>
    </w:p>
    <w:p>
      <w:pPr>
        <w:spacing w:after="0" w:line="145" w:lineRule="exact"/>
        <w:rPr>
          <w:rFonts w:ascii="Times New Roman" w:cs="Times New Roman" w:eastAsia="Times New Roman" w:hAnsi="Times New Roman"/>
          <w:sz w:val="21"/>
          <w:szCs w:val="21"/>
          <w:color w:val="auto"/>
        </w:rPr>
      </w:pPr>
    </w:p>
    <w:p>
      <w:pPr>
        <w:ind w:left="620" w:right="880" w:firstLine="621"/>
        <w:spacing w:after="0" w:line="235" w:lineRule="auto"/>
        <w:tabs>
          <w:tab w:leader="none" w:pos="185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written notice from a governmental authority that the FDA (or international equivalent) is limiting, suspending or revoking any Registration (including, but not limited to, by the issuance of a clinical hold);</w:t>
      </w:r>
    </w:p>
    <w:p>
      <w:pPr>
        <w:spacing w:after="0" w:line="145" w:lineRule="exact"/>
        <w:rPr>
          <w:rFonts w:ascii="Times New Roman" w:cs="Times New Roman" w:eastAsia="Times New Roman" w:hAnsi="Times New Roman"/>
          <w:sz w:val="21"/>
          <w:szCs w:val="21"/>
          <w:color w:val="auto"/>
        </w:rPr>
      </w:pPr>
    </w:p>
    <w:p>
      <w:pPr>
        <w:ind w:left="620" w:right="360" w:firstLine="621"/>
        <w:spacing w:after="0" w:line="235" w:lineRule="auto"/>
        <w:tabs>
          <w:tab w:leader="none" w:pos="185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written notice from a governmental authority that Borrower or its Subsidiaries has become subject to any Regulatory Action;</w:t>
      </w:r>
    </w:p>
    <w:p>
      <w:pPr>
        <w:spacing w:after="0" w:line="145" w:lineRule="exact"/>
        <w:rPr>
          <w:rFonts w:ascii="Times New Roman" w:cs="Times New Roman" w:eastAsia="Times New Roman" w:hAnsi="Times New Roman"/>
          <w:sz w:val="21"/>
          <w:szCs w:val="21"/>
          <w:color w:val="auto"/>
        </w:rPr>
      </w:pPr>
    </w:p>
    <w:p>
      <w:pPr>
        <w:ind w:left="620" w:right="80" w:firstLine="621"/>
        <w:spacing w:after="0" w:line="235" w:lineRule="auto"/>
        <w:tabs>
          <w:tab w:leader="none" w:pos="185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exclusion or debarment from any governmental healthcare program or debarment or disqualification by FDA (or international equivalent) of Borrower or its Subsidiaries or its or their authorized officers;</w:t>
      </w:r>
    </w:p>
    <w:p>
      <w:pPr>
        <w:spacing w:after="0" w:line="145" w:lineRule="exact"/>
        <w:rPr>
          <w:rFonts w:ascii="Times New Roman" w:cs="Times New Roman" w:eastAsia="Times New Roman" w:hAnsi="Times New Roman"/>
          <w:sz w:val="21"/>
          <w:szCs w:val="21"/>
          <w:color w:val="auto"/>
        </w:rPr>
      </w:pPr>
    </w:p>
    <w:p>
      <w:pPr>
        <w:ind w:left="620" w:right="280" w:firstLine="621"/>
        <w:spacing w:after="0" w:line="225" w:lineRule="auto"/>
        <w:tabs>
          <w:tab w:leader="none" w:pos="185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from a governmental authority that Borrower or any Subsidiary, or any of their licensees or sublicensees (including licensees or sublicensees under any material agreement), is being investigated or is the subject of any allegation of potential or actual violations of any Federal Health Care Program Laws;</w:t>
      </w:r>
    </w:p>
    <w:p>
      <w:pPr>
        <w:spacing w:after="0" w:line="145" w:lineRule="exact"/>
        <w:rPr>
          <w:rFonts w:ascii="Times New Roman" w:cs="Times New Roman" w:eastAsia="Times New Roman" w:hAnsi="Times New Roman"/>
          <w:sz w:val="21"/>
          <w:szCs w:val="21"/>
          <w:color w:val="auto"/>
        </w:rPr>
      </w:pPr>
    </w:p>
    <w:p>
      <w:pPr>
        <w:ind w:left="620" w:right="40" w:firstLine="621"/>
        <w:spacing w:after="0" w:line="220" w:lineRule="auto"/>
        <w:tabs>
          <w:tab w:leader="none" w:pos="185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written notice from a governmental authority that any product of Borrower or its Subsidiaries has been seized, withdrawn, recalled, detained, or subject to a suspension of manufacturing, or the commencement of any proceedings in the United States of America or any other jurisdiction seeking the seizure, withdrawal, recall, import detention, or suspension of manufacturing, of any Product are pending or threatened in writing against Borrower or its Subsidiaries; or</w:t>
      </w:r>
    </w:p>
    <w:p>
      <w:pPr>
        <w:spacing w:after="0" w:line="145" w:lineRule="exact"/>
        <w:rPr>
          <w:rFonts w:ascii="Times New Roman" w:cs="Times New Roman" w:eastAsia="Times New Roman" w:hAnsi="Times New Roman"/>
          <w:sz w:val="21"/>
          <w:szCs w:val="21"/>
          <w:color w:val="auto"/>
        </w:rPr>
      </w:pPr>
    </w:p>
    <w:p>
      <w:pPr>
        <w:ind w:left="620" w:right="320" w:firstLine="621"/>
        <w:spacing w:after="0" w:line="235" w:lineRule="auto"/>
        <w:tabs>
          <w:tab w:leader="none" w:pos="185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narrowing or limiting the scope of marketing authorization or the labeling of the Products of Borrower and its Subsidiaries under any such Registration.</w:t>
      </w:r>
    </w:p>
    <w:p>
      <w:pPr>
        <w:spacing w:after="0" w:line="172" w:lineRule="exact"/>
        <w:rPr>
          <w:sz w:val="20"/>
          <w:szCs w:val="20"/>
          <w:color w:val="auto"/>
        </w:rPr>
      </w:pPr>
    </w:p>
    <w:p>
      <w:pPr>
        <w:ind w:firstLine="3"/>
        <w:spacing w:after="0" w:line="282" w:lineRule="auto"/>
        <w:tabs>
          <w:tab w:leader="none" w:pos="614"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each case of (a) through (g) above, where such action would not reasonably be expected to have, either individually or in the aggregate, Material Regulatory Liabilities.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b w:val="1"/>
          <w:bCs w:val="1"/>
          <w:u w:val="single" w:color="auto"/>
          <w:color w:val="auto"/>
        </w:rPr>
        <w:t>RIGHT TO INVEST</w:t>
      </w:r>
    </w:p>
    <w:p>
      <w:pPr>
        <w:spacing w:after="0" w:line="175" w:lineRule="exact"/>
        <w:rPr>
          <w:sz w:val="20"/>
          <w:szCs w:val="20"/>
          <w:color w:val="auto"/>
        </w:rPr>
      </w:pPr>
    </w:p>
    <w:p>
      <w:pPr>
        <w:ind w:right="20" w:firstLine="619"/>
        <w:spacing w:after="0" w:line="217" w:lineRule="auto"/>
        <w:rPr>
          <w:sz w:val="20"/>
          <w:szCs w:val="20"/>
          <w:color w:val="auto"/>
        </w:rPr>
      </w:pPr>
      <w:r>
        <w:rPr>
          <w:rFonts w:ascii="Times New Roman" w:cs="Times New Roman" w:eastAsia="Times New Roman" w:hAnsi="Times New Roman"/>
          <w:sz w:val="21"/>
          <w:szCs w:val="21"/>
          <w:color w:val="auto"/>
        </w:rPr>
        <w:t>8.1 Borrower shall give timely prior written notice to Agent of each Subsequent Financing and shall use commercially reasonable efforts to permit the Lenders or their Affiliates, or permitted assignees of the Loans hereunder or nominees of the Lenders or their Affiliates, to participate in any Subsequent Financings in an aggregate amount as the underwriters for such Subsequent Financing may determine (in their sole discretion) and on substantially the same terms, conditions and pricing afforded to others participating in any such Subsequent Financing</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53</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6" w:name="page157"/>
    <w:bookmarkEnd w:id="156"/>
    <w:p>
      <w:pPr>
        <w:spacing w:after="0" w:line="220" w:lineRule="auto"/>
        <w:rPr>
          <w:sz w:val="20"/>
          <w:szCs w:val="20"/>
          <w:color w:val="auto"/>
        </w:rPr>
      </w:pPr>
      <w:r>
        <w:rPr>
          <w:rFonts w:ascii="Times New Roman" w:cs="Times New Roman" w:eastAsia="Times New Roman" w:hAnsi="Times New Roman"/>
          <w:sz w:val="21"/>
          <w:szCs w:val="21"/>
          <w:color w:val="auto"/>
        </w:rPr>
        <w:t>(subject to compliance with applicable securities laws and regulations). This Section 8.1, and all rights and obligations granted hereunder, shall automatically terminate the earliest to occur of (a) termination of the security interest granted pursuant to Section 3.1 of this Agreement, and (b) Borrower having previously extended two (2) such offers to permit the Lenders or their Affiliates, or permitted assignees of the Loans hereunder or nominees of the Lenders or their Affiliates, to participate in Subsequent Financings.</w:t>
      </w:r>
    </w:p>
    <w:p>
      <w:pPr>
        <w:spacing w:after="0" w:line="14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 xml:space="preserve">SECTION 9  </w:t>
      </w:r>
      <w:r>
        <w:rPr>
          <w:rFonts w:ascii="Times New Roman" w:cs="Times New Roman" w:eastAsia="Times New Roman" w:hAnsi="Times New Roman"/>
          <w:sz w:val="21"/>
          <w:szCs w:val="21"/>
          <w:b w:val="1"/>
          <w:bCs w:val="1"/>
          <w:u w:val="single" w:color="auto"/>
          <w:color w:val="auto"/>
        </w:rPr>
        <w:t>EVENTS OF DEFAULT</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occurrence of any one or more of the following events shall be an Event of Default:</w:t>
      </w:r>
    </w:p>
    <w:p>
      <w:pPr>
        <w:spacing w:after="0" w:line="184" w:lineRule="exact"/>
        <w:rPr>
          <w:sz w:val="20"/>
          <w:szCs w:val="20"/>
          <w:color w:val="auto"/>
        </w:rPr>
      </w:pPr>
    </w:p>
    <w:p>
      <w:pPr>
        <w:ind w:firstLine="619"/>
        <w:spacing w:after="0" w:line="220" w:lineRule="auto"/>
        <w:rPr>
          <w:sz w:val="20"/>
          <w:szCs w:val="20"/>
          <w:color w:val="auto"/>
        </w:rPr>
      </w:pPr>
      <w:r>
        <w:rPr>
          <w:rFonts w:ascii="Times New Roman" w:cs="Times New Roman" w:eastAsia="Times New Roman" w:hAnsi="Times New Roman"/>
          <w:sz w:val="21"/>
          <w:szCs w:val="21"/>
          <w:color w:val="auto"/>
        </w:rPr>
        <w:t>9.1 Payments. Borrower fails to pay any amount due under this Agreement or any of the other Loan Documents on the due date; provided, however, that an Event of Default shall not occur on account of a failure to pay) above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46" w:lineRule="exact"/>
        <w:rPr>
          <w:sz w:val="20"/>
          <w:szCs w:val="20"/>
          <w:color w:val="auto"/>
        </w:rPr>
      </w:pPr>
    </w:p>
    <w:p>
      <w:pPr>
        <w:ind w:right="120" w:firstLine="619"/>
        <w:spacing w:after="0" w:line="222" w:lineRule="auto"/>
        <w:rPr>
          <w:sz w:val="20"/>
          <w:szCs w:val="20"/>
          <w:color w:val="auto"/>
        </w:rPr>
      </w:pPr>
      <w:r>
        <w:rPr>
          <w:rFonts w:ascii="Times New Roman" w:cs="Times New Roman" w:eastAsia="Times New Roman" w:hAnsi="Times New Roman"/>
          <w:sz w:val="20"/>
          <w:szCs w:val="20"/>
          <w:color w:val="auto"/>
        </w:rPr>
        <w:t>9.2 Covenants.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Sections 4.4, 6, 7.4, 7.5, 7.6, 7.7, 7.8, 7.9, 7.12, 7.14, 7.15,</w:t>
      </w:r>
    </w:p>
    <w:p>
      <w:pPr>
        <w:spacing w:after="0" w:line="3"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1"/>
          <w:szCs w:val="21"/>
          <w:color w:val="auto"/>
        </w:rPr>
        <w:t>7.16, 7.17, 7.18, 7.19, 7.22 and 7.24), any other Loan Document, or any other agreement among Borrower, Agent and the Lenders, such default continues for more than twenty (20) days after the earlier of the date on which (i) Agent or the Lenders has given notice of such default to Borrower or (ii) Borrower has actual knowledge of such default or (b) with respect to a default under any of Sections 4.4, 6, 7.4, 7.5, 7.6, 7.7, 7.8, 7.9, 7.12, 7.14, 7.15, 7.16, 7.17, 7.18, 7.19, 7.22 and 7.24 the occurrence of such default; or</w:t>
      </w:r>
    </w:p>
    <w:p>
      <w:pPr>
        <w:spacing w:after="0" w:line="148" w:lineRule="exact"/>
        <w:rPr>
          <w:sz w:val="20"/>
          <w:szCs w:val="20"/>
          <w:color w:val="auto"/>
        </w:rPr>
      </w:pPr>
    </w:p>
    <w:p>
      <w:pPr>
        <w:ind w:right="60" w:firstLine="619"/>
        <w:spacing w:after="0" w:line="212" w:lineRule="auto"/>
        <w:rPr>
          <w:sz w:val="20"/>
          <w:szCs w:val="20"/>
          <w:color w:val="auto"/>
        </w:rPr>
      </w:pPr>
      <w:r>
        <w:rPr>
          <w:rFonts w:ascii="Times New Roman" w:cs="Times New Roman" w:eastAsia="Times New Roman" w:hAnsi="Times New Roman"/>
          <w:sz w:val="21"/>
          <w:szCs w:val="21"/>
          <w:color w:val="auto"/>
        </w:rPr>
        <w:t>9.3 Material Adverse Effect. A circumstance has occurred that could reasonably be expected to have a Material Adverse Effect; provided that the occurrence of the following, individually, shall not, in and of itself, constitute a "Material Adverse Effect" hereunder: (i) the failure to achieve any Milestone, (ii) adverse results or delays with respect to, or the failure to achieve, any clinical or non-clinical trial goals or objectives, (iii) the denial, delay or limitation or qualification of approval of the FDA or other regulatory agency with respect to any proposed drug or other Borrower Products, or (iv) any revisions to or termination of a strategic alliance, joint venture, co-promotion, co-commercialization or co-development agreements or license arrangement maintained by Borrower so long as the same does not affect the ability of Borrower to perform or pay the Secured Obligations in accordance with the terms of the Loan Documents; or</w:t>
      </w:r>
    </w:p>
    <w:p>
      <w:pPr>
        <w:spacing w:after="0" w:line="150" w:lineRule="exact"/>
        <w:rPr>
          <w:sz w:val="20"/>
          <w:szCs w:val="20"/>
          <w:color w:val="auto"/>
        </w:rPr>
      </w:pPr>
    </w:p>
    <w:p>
      <w:pPr>
        <w:ind w:right="420" w:firstLine="619"/>
        <w:spacing w:after="0" w:line="235" w:lineRule="auto"/>
        <w:rPr>
          <w:sz w:val="20"/>
          <w:szCs w:val="20"/>
          <w:color w:val="auto"/>
        </w:rPr>
      </w:pPr>
      <w:r>
        <w:rPr>
          <w:rFonts w:ascii="Times New Roman" w:cs="Times New Roman" w:eastAsia="Times New Roman" w:hAnsi="Times New Roman"/>
          <w:sz w:val="21"/>
          <w:szCs w:val="21"/>
          <w:color w:val="auto"/>
        </w:rPr>
        <w:t>9.4 Representations. Any representation or warranty made by Borrower in any Loan Document shall have been false or misleading in any material respect when made or when deemed made; or</w:t>
      </w:r>
    </w:p>
    <w:p>
      <w:pPr>
        <w:spacing w:after="0" w:line="146" w:lineRule="exact"/>
        <w:rPr>
          <w:sz w:val="20"/>
          <w:szCs w:val="20"/>
          <w:color w:val="auto"/>
        </w:rPr>
      </w:pPr>
    </w:p>
    <w:p>
      <w:pPr>
        <w:ind w:firstLine="619"/>
        <w:spacing w:after="0" w:line="215" w:lineRule="auto"/>
        <w:rPr>
          <w:sz w:val="20"/>
          <w:szCs w:val="20"/>
          <w:color w:val="auto"/>
        </w:rPr>
      </w:pPr>
      <w:r>
        <w:rPr>
          <w:rFonts w:ascii="Times New Roman" w:cs="Times New Roman" w:eastAsia="Times New Roman" w:hAnsi="Times New Roman"/>
          <w:sz w:val="21"/>
          <w:szCs w:val="21"/>
          <w:color w:val="auto"/>
        </w:rPr>
        <w:t>9.5 Insolvency. Borrower (a) (i) shall be unable to pay its debts as they become due, (ii) shall fail to maintain assets with a fair saleable value that exceeds the fair value of such Borrower’s liabilities, (iii) shall maintain an unreasonably small amount of capital with which to conduct its business, or (iv) shall otherwise become insolvent; or (b) (i) shall make an assignment for the benefit of creditors; or (ii) shall file a voluntary petition in bankruptcy, or (iii) shall file any petition, answer, or document seeking for itself any reorganization, arrangement, composition, readjustment, liquidation, dissolution or similar relief under any present or future statute, law or regulation pertinent to such circumstances; or (iv) shall seek or consent to or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54</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7" w:name="page158"/>
    <w:bookmarkEnd w:id="157"/>
    <w:p>
      <w:pPr>
        <w:spacing w:after="0" w:line="220" w:lineRule="auto"/>
        <w:rPr>
          <w:sz w:val="20"/>
          <w:szCs w:val="20"/>
          <w:color w:val="auto"/>
        </w:rPr>
      </w:pPr>
      <w:r>
        <w:rPr>
          <w:rFonts w:ascii="Times New Roman" w:cs="Times New Roman" w:eastAsia="Times New Roman" w:hAnsi="Times New Roman"/>
          <w:sz w:val="20"/>
          <w:szCs w:val="20"/>
          <w:color w:val="auto"/>
        </w:rPr>
        <w:t>acquiesce in the appointment of any trustee, receiver, or liquidator of Borrower or of all or any substantial part (i.e., 33-1/3% or more) of the assets or property of Borrower; or (v) shall cease operations of its business as its business has normally been conducted, or terminate substantially all of its employees; or (vi) Borrower or its directors or majority shareholders shall take any action initiating any of the foregoing actions described in clauses (i) through (v); or (c) either (i) forty 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 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52" w:lineRule="exact"/>
        <w:rPr>
          <w:sz w:val="20"/>
          <w:szCs w:val="20"/>
          <w:color w:val="auto"/>
        </w:rPr>
      </w:pPr>
    </w:p>
    <w:p>
      <w:pPr>
        <w:ind w:right="180" w:firstLine="619"/>
        <w:spacing w:after="0" w:line="220" w:lineRule="auto"/>
        <w:rPr>
          <w:sz w:val="20"/>
          <w:szCs w:val="20"/>
          <w:color w:val="auto"/>
        </w:rPr>
      </w:pPr>
      <w:r>
        <w:rPr>
          <w:rFonts w:ascii="Times New Roman" w:cs="Times New Roman" w:eastAsia="Times New Roman" w:hAnsi="Times New Roman"/>
          <w:sz w:val="21"/>
          <w:szCs w:val="21"/>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$1,000,000, or Borrower is enjoined or in any way prevented by court order from conducting any part of its business; or</w:t>
      </w:r>
    </w:p>
    <w:p>
      <w:pPr>
        <w:spacing w:after="0" w:line="146" w:lineRule="exact"/>
        <w:rPr>
          <w:sz w:val="20"/>
          <w:szCs w:val="20"/>
          <w:color w:val="auto"/>
        </w:rPr>
      </w:pPr>
    </w:p>
    <w:p>
      <w:pPr>
        <w:ind w:right="20" w:firstLine="619"/>
        <w:spacing w:after="0" w:line="220" w:lineRule="auto"/>
        <w:rPr>
          <w:sz w:val="20"/>
          <w:szCs w:val="20"/>
          <w:color w:val="auto"/>
        </w:rPr>
      </w:pPr>
      <w:r>
        <w:rPr>
          <w:rFonts w:ascii="Times New Roman" w:cs="Times New Roman" w:eastAsia="Times New Roman" w:hAnsi="Times New Roman"/>
          <w:sz w:val="21"/>
          <w:szCs w:val="21"/>
          <w:color w:val="auto"/>
        </w:rPr>
        <w:t>9.7 Other Obligations. The occurrence of any default under any agreement or obligation of Borrower involving any Indebtedness in excess of $1,000,000, the effect of which default is to cause, or to permit the holder or beneficiary of such Indebtedness (or a trustee or agent on behalf of such holder or beneficiary) to cause, with the giving of notice if required, such Indebtedness to become due prior to its stated maturity.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SECTION 10 </w:t>
      </w:r>
      <w:r>
        <w:rPr>
          <w:rFonts w:ascii="Times New Roman" w:cs="Times New Roman" w:eastAsia="Times New Roman" w:hAnsi="Times New Roman"/>
          <w:sz w:val="21"/>
          <w:szCs w:val="21"/>
          <w:b w:val="1"/>
          <w:bCs w:val="1"/>
          <w:u w:val="single" w:color="auto"/>
          <w:color w:val="auto"/>
        </w:rPr>
        <w:t>REMEDIES</w:t>
      </w:r>
    </w:p>
    <w:p>
      <w:pPr>
        <w:spacing w:after="0" w:line="175" w:lineRule="exact"/>
        <w:rPr>
          <w:sz w:val="20"/>
          <w:szCs w:val="20"/>
          <w:color w:val="auto"/>
        </w:rPr>
      </w:pPr>
    </w:p>
    <w:p>
      <w:pPr>
        <w:ind w:firstLine="619"/>
        <w:spacing w:after="0" w:line="217" w:lineRule="auto"/>
        <w:rPr>
          <w:sz w:val="20"/>
          <w:szCs w:val="20"/>
          <w:color w:val="auto"/>
        </w:rPr>
      </w:pPr>
      <w:r>
        <w:rPr>
          <w:rFonts w:ascii="Times New Roman" w:cs="Times New Roman" w:eastAsia="Times New Roman" w:hAnsi="Times New Roman"/>
          <w:sz w:val="20"/>
          <w:szCs w:val="20"/>
          <w:color w:val="auto"/>
        </w:rPr>
        <w:t>10.1 General. Upon the occurrence of any one or more Events of Default that is continuing, Agent may, and at the direction of the Required Lenders shall, accelerate and demand payment of all or any part of the Secured Obligations together with the applicable Prepayment Charge and declare them to be immediately due and payable (provided, that upon the occurrence of an Event of Default of the type described in Section 9.5 that is continuing,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of an Event of Default that is continuing,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w:t>
      </w:r>
    </w:p>
    <w:p>
      <w:pPr>
        <w:spacing w:after="0" w:line="5" w:lineRule="exact"/>
        <w:rPr>
          <w:sz w:val="20"/>
          <w:szCs w:val="20"/>
          <w:color w:val="auto"/>
        </w:rPr>
      </w:pPr>
    </w:p>
    <w:p>
      <w:pPr>
        <w:ind w:right="20" w:firstLine="3"/>
        <w:spacing w:after="0" w:line="212" w:lineRule="auto"/>
        <w:tabs>
          <w:tab w:leader="none" w:pos="36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8" w:name="page159"/>
    <w:bookmarkEnd w:id="158"/>
    <w:p>
      <w:pPr>
        <w:spacing w:after="0" w:line="211" w:lineRule="auto"/>
        <w:rPr>
          <w:sz w:val="20"/>
          <w:szCs w:val="20"/>
          <w:color w:val="auto"/>
        </w:rPr>
      </w:pPr>
      <w:r>
        <w:rPr>
          <w:rFonts w:ascii="Times New Roman" w:cs="Times New Roman" w:eastAsia="Times New Roman" w:hAnsi="Times New Roman"/>
          <w:sz w:val="21"/>
          <w:szCs w:val="21"/>
          <w:color w:val="auto"/>
        </w:rPr>
        <w:t>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Following the occurrence of an Event of Default that is continuing,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46" w:lineRule="exact"/>
        <w:rPr>
          <w:sz w:val="20"/>
          <w:szCs w:val="20"/>
          <w:color w:val="auto"/>
        </w:rPr>
      </w:pPr>
    </w:p>
    <w:p>
      <w:pPr>
        <w:ind w:right="40" w:firstLine="619"/>
        <w:spacing w:after="0" w:line="212" w:lineRule="auto"/>
        <w:rPr>
          <w:sz w:val="20"/>
          <w:szCs w:val="20"/>
          <w:color w:val="auto"/>
        </w:rPr>
      </w:pPr>
      <w:r>
        <w:rPr>
          <w:rFonts w:ascii="Times New Roman" w:cs="Times New Roman" w:eastAsia="Times New Roman" w:hAnsi="Times New Roman"/>
          <w:sz w:val="21"/>
          <w:szCs w:val="21"/>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76" w:lineRule="exact"/>
        <w:rPr>
          <w:sz w:val="20"/>
          <w:szCs w:val="20"/>
          <w:color w:val="auto"/>
        </w:rPr>
      </w:pPr>
    </w:p>
    <w:p>
      <w:pPr>
        <w:ind w:left="1240" w:right="480"/>
        <w:spacing w:after="0" w:line="269" w:lineRule="auto"/>
        <w:rPr>
          <w:sz w:val="20"/>
          <w:szCs w:val="20"/>
          <w:color w:val="auto"/>
        </w:rPr>
      </w:pPr>
      <w:r>
        <w:rPr>
          <w:rFonts w:ascii="Times New Roman" w:cs="Times New Roman" w:eastAsia="Times New Roman" w:hAnsi="Times New Roman"/>
          <w:sz w:val="21"/>
          <w:szCs w:val="21"/>
          <w:color w:val="auto"/>
        </w:rPr>
        <w:t>First, to Agent and the Lenders in an amount sufficient to pay in full Agent’s and the Lenders’ reasonable costs and professionals’ and advisors’ fees and expenses as described in Section 11.12;</w:t>
      </w:r>
    </w:p>
    <w:p>
      <w:pPr>
        <w:spacing w:after="0" w:line="155" w:lineRule="exact"/>
        <w:rPr>
          <w:sz w:val="20"/>
          <w:szCs w:val="20"/>
          <w:color w:val="auto"/>
        </w:rPr>
      </w:pPr>
    </w:p>
    <w:p>
      <w:pPr>
        <w:ind w:left="1240" w:right="280"/>
        <w:spacing w:after="0" w:line="308" w:lineRule="auto"/>
        <w:rPr>
          <w:sz w:val="20"/>
          <w:szCs w:val="20"/>
          <w:color w:val="auto"/>
        </w:rPr>
      </w:pPr>
      <w:r>
        <w:rPr>
          <w:rFonts w:ascii="Times New Roman" w:cs="Times New Roman" w:eastAsia="Times New Roman" w:hAnsi="Times New Roman"/>
          <w:sz w:val="20"/>
          <w:szCs w:val="20"/>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119" w:lineRule="exact"/>
        <w:rPr>
          <w:sz w:val="20"/>
          <w:szCs w:val="20"/>
          <w:color w:val="auto"/>
        </w:rPr>
      </w:pPr>
    </w:p>
    <w:p>
      <w:pPr>
        <w:ind w:left="1240" w:right="40"/>
        <w:spacing w:after="0" w:line="256" w:lineRule="auto"/>
        <w:rPr>
          <w:sz w:val="20"/>
          <w:szCs w:val="20"/>
          <w:color w:val="auto"/>
        </w:rPr>
      </w:pPr>
      <w:r>
        <w:rPr>
          <w:rFonts w:ascii="Times New Roman" w:cs="Times New Roman" w:eastAsia="Times New Roman" w:hAnsi="Times New Roman"/>
          <w:sz w:val="21"/>
          <w:szCs w:val="21"/>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1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1"/>
          <w:szCs w:val="21"/>
          <w:color w:val="auto"/>
        </w:rPr>
        <w:t>Agent shall be deemed to have acted reasonably in the custody, preservation and disposition of any of the Collateral if it complies with the obligations of a secured party under the UCC.</w:t>
      </w:r>
    </w:p>
    <w:p>
      <w:pPr>
        <w:spacing w:after="0" w:line="116" w:lineRule="exact"/>
        <w:rPr>
          <w:sz w:val="20"/>
          <w:szCs w:val="20"/>
          <w:color w:val="auto"/>
        </w:rPr>
      </w:pPr>
    </w:p>
    <w:p>
      <w:pPr>
        <w:ind w:right="160" w:firstLine="619"/>
        <w:spacing w:after="0" w:line="235" w:lineRule="auto"/>
        <w:rPr>
          <w:sz w:val="20"/>
          <w:szCs w:val="20"/>
          <w:color w:val="auto"/>
        </w:rPr>
      </w:pPr>
      <w:r>
        <w:rPr>
          <w:rFonts w:ascii="Times New Roman" w:cs="Times New Roman" w:eastAsia="Times New Roman" w:hAnsi="Times New Roman"/>
          <w:sz w:val="21"/>
          <w:szCs w:val="21"/>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46" w:lineRule="exact"/>
        <w:rPr>
          <w:sz w:val="20"/>
          <w:szCs w:val="20"/>
          <w:color w:val="auto"/>
        </w:rPr>
      </w:pPr>
    </w:p>
    <w:p>
      <w:pPr>
        <w:ind w:right="60" w:firstLine="619"/>
        <w:spacing w:after="0" w:line="220" w:lineRule="auto"/>
        <w:rPr>
          <w:sz w:val="20"/>
          <w:szCs w:val="20"/>
          <w:color w:val="auto"/>
        </w:rPr>
      </w:pPr>
      <w:r>
        <w:rPr>
          <w:rFonts w:ascii="Times New Roman" w:cs="Times New Roman" w:eastAsia="Times New Roman" w:hAnsi="Times New Roman"/>
          <w:sz w:val="21"/>
          <w:szCs w:val="21"/>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56</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59" w:name="page160"/>
    <w:bookmarkEnd w:id="159"/>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u w:val="single" w:color="auto"/>
          <w:color w:val="auto"/>
        </w:rPr>
        <w:t>MISCELLANEOUS</w:t>
      </w:r>
    </w:p>
    <w:p>
      <w:pPr>
        <w:spacing w:after="0" w:line="175" w:lineRule="exact"/>
        <w:rPr>
          <w:sz w:val="20"/>
          <w:szCs w:val="20"/>
          <w:color w:val="auto"/>
        </w:rPr>
      </w:pPr>
    </w:p>
    <w:p>
      <w:pPr>
        <w:ind w:firstLine="619"/>
        <w:spacing w:after="0" w:line="220" w:lineRule="auto"/>
        <w:rPr>
          <w:sz w:val="20"/>
          <w:szCs w:val="20"/>
          <w:color w:val="auto"/>
        </w:rPr>
      </w:pPr>
      <w:r>
        <w:rPr>
          <w:rFonts w:ascii="Times New Roman" w:cs="Times New Roman" w:eastAsia="Times New Roman" w:hAnsi="Times New Roman"/>
          <w:sz w:val="21"/>
          <w:szCs w:val="21"/>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46" w:lineRule="exact"/>
        <w:rPr>
          <w:sz w:val="20"/>
          <w:szCs w:val="20"/>
          <w:color w:val="auto"/>
        </w:rPr>
      </w:pPr>
    </w:p>
    <w:p>
      <w:pPr>
        <w:ind w:right="20" w:firstLine="619"/>
        <w:spacing w:after="0" w:line="215" w:lineRule="auto"/>
        <w:rPr>
          <w:sz w:val="20"/>
          <w:szCs w:val="20"/>
          <w:color w:val="auto"/>
        </w:rPr>
      </w:pPr>
      <w:r>
        <w:rPr>
          <w:rFonts w:ascii="Times New Roman" w:cs="Times New Roman" w:eastAsia="Times New Roman" w:hAnsi="Times New Roman"/>
          <w:sz w:val="21"/>
          <w:szCs w:val="21"/>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46" w:lineRule="exact"/>
        <w:rPr>
          <w:sz w:val="20"/>
          <w:szCs w:val="20"/>
          <w:color w:val="auto"/>
        </w:rPr>
      </w:pPr>
    </w:p>
    <w:p>
      <w:pPr>
        <w:ind w:left="1860" w:hanging="619"/>
        <w:spacing w:after="0"/>
        <w:tabs>
          <w:tab w:leader="none" w:pos="18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Agent:</w:t>
      </w:r>
    </w:p>
    <w:p>
      <w:pPr>
        <w:spacing w:after="0" w:line="196" w:lineRule="exact"/>
        <w:rPr>
          <w:rFonts w:ascii="Times New Roman" w:cs="Times New Roman" w:eastAsia="Times New Roman" w:hAnsi="Times New Roman"/>
          <w:sz w:val="21"/>
          <w:szCs w:val="21"/>
          <w:color w:val="auto"/>
        </w:rPr>
      </w:pPr>
    </w:p>
    <w:p>
      <w:pPr>
        <w:ind w:left="1860" w:right="6800"/>
        <w:spacing w:after="0" w:line="25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HERCULES CAPITAL, INC. Legal Department</w:t>
      </w:r>
    </w:p>
    <w:p>
      <w:pPr>
        <w:ind w:left="1860" w:right="318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Attention: Chief Legal Officer, Bryan Jadot, Jeff Ralto and Michael Dutra 1 North B Street, Suite 2000</w:t>
      </w:r>
    </w:p>
    <w:p>
      <w:pPr>
        <w:spacing w:after="0" w:line="1"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 Mateo, CA 94401</w:t>
      </w:r>
    </w:p>
    <w:p>
      <w:pPr>
        <w:spacing w:after="0" w:line="4"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Telephone: </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the Lenders:</w:t>
      </w:r>
    </w:p>
    <w:p>
      <w:pPr>
        <w:spacing w:after="0" w:line="196" w:lineRule="exact"/>
        <w:rPr>
          <w:rFonts w:ascii="Times New Roman" w:cs="Times New Roman" w:eastAsia="Times New Roman" w:hAnsi="Times New Roman"/>
          <w:sz w:val="21"/>
          <w:szCs w:val="21"/>
          <w:color w:val="auto"/>
        </w:rPr>
      </w:pPr>
    </w:p>
    <w:p>
      <w:pPr>
        <w:ind w:left="1860" w:right="680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HERCULES CAPITAL, INC. Legal Department</w:t>
      </w:r>
    </w:p>
    <w:p>
      <w:pPr>
        <w:spacing w:after="0" w:line="1" w:lineRule="exact"/>
        <w:rPr>
          <w:rFonts w:ascii="Times New Roman" w:cs="Times New Roman" w:eastAsia="Times New Roman" w:hAnsi="Times New Roman"/>
          <w:sz w:val="21"/>
          <w:szCs w:val="21"/>
          <w:color w:val="auto"/>
        </w:rPr>
      </w:pPr>
    </w:p>
    <w:p>
      <w:pPr>
        <w:ind w:left="1860" w:right="318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Attention: Chief Legal Officer, Bryan Jadot, Jeff Ralto and Michael Dutra 1 North B Street, Suite 2000</w:t>
      </w: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 Mateo, CA 94401</w:t>
      </w:r>
    </w:p>
    <w:p>
      <w:pPr>
        <w:spacing w:after="0" w:line="4"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Telephone: </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Borrower:</w:t>
      </w:r>
    </w:p>
    <w:p>
      <w:pPr>
        <w:spacing w:after="0" w:line="196" w:lineRule="exact"/>
        <w:rPr>
          <w:rFonts w:ascii="Times New Roman" w:cs="Times New Roman" w:eastAsia="Times New Roman" w:hAnsi="Times New Roman"/>
          <w:sz w:val="21"/>
          <w:szCs w:val="21"/>
          <w:color w:val="auto"/>
        </w:rPr>
      </w:pPr>
    </w:p>
    <w:p>
      <w:pPr>
        <w:ind w:left="1860" w:right="66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REPLIMUNE GROUP, INC. Attention: Sushil Patel, CEO 500 Unicorn Park Dr., Suite 303 Woburn, MA, 01801</w:t>
      </w:r>
    </w:p>
    <w:p>
      <w:pPr>
        <w:spacing w:after="0" w:line="3"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17"/>
          <w:szCs w:val="17"/>
          <w:color w:val="auto"/>
        </w:rPr>
        <w:t>[*****]</w:t>
      </w:r>
    </w:p>
    <w:p>
      <w:pPr>
        <w:spacing w:after="0" w:line="4" w:lineRule="exact"/>
        <w:rPr>
          <w:rFonts w:ascii="Times New Roman" w:cs="Times New Roman" w:eastAsia="Times New Roman" w:hAnsi="Times New Roman"/>
          <w:sz w:val="21"/>
          <w:szCs w:val="21"/>
          <w:color w:val="auto"/>
        </w:rPr>
      </w:pPr>
    </w:p>
    <w:p>
      <w:pPr>
        <w:ind w:left="1860" w:right="7780"/>
        <w:spacing w:after="0" w:line="49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Telephone: </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With a copy to:</w:t>
      </w: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57</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40"/>
          </w:cols>
          <w:pgMar w:left="320" w:top="1335" w:right="439" w:bottom="1440" w:gutter="0" w:footer="0" w:header="0"/>
        </w:sectPr>
      </w:pPr>
    </w:p>
    <w:bookmarkStart w:id="160" w:name="page161"/>
    <w:bookmarkEnd w:id="160"/>
    <w:p>
      <w:pPr>
        <w:ind w:left="1860"/>
        <w:spacing w:after="0"/>
        <w:rPr>
          <w:sz w:val="20"/>
          <w:szCs w:val="20"/>
          <w:color w:val="auto"/>
        </w:rPr>
      </w:pPr>
      <w:r>
        <w:rPr>
          <w:rFonts w:ascii="Times New Roman" w:cs="Times New Roman" w:eastAsia="Times New Roman" w:hAnsi="Times New Roman"/>
          <w:sz w:val="21"/>
          <w:szCs w:val="21"/>
          <w:color w:val="auto"/>
        </w:rPr>
        <w:t>REPLIMUNE GROUP, INC.</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Attention: Shawn Glidden, General Counsel</w:t>
      </w:r>
    </w:p>
    <w:p>
      <w:pPr>
        <w:spacing w:after="0" w:line="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500 Unicorn Park Dr., Suite 303</w:t>
      </w:r>
    </w:p>
    <w:p>
      <w:pPr>
        <w:spacing w:after="0" w:line="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Woburn, MA, 01801</w:t>
      </w:r>
    </w:p>
    <w:p>
      <w:pPr>
        <w:spacing w:after="0" w:line="1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 xml:space="preserve">Telephone: </w:t>
      </w:r>
      <w:r>
        <w:rPr>
          <w:rFonts w:ascii="Times New Roman" w:cs="Times New Roman" w:eastAsia="Times New Roman" w:hAnsi="Times New Roman"/>
          <w:sz w:val="17"/>
          <w:szCs w:val="17"/>
          <w:color w:val="auto"/>
        </w:rPr>
        <w:t>[*****]</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or to such other address as each party may designate for itself by like notice.</w:t>
      </w:r>
    </w:p>
    <w:p>
      <w:pPr>
        <w:spacing w:after="0" w:line="18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21"/>
          <w:szCs w:val="21"/>
          <w:color w:val="auto"/>
        </w:rPr>
        <w:t>11.3</w:t>
      </w:r>
      <w:r>
        <w:rPr>
          <w:sz w:val="20"/>
          <w:szCs w:val="20"/>
          <w:color w:val="auto"/>
        </w:rPr>
        <w:tab/>
      </w:r>
      <w:r>
        <w:rPr>
          <w:rFonts w:ascii="Times New Roman" w:cs="Times New Roman" w:eastAsia="Times New Roman" w:hAnsi="Times New Roman"/>
          <w:sz w:val="20"/>
          <w:szCs w:val="20"/>
          <w:color w:val="auto"/>
        </w:rPr>
        <w:t>Entire Agreement; Amendments.</w:t>
      </w:r>
    </w:p>
    <w:p>
      <w:pPr>
        <w:spacing w:after="0" w:line="171" w:lineRule="exact"/>
        <w:rPr>
          <w:sz w:val="20"/>
          <w:szCs w:val="20"/>
          <w:color w:val="auto"/>
        </w:rPr>
      </w:pPr>
    </w:p>
    <w:p>
      <w:pPr>
        <w:ind w:left="620" w:right="120" w:firstLine="621"/>
        <w:spacing w:after="0" w:line="217" w:lineRule="auto"/>
        <w:tabs>
          <w:tab w:leader="none" w:pos="185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September 7, 2022, and the Non-Disclosure Agreement).</w:t>
      </w:r>
    </w:p>
    <w:p>
      <w:pPr>
        <w:spacing w:after="0" w:line="145" w:lineRule="exact"/>
        <w:rPr>
          <w:rFonts w:ascii="Times New Roman" w:cs="Times New Roman" w:eastAsia="Times New Roman" w:hAnsi="Times New Roman"/>
          <w:sz w:val="21"/>
          <w:szCs w:val="21"/>
          <w:color w:val="auto"/>
        </w:rPr>
      </w:pPr>
    </w:p>
    <w:p>
      <w:pPr>
        <w:ind w:left="620" w:firstLine="621"/>
        <w:spacing w:after="0" w:line="218" w:lineRule="auto"/>
        <w:tabs>
          <w:tab w:leader="none" w:pos="185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any other Loan Document, nor any terms hereof or thereof may be amended, supplemented or modified except in accordance with the provisions of this Section 11.3(b). The Required Lenders and Borrower party to the relevant Loan Document may, or, with the written consent of the Required Lenders, the Agent and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Borrower of any of its rights and obligations under this Agreement and the other Loan Documents (except as otherwise permitted herein), release all or substantially all of the Collateral or release a Borrower from its obligations under the Loan Documents (except as otherwise permitted herein),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w:t>
      </w:r>
    </w:p>
    <w:p>
      <w:pPr>
        <w:spacing w:after="0" w:line="156" w:lineRule="exact"/>
        <w:rPr>
          <w:sz w:val="20"/>
          <w:szCs w:val="20"/>
          <w:color w:val="auto"/>
        </w:rPr>
      </w:pPr>
    </w:p>
    <w:p>
      <w:pPr>
        <w:jc w:val="both"/>
        <w:ind w:right="20" w:firstLine="619"/>
        <w:spacing w:after="0" w:line="225" w:lineRule="auto"/>
        <w:rPr>
          <w:sz w:val="20"/>
          <w:szCs w:val="20"/>
          <w:color w:val="auto"/>
        </w:rPr>
      </w:pPr>
      <w:r>
        <w:rPr>
          <w:rFonts w:ascii="Times New Roman" w:cs="Times New Roman" w:eastAsia="Times New Roman" w:hAnsi="Times New Roman"/>
          <w:sz w:val="21"/>
          <w:szCs w:val="21"/>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58</w:t>
      </w:r>
    </w:p>
    <w:p>
      <w:pPr>
        <w:spacing w:after="0" w:line="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61" w:name="page162"/>
    <w:bookmarkEnd w:id="161"/>
    <w:p>
      <w:pPr>
        <w:ind w:right="40"/>
        <w:spacing w:after="0" w:line="235" w:lineRule="auto"/>
        <w:rPr>
          <w:sz w:val="20"/>
          <w:szCs w:val="20"/>
          <w:color w:val="auto"/>
        </w:rPr>
      </w:pPr>
      <w:r>
        <w:rPr>
          <w:rFonts w:ascii="Times New Roman" w:cs="Times New Roman" w:eastAsia="Times New Roman" w:hAnsi="Times New Roman"/>
          <w:sz w:val="21"/>
          <w:szCs w:val="21"/>
          <w:color w:val="auto"/>
        </w:rPr>
        <w:t>and no presumption or burden of proof shall arise favoring or disfavoring any party by virtue of the authorship of any provisions of this Agreement.</w:t>
      </w:r>
    </w:p>
    <w:p>
      <w:pPr>
        <w:spacing w:after="0" w:line="146" w:lineRule="exact"/>
        <w:rPr>
          <w:sz w:val="20"/>
          <w:szCs w:val="20"/>
          <w:color w:val="auto"/>
        </w:rPr>
      </w:pPr>
    </w:p>
    <w:p>
      <w:pPr>
        <w:ind w:firstLine="619"/>
        <w:spacing w:after="0" w:line="215" w:lineRule="auto"/>
        <w:rPr>
          <w:sz w:val="20"/>
          <w:szCs w:val="20"/>
          <w:color w:val="auto"/>
        </w:rPr>
      </w:pPr>
      <w:r>
        <w:rPr>
          <w:rFonts w:ascii="Times New Roman" w:cs="Times New Roman" w:eastAsia="Times New Roman" w:hAnsi="Times New Roman"/>
          <w:sz w:val="21"/>
          <w:szCs w:val="21"/>
          <w:color w:val="auto"/>
        </w:rPr>
        <w:t>11.5 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46" w:lineRule="exact"/>
        <w:rPr>
          <w:sz w:val="20"/>
          <w:szCs w:val="20"/>
          <w:color w:val="auto"/>
        </w:rPr>
      </w:pPr>
    </w:p>
    <w:p>
      <w:pPr>
        <w:jc w:val="both"/>
        <w:ind w:right="120" w:firstLine="619"/>
        <w:spacing w:after="0" w:line="225" w:lineRule="auto"/>
        <w:rPr>
          <w:sz w:val="20"/>
          <w:szCs w:val="20"/>
          <w:color w:val="auto"/>
        </w:rPr>
      </w:pPr>
      <w:r>
        <w:rPr>
          <w:rFonts w:ascii="Times New Roman" w:cs="Times New Roman" w:eastAsia="Times New Roman" w:hAnsi="Times New Roman"/>
          <w:sz w:val="21"/>
          <w:szCs w:val="21"/>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and 11.15 shall survive the termination of this Agreement.</w:t>
      </w:r>
    </w:p>
    <w:p>
      <w:pPr>
        <w:spacing w:after="0" w:line="146" w:lineRule="exact"/>
        <w:rPr>
          <w:sz w:val="20"/>
          <w:szCs w:val="20"/>
          <w:color w:val="auto"/>
        </w:rPr>
      </w:pPr>
    </w:p>
    <w:p>
      <w:pPr>
        <w:ind w:firstLine="619"/>
        <w:spacing w:after="0" w:line="207" w:lineRule="auto"/>
        <w:rPr>
          <w:sz w:val="20"/>
          <w:szCs w:val="20"/>
          <w:color w:val="auto"/>
        </w:rPr>
      </w:pPr>
      <w:r>
        <w:rPr>
          <w:rFonts w:ascii="Times New Roman" w:cs="Times New Roman" w:eastAsia="Times New Roman" w:hAnsi="Times New Roman"/>
          <w:sz w:val="21"/>
          <w:szCs w:val="21"/>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without Agent’s express prior written consent, and any such attempted assignment shall be void and of no effect. Agent and the Lenders may not assign, transfer, or endorse its rights hereunder and under the other Loan Documents without the prior written consent of Parent (such consent not to be unreasonably withheld, conditioned or delayed); provided that (i) no such consent shall be required for any such assignment, transfer or endorsement (x) after the occurrence of an Event of Default that is continuing, or (y) to Agent or a Lender or Affiliate of any Lender or Agent, and all of such rights shall inure to the benefit of Agent’s and the Lenders’ successors and permitted assigns. Notwithstanding the foregoing, (x) no such assignment, transfer or endorsement may be made to any direct competitor of Borrower unless an Event of Default shall have occurred and be continuing, (y)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and (z) in connection with a Lender’s own financing or securitization transactions, the restrictions set forth herein shall not apply and Agent and the Lenders may assign, transfer or endorse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(z)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Borrower, the Agent and the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59</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62" w:name="page163"/>
    <w:bookmarkEnd w:id="162"/>
    <w:p>
      <w:pPr>
        <w:ind w:right="20" w:firstLine="619"/>
        <w:spacing w:after="0" w:line="208" w:lineRule="auto"/>
        <w:rPr>
          <w:sz w:val="20"/>
          <w:szCs w:val="20"/>
          <w:color w:val="auto"/>
        </w:rPr>
      </w:pPr>
      <w:r>
        <w:rPr>
          <w:rFonts w:ascii="Times New Roman" w:cs="Times New Roman" w:eastAsia="Times New Roman" w:hAnsi="Times New Roman"/>
          <w:sz w:val="21"/>
          <w:szCs w:val="21"/>
          <w:color w:val="auto"/>
        </w:rPr>
        <w:t>11.8 Participations.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55" w:lineRule="exact"/>
        <w:rPr>
          <w:sz w:val="20"/>
          <w:szCs w:val="20"/>
          <w:color w:val="auto"/>
        </w:rPr>
      </w:pPr>
    </w:p>
    <w:p>
      <w:pPr>
        <w:jc w:val="both"/>
        <w:ind w:right="220" w:firstLine="619"/>
        <w:spacing w:after="0" w:line="225" w:lineRule="auto"/>
        <w:rPr>
          <w:sz w:val="20"/>
          <w:szCs w:val="20"/>
          <w:color w:val="auto"/>
        </w:rPr>
      </w:pPr>
      <w:r>
        <w:rPr>
          <w:rFonts w:ascii="Times New Roman" w:cs="Times New Roman" w:eastAsia="Times New Roman" w:hAnsi="Times New Roman"/>
          <w:sz w:val="21"/>
          <w:szCs w:val="21"/>
          <w:color w:val="auto"/>
        </w:rPr>
        <w:t>11.9 Governing Law. This Agreement and the other Loan Documents (other than the English Security Documents) shall be governed by, and construed and enforced in accordance with, the laws of the State of New York, excluding conflict of laws principles that would cause the application of laws of any other jurisdiction.</w:t>
      </w:r>
    </w:p>
    <w:p>
      <w:pPr>
        <w:spacing w:after="0" w:line="146" w:lineRule="exact"/>
        <w:rPr>
          <w:sz w:val="20"/>
          <w:szCs w:val="20"/>
          <w:color w:val="auto"/>
        </w:rPr>
      </w:pPr>
    </w:p>
    <w:p>
      <w:pPr>
        <w:ind w:firstLine="619"/>
        <w:spacing w:after="0" w:line="211" w:lineRule="auto"/>
        <w:rPr>
          <w:sz w:val="20"/>
          <w:szCs w:val="20"/>
          <w:color w:val="auto"/>
        </w:rPr>
      </w:pPr>
      <w:r>
        <w:rPr>
          <w:rFonts w:ascii="Times New Roman" w:cs="Times New Roman" w:eastAsia="Times New Roman" w:hAnsi="Times New Roman"/>
          <w:sz w:val="21"/>
          <w:szCs w:val="21"/>
          <w:color w:val="auto"/>
        </w:rPr>
        <w:t>11.10 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New York. By execution and delivery of this Agreement, each party hereto generally and unconditionally: (a) consents to nonexclusive personal jurisdiction in New York County, State of New York; (b) waives any objection as to jurisdiction or venue in the New York County, State of New York;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11.11  Mutual Waiver of Jury Trial.</w:t>
      </w:r>
    </w:p>
    <w:p>
      <w:pPr>
        <w:spacing w:after="0" w:line="171" w:lineRule="exact"/>
        <w:rPr>
          <w:sz w:val="20"/>
          <w:szCs w:val="20"/>
          <w:color w:val="auto"/>
        </w:rPr>
      </w:pPr>
    </w:p>
    <w:p>
      <w:pPr>
        <w:ind w:left="620" w:firstLine="621"/>
        <w:spacing w:after="0" w:line="217" w:lineRule="auto"/>
        <w:tabs>
          <w:tab w:leader="none" w:pos="185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60</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63" w:name="page164"/>
    <w:bookmarkEnd w:id="163"/>
    <w:p>
      <w:pPr>
        <w:ind w:left="620" w:right="180"/>
        <w:spacing w:after="0" w:line="215" w:lineRule="auto"/>
        <w:rPr>
          <w:sz w:val="20"/>
          <w:szCs w:val="20"/>
          <w:color w:val="auto"/>
        </w:rPr>
      </w:pPr>
      <w:r>
        <w:rPr>
          <w:rFonts w:ascii="Times New Roman" w:cs="Times New Roman" w:eastAsia="Times New Roman" w:hAnsi="Times New Roman"/>
          <w:sz w:val="21"/>
          <w:szCs w:val="21"/>
          <w:color w:val="auto"/>
        </w:rPr>
        <w:t>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46" w:lineRule="exact"/>
        <w:rPr>
          <w:sz w:val="20"/>
          <w:szCs w:val="20"/>
          <w:color w:val="auto"/>
        </w:rPr>
      </w:pPr>
    </w:p>
    <w:p>
      <w:pPr>
        <w:ind w:left="1860" w:hanging="619"/>
        <w:spacing w:after="0"/>
        <w:tabs>
          <w:tab w:leader="none" w:pos="186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rFonts w:ascii="Times New Roman" w:cs="Times New Roman" w:eastAsia="Times New Roman" w:hAnsi="Times New Roman"/>
          <w:sz w:val="21"/>
          <w:szCs w:val="21"/>
          <w:color w:val="auto"/>
        </w:rPr>
      </w:pPr>
    </w:p>
    <w:p>
      <w:pPr>
        <w:ind w:left="1860" w:hanging="619"/>
        <w:spacing w:after="0"/>
        <w:tabs>
          <w:tab w:leader="none" w:pos="186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71" w:lineRule="exact"/>
        <w:rPr>
          <w:sz w:val="20"/>
          <w:szCs w:val="20"/>
          <w:color w:val="auto"/>
        </w:rPr>
      </w:pPr>
    </w:p>
    <w:p>
      <w:pPr>
        <w:ind w:firstLine="619"/>
        <w:spacing w:after="0" w:line="210" w:lineRule="auto"/>
        <w:rPr>
          <w:sz w:val="20"/>
          <w:szCs w:val="20"/>
          <w:color w:val="auto"/>
        </w:rPr>
      </w:pPr>
      <w:r>
        <w:rPr>
          <w:rFonts w:ascii="Times New Roman" w:cs="Times New Roman" w:eastAsia="Times New Roman" w:hAnsi="Times New Roman"/>
          <w:sz w:val="21"/>
          <w:szCs w:val="21"/>
          <w:color w:val="auto"/>
        </w:rPr>
        <w:t>11.12 Professional Fees. Borrower promises to pay Agent’s and the Lenders’ reasonable and documented fees and out-of-pocket expenses necessary to finalize the loan documentation, including but not limited to reasonable and documented attorneys’ fees, UCC searches, filing costs, and other miscellaneous out-of-pocket expenses. In addition, Borrower promises to pay any and all reasonable and documented attorneys’ and other professionals’ fees and out of pocket expenses incurred by Agent and the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146" w:lineRule="exact"/>
        <w:rPr>
          <w:sz w:val="20"/>
          <w:szCs w:val="20"/>
          <w:color w:val="auto"/>
        </w:rPr>
      </w:pPr>
    </w:p>
    <w:p>
      <w:pPr>
        <w:ind w:firstLine="619"/>
        <w:spacing w:after="0" w:line="219" w:lineRule="auto"/>
        <w:rPr>
          <w:sz w:val="20"/>
          <w:szCs w:val="20"/>
          <w:color w:val="auto"/>
        </w:rPr>
      </w:pPr>
      <w:r>
        <w:rPr>
          <w:rFonts w:ascii="Times New Roman" w:cs="Times New Roman" w:eastAsia="Times New Roman" w:hAnsi="Times New Roman"/>
          <w:sz w:val="20"/>
          <w:szCs w:val="20"/>
          <w:color w:val="auto"/>
        </w:rPr>
        <w:t>11.13 Confidentiality. Agent and the Lenders acknowledge that certain items of Collateral and information provided to Agent and the Lenders by Borrower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the Borrower;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61</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64" w:name="page165"/>
    <w:bookmarkEnd w:id="164"/>
    <w:p>
      <w:pPr>
        <w:ind w:right="120"/>
        <w:spacing w:after="0" w:line="217" w:lineRule="auto"/>
        <w:rPr>
          <w:sz w:val="20"/>
          <w:szCs w:val="20"/>
          <w:color w:val="auto"/>
        </w:rPr>
      </w:pPr>
      <w:r>
        <w:rPr>
          <w:rFonts w:ascii="Times New Roman" w:cs="Times New Roman" w:eastAsia="Times New Roman" w:hAnsi="Times New Roman"/>
          <w:sz w:val="20"/>
          <w:szCs w:val="20"/>
          <w:color w:val="auto"/>
        </w:rPr>
        <w:t>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an Event of Default), or any action or proceeding relating to any Loan Document; (g) to any participant or assignee of Agent or the Lenders permitted hereunder or any prospective participant or assignee permitted hereunder, provided, that such participant or assignee or prospective participant or assignee is subject to confidentiality restrictions that reasonably protect against the disclosure of Confidential Information; (h) to any investor or potential investor (and each of their respective Affiliates or clients) in the Agent or the Lenders (or each of their respective Affiliates); provided that such investor, potential investor, Affiliate or client is subject to confidentiality obligations with respect to the Confidential Information; (i) otherwise to the extent consisting of general portfolio information that does not identify Borrower; or</w:t>
      </w:r>
    </w:p>
    <w:p>
      <w:pPr>
        <w:spacing w:after="0" w:line="7" w:lineRule="exact"/>
        <w:rPr>
          <w:sz w:val="20"/>
          <w:szCs w:val="20"/>
          <w:color w:val="auto"/>
        </w:rPr>
      </w:pPr>
    </w:p>
    <w:p>
      <w:pPr>
        <w:ind w:right="160" w:firstLine="3"/>
        <w:spacing w:after="0" w:line="229" w:lineRule="auto"/>
        <w:tabs>
          <w:tab w:leader="none" w:pos="24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45" w:lineRule="exact"/>
        <w:rPr>
          <w:sz w:val="20"/>
          <w:szCs w:val="20"/>
          <w:color w:val="auto"/>
        </w:rPr>
      </w:pPr>
    </w:p>
    <w:p>
      <w:pPr>
        <w:ind w:firstLine="619"/>
        <w:spacing w:after="0" w:line="211" w:lineRule="auto"/>
        <w:rPr>
          <w:sz w:val="20"/>
          <w:szCs w:val="20"/>
          <w:color w:val="auto"/>
        </w:rPr>
      </w:pPr>
      <w:r>
        <w:rPr>
          <w:rFonts w:ascii="Times New Roman" w:cs="Times New Roman" w:eastAsia="Times New Roman" w:hAnsi="Times New Roman"/>
          <w:sz w:val="21"/>
          <w:szCs w:val="21"/>
          <w:color w:val="auto"/>
        </w:rPr>
        <w:t>11.14 Assignment of Rights. Borrower acknowledges and understands that Agent or the Lenders may, subject to (and in compliance with) Section 11.7,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Each Lender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52" w:lineRule="exact"/>
        <w:rPr>
          <w:sz w:val="20"/>
          <w:szCs w:val="20"/>
          <w:color w:val="auto"/>
        </w:rPr>
      </w:pPr>
    </w:p>
    <w:p>
      <w:pPr>
        <w:ind w:right="80" w:firstLine="619"/>
        <w:spacing w:after="0" w:line="210" w:lineRule="auto"/>
        <w:rPr>
          <w:sz w:val="20"/>
          <w:szCs w:val="20"/>
          <w:color w:val="auto"/>
        </w:rPr>
      </w:pPr>
      <w:r>
        <w:rPr>
          <w:rFonts w:ascii="Times New Roman" w:cs="Times New Roman" w:eastAsia="Times New Roman" w:hAnsi="Times New Roman"/>
          <w:sz w:val="21"/>
          <w:szCs w:val="21"/>
          <w:color w:val="auto"/>
        </w:rPr>
        <w:t>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46" w:lineRule="exact"/>
        <w:rPr>
          <w:sz w:val="20"/>
          <w:szCs w:val="20"/>
          <w:color w:val="auto"/>
        </w:rPr>
      </w:pPr>
    </w:p>
    <w:p>
      <w:pPr>
        <w:jc w:val="both"/>
        <w:ind w:right="180" w:firstLine="619"/>
        <w:spacing w:after="0" w:line="217" w:lineRule="auto"/>
        <w:rPr>
          <w:sz w:val="20"/>
          <w:szCs w:val="20"/>
          <w:color w:val="auto"/>
        </w:rPr>
      </w:pPr>
      <w:r>
        <w:rPr>
          <w:rFonts w:ascii="Times New Roman" w:cs="Times New Roman" w:eastAsia="Times New Roman" w:hAnsi="Times New Roman"/>
          <w:sz w:val="21"/>
          <w:szCs w:val="21"/>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 Delivery of an executed signature page of this Agreement by facsimile or other electronic mail transmission shall be effective as delivery of a manually executed counterpart hereof. A set of the copies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62</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39" w:right="339" w:bottom="1440" w:gutter="0" w:footer="0" w:header="0"/>
        </w:sectPr>
      </w:pPr>
    </w:p>
    <w:bookmarkStart w:id="165" w:name="page166"/>
    <w:bookmarkEnd w:id="165"/>
    <w:p>
      <w:pPr>
        <w:spacing w:after="0" w:line="225" w:lineRule="auto"/>
        <w:rPr>
          <w:sz w:val="20"/>
          <w:szCs w:val="20"/>
          <w:color w:val="auto"/>
        </w:rPr>
      </w:pPr>
      <w:r>
        <w:rPr>
          <w:rFonts w:ascii="Times New Roman" w:cs="Times New Roman" w:eastAsia="Times New Roman" w:hAnsi="Times New Roman"/>
          <w:sz w:val="20"/>
          <w:szCs w:val="20"/>
          <w:color w:val="auto"/>
        </w:rPr>
        <w:t>this Agreement signed by all the parties shall be lodged with Borrower and Agent.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the California Uniform Electronics Transactions Act, or any other similar state laws based on the Uniform Electronic Transactions Act.</w:t>
      </w:r>
    </w:p>
    <w:p>
      <w:pPr>
        <w:spacing w:after="0" w:line="150" w:lineRule="exact"/>
        <w:rPr>
          <w:sz w:val="20"/>
          <w:szCs w:val="20"/>
          <w:color w:val="auto"/>
        </w:rPr>
      </w:pPr>
    </w:p>
    <w:p>
      <w:pPr>
        <w:ind w:right="160" w:firstLine="619"/>
        <w:spacing w:after="0" w:line="220" w:lineRule="auto"/>
        <w:rPr>
          <w:sz w:val="20"/>
          <w:szCs w:val="20"/>
          <w:color w:val="auto"/>
        </w:rPr>
      </w:pPr>
      <w:r>
        <w:rPr>
          <w:rFonts w:ascii="Times New Roman" w:cs="Times New Roman" w:eastAsia="Times New Roman" w:hAnsi="Times New Roman"/>
          <w:sz w:val="21"/>
          <w:szCs w:val="21"/>
          <w:color w:val="auto"/>
        </w:rPr>
        <w:t>11.17 No Third 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Borrower.</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11.18  Agency. Agent and each Lender hereby agree to the terms and conditions set forth on Addendum 3 attached hereto.</w:t>
      </w:r>
    </w:p>
    <w:p>
      <w:pPr>
        <w:spacing w:after="0"/>
        <w:rPr>
          <w:sz w:val="20"/>
          <w:szCs w:val="20"/>
          <w:color w:val="auto"/>
        </w:rPr>
      </w:pPr>
      <w:r>
        <w:rPr>
          <w:rFonts w:ascii="Times New Roman" w:cs="Times New Roman" w:eastAsia="Times New Roman" w:hAnsi="Times New Roman"/>
          <w:sz w:val="21"/>
          <w:szCs w:val="21"/>
          <w:color w:val="auto"/>
        </w:rPr>
        <w:t>Borrower acknowledges and agrees to the terms and conditions set forth on Addendum 3 attached hereto.</w:t>
      </w:r>
    </w:p>
    <w:p>
      <w:pPr>
        <w:spacing w:after="0" w:line="149" w:lineRule="exact"/>
        <w:rPr>
          <w:sz w:val="20"/>
          <w:szCs w:val="20"/>
          <w:color w:val="auto"/>
        </w:rPr>
      </w:pPr>
    </w:p>
    <w:p>
      <w:pPr>
        <w:ind w:right="40" w:firstLine="619"/>
        <w:spacing w:after="0" w:line="211" w:lineRule="auto"/>
        <w:rPr>
          <w:sz w:val="20"/>
          <w:szCs w:val="20"/>
          <w:color w:val="auto"/>
        </w:rPr>
      </w:pPr>
      <w:r>
        <w:rPr>
          <w:rFonts w:ascii="Times New Roman" w:cs="Times New Roman" w:eastAsia="Times New Roman" w:hAnsi="Times New Roman"/>
          <w:sz w:val="21"/>
          <w:szCs w:val="21"/>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11.20  Multiple Borrowers. Each Borrower hereby agrees to the terms and conditions set forth on Addendum 4 attached hereto.</w:t>
      </w:r>
    </w:p>
    <w:p>
      <w:pPr>
        <w:spacing w:after="0" w:line="183" w:lineRule="exact"/>
        <w:rPr>
          <w:sz w:val="20"/>
          <w:szCs w:val="20"/>
          <w:color w:val="auto"/>
        </w:rPr>
      </w:pPr>
    </w:p>
    <w:p>
      <w:pPr>
        <w:ind w:right="300" w:firstLine="619"/>
        <w:spacing w:after="0" w:line="220" w:lineRule="auto"/>
        <w:rPr>
          <w:sz w:val="20"/>
          <w:szCs w:val="20"/>
          <w:color w:val="auto"/>
        </w:rPr>
      </w:pPr>
      <w:r>
        <w:rPr>
          <w:rFonts w:ascii="Times New Roman" w:cs="Times New Roman" w:eastAsia="Times New Roman" w:hAnsi="Times New Roman"/>
          <w:sz w:val="21"/>
          <w:szCs w:val="21"/>
          <w:color w:val="auto"/>
        </w:rPr>
        <w:t>11.21 Consent to Bail-In: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46" w:lineRule="exact"/>
        <w:rPr>
          <w:sz w:val="20"/>
          <w:szCs w:val="20"/>
          <w:color w:val="auto"/>
        </w:rPr>
      </w:pPr>
    </w:p>
    <w:p>
      <w:pPr>
        <w:ind w:left="1860" w:hanging="619"/>
        <w:spacing w:after="0"/>
        <w:tabs>
          <w:tab w:leader="none" w:pos="186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Bail-In Action in relation to any such liability, including (without limitation):</w:t>
      </w:r>
    </w:p>
    <w:p>
      <w:pPr>
        <w:spacing w:after="0" w:line="171" w:lineRule="exact"/>
        <w:rPr>
          <w:rFonts w:ascii="Times New Roman" w:cs="Times New Roman" w:eastAsia="Times New Roman" w:hAnsi="Times New Roman"/>
          <w:sz w:val="21"/>
          <w:szCs w:val="21"/>
          <w:color w:val="auto"/>
        </w:rPr>
      </w:pPr>
    </w:p>
    <w:p>
      <w:pPr>
        <w:ind w:left="1240" w:right="220" w:firstLine="1238"/>
        <w:spacing w:after="0" w:line="235" w:lineRule="auto"/>
        <w:tabs>
          <w:tab w:leader="none" w:pos="3085"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in the principal amount, or outstanding amount due (including any accrued but unpaid interest) in respect of any such liability;</w:t>
      </w:r>
    </w:p>
    <w:p>
      <w:pPr>
        <w:spacing w:after="0" w:line="145" w:lineRule="exact"/>
        <w:rPr>
          <w:rFonts w:ascii="Times New Roman" w:cs="Times New Roman" w:eastAsia="Times New Roman" w:hAnsi="Times New Roman"/>
          <w:sz w:val="21"/>
          <w:szCs w:val="21"/>
          <w:color w:val="auto"/>
        </w:rPr>
      </w:pPr>
    </w:p>
    <w:p>
      <w:pPr>
        <w:ind w:left="1240" w:right="60" w:firstLine="1238"/>
        <w:spacing w:after="0" w:line="235" w:lineRule="auto"/>
        <w:tabs>
          <w:tab w:leader="none" w:pos="3091"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part of, any such liability into shares or other instruments of ownership that may be issued to, or conferred on, it; and</w:t>
      </w:r>
    </w:p>
    <w:p>
      <w:pPr>
        <w:spacing w:after="0" w:line="145" w:lineRule="exact"/>
        <w:rPr>
          <w:rFonts w:ascii="Times New Roman" w:cs="Times New Roman" w:eastAsia="Times New Roman" w:hAnsi="Times New Roman"/>
          <w:sz w:val="21"/>
          <w:szCs w:val="21"/>
          <w:color w:val="auto"/>
        </w:rPr>
      </w:pPr>
    </w:p>
    <w:p>
      <w:pPr>
        <w:ind w:left="3100" w:hanging="622"/>
        <w:spacing w:after="0"/>
        <w:tabs>
          <w:tab w:leader="none" w:pos="3100"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cancellation of any such liability; and</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63</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20"/>
          </w:cols>
          <w:pgMar w:left="320" w:top="1339" w:right="359" w:bottom="1440" w:gutter="0" w:footer="0" w:header="0"/>
        </w:sectPr>
      </w:pPr>
    </w:p>
    <w:bookmarkStart w:id="166" w:name="page167"/>
    <w:bookmarkEnd w:id="166"/>
    <w:p>
      <w:pPr>
        <w:ind w:firstLine="621"/>
        <w:spacing w:after="0" w:line="235" w:lineRule="auto"/>
        <w:tabs>
          <w:tab w:leader="none" w:pos="1233"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variation of any term of any Loan Document to the extent necessary to give effect to any Bail-In Action in relation to any such liability.</w:t>
      </w:r>
    </w:p>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i w:val="1"/>
          <w:iCs w:val="1"/>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color w:val="auto"/>
        </w:rPr>
        <w:t>64</w:t>
      </w:r>
    </w:p>
    <w:p>
      <w:pPr>
        <w:spacing w:after="0" w:line="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60"/>
          </w:cols>
          <w:pgMar w:left="940" w:top="1339" w:right="799" w:bottom="1440" w:gutter="0" w:footer="0" w:header="0"/>
        </w:sectPr>
      </w:pPr>
    </w:p>
    <w:bookmarkStart w:id="167" w:name="page168"/>
    <w:bookmarkEnd w:id="167"/>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Borrower, Agent and the Lenders have duly executed and delivered this Loan and Security Agreement as of the day and year first above written.</w:t>
      </w:r>
    </w:p>
    <w:p>
      <w:pPr>
        <w:spacing w:after="0" w:line="18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BORROWER:</w:t>
      </w:r>
    </w:p>
    <w:p>
      <w:pPr>
        <w:spacing w:after="0" w:line="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REPLIMUNE GROUP, INC.</w:t>
      </w:r>
    </w:p>
    <w:p>
      <w:pPr>
        <w:spacing w:after="0" w:line="9" w:lineRule="exact"/>
        <w:rPr>
          <w:sz w:val="20"/>
          <w:szCs w:val="20"/>
          <w:color w:val="auto"/>
        </w:rPr>
      </w:pPr>
    </w:p>
    <w:tbl>
      <w:tblPr>
        <w:tblLayout w:type="fixed"/>
        <w:tblInd w:w="380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Signature:</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/Sushil Patel/</w:t>
            </w:r>
          </w:p>
        </w:tc>
      </w:tr>
      <w:tr>
        <w:trPr>
          <w:trHeight w:val="48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Print Name:</w:t>
            </w: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Sushil Patel</w:t>
            </w:r>
          </w:p>
        </w:tc>
        <w:tc>
          <w:tcPr>
            <w:tcW w:w="120" w:type="dxa"/>
            <w:vAlign w:val="bottom"/>
          </w:tcPr>
          <w:p>
            <w:pPr>
              <w:spacing w:after="0"/>
              <w:rPr>
                <w:sz w:val="24"/>
                <w:szCs w:val="24"/>
                <w:color w:val="auto"/>
              </w:rPr>
            </w:pPr>
          </w:p>
        </w:tc>
      </w:tr>
      <w:tr>
        <w:trPr>
          <w:trHeight w:val="48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CEO</w:t>
            </w:r>
          </w:p>
        </w:tc>
        <w:tc>
          <w:tcPr>
            <w:tcW w:w="680" w:type="dxa"/>
            <w:vAlign w:val="bottom"/>
            <w:gridSpan w:val="2"/>
          </w:tcPr>
          <w:p>
            <w:pPr>
              <w:spacing w:after="0"/>
              <w:rPr>
                <w:sz w:val="24"/>
                <w:szCs w:val="24"/>
                <w:color w:val="auto"/>
              </w:rPr>
            </w:pPr>
          </w:p>
        </w:tc>
      </w:tr>
      <w:tr>
        <w:trPr>
          <w:trHeight w:val="638"/>
        </w:trPr>
        <w:tc>
          <w:tcPr>
            <w:tcW w:w="264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REPLIMUNE, INC.</w:t>
            </w:r>
          </w:p>
        </w:tc>
      </w:tr>
      <w:tr>
        <w:trPr>
          <w:trHeight w:val="244"/>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Signature:</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/Sushil Patel/</w:t>
            </w:r>
          </w:p>
        </w:tc>
      </w:tr>
      <w:tr>
        <w:trPr>
          <w:trHeight w:val="48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Print Name:</w:t>
            </w: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Sushil Patel</w:t>
            </w:r>
          </w:p>
        </w:tc>
        <w:tc>
          <w:tcPr>
            <w:tcW w:w="120" w:type="dxa"/>
            <w:vAlign w:val="bottom"/>
          </w:tcPr>
          <w:p>
            <w:pPr>
              <w:spacing w:after="0"/>
              <w:rPr>
                <w:sz w:val="24"/>
                <w:szCs w:val="24"/>
                <w:color w:val="auto"/>
              </w:rPr>
            </w:pPr>
          </w:p>
        </w:tc>
      </w:tr>
      <w:tr>
        <w:trPr>
          <w:trHeight w:val="48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CEO</w:t>
            </w:r>
          </w:p>
        </w:tc>
        <w:tc>
          <w:tcPr>
            <w:tcW w:w="680" w:type="dxa"/>
            <w:vAlign w:val="bottom"/>
            <w:gridSpan w:val="2"/>
          </w:tcPr>
          <w:p>
            <w:pPr>
              <w:spacing w:after="0"/>
              <w:rPr>
                <w:sz w:val="24"/>
                <w:szCs w:val="24"/>
                <w:color w:val="auto"/>
              </w:rPr>
            </w:pPr>
          </w:p>
        </w:tc>
      </w:tr>
    </w:tbl>
    <w:p>
      <w:pPr>
        <w:spacing w:after="0" w:line="3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b w:val="1"/>
          <w:bCs w:val="1"/>
          <w:color w:val="auto"/>
        </w:rPr>
        <w:t>REPLIMUNE LIMITED</w:t>
      </w:r>
    </w:p>
    <w:p>
      <w:pPr>
        <w:spacing w:after="0" w:line="30" w:lineRule="exact"/>
        <w:rPr>
          <w:sz w:val="20"/>
          <w:szCs w:val="20"/>
          <w:color w:val="auto"/>
        </w:rPr>
      </w:pPr>
    </w:p>
    <w:p>
      <w:pPr>
        <w:ind w:left="3800"/>
        <w:spacing w:after="0"/>
        <w:tabs>
          <w:tab w:leader="none" w:pos="512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-3810</wp:posOffset>
            </wp:positionV>
            <wp:extent cx="8261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231" w:lineRule="exact"/>
        <w:rPr>
          <w:sz w:val="20"/>
          <w:szCs w:val="20"/>
          <w:color w:val="auto"/>
        </w:rPr>
      </w:pPr>
    </w:p>
    <w:p>
      <w:pPr>
        <w:ind w:left="3800"/>
        <w:spacing w:after="0"/>
        <w:tabs>
          <w:tab w:leader="none" w:pos="5120" w:val="left"/>
        </w:tabs>
        <w:rPr>
          <w:sz w:val="20"/>
          <w:szCs w:val="20"/>
          <w:color w:val="auto"/>
        </w:rPr>
      </w:pPr>
      <w:r>
        <w:rPr>
          <w:rFonts w:ascii="Times New Roman" w:cs="Times New Roman" w:eastAsia="Times New Roman" w:hAnsi="Times New Roman"/>
          <w:sz w:val="21"/>
          <w:szCs w:val="21"/>
          <w:color w:val="auto"/>
        </w:rPr>
        <w:t>Print Name:</w:t>
      </w:r>
      <w:r>
        <w:rPr>
          <w:sz w:val="20"/>
          <w:szCs w:val="20"/>
          <w:color w:val="auto"/>
        </w:rPr>
        <w:tab/>
      </w:r>
      <w:r>
        <w:rPr>
          <w:rFonts w:ascii="Times New Roman" w:cs="Times New Roman" w:eastAsia="Times New Roman" w:hAnsi="Times New Roman"/>
          <w:sz w:val="20"/>
          <w:szCs w:val="20"/>
          <w:color w:val="auto"/>
        </w:rPr>
        <w:t>Sushil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1905</wp:posOffset>
            </wp:positionV>
            <wp:extent cx="7531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241" w:lineRule="exact"/>
        <w:rPr>
          <w:sz w:val="20"/>
          <w:szCs w:val="20"/>
          <w:color w:val="auto"/>
        </w:rPr>
      </w:pPr>
    </w:p>
    <w:p>
      <w:pPr>
        <w:ind w:left="3800"/>
        <w:spacing w:after="0"/>
        <w:tabs>
          <w:tab w:leader="none" w:pos="512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1"/>
          <w:szCs w:val="2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1905</wp:posOffset>
            </wp:positionV>
            <wp:extent cx="393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460" w:right="1780" w:firstLine="1156"/>
        <w:spacing w:after="0" w:line="324" w:lineRule="auto"/>
        <w:rPr>
          <w:sz w:val="20"/>
          <w:szCs w:val="20"/>
          <w:color w:val="auto"/>
        </w:rPr>
      </w:pPr>
      <w:r>
        <w:rPr>
          <w:rFonts w:ascii="Times New Roman" w:cs="Times New Roman" w:eastAsia="Times New Roman" w:hAnsi="Times New Roman"/>
          <w:sz w:val="21"/>
          <w:szCs w:val="21"/>
          <w:i w:val="1"/>
          <w:iCs w:val="1"/>
          <w:color w:val="auto"/>
        </w:rPr>
        <w:t xml:space="preserve">[Signature Page to Loan and Security Agreement (Hercules/Replimune)] </w:t>
      </w:r>
      <w:r>
        <w:rPr>
          <w:rFonts w:ascii="Times New Roman" w:cs="Times New Roman" w:eastAsia="Times New Roman" w:hAnsi="Times New Roman"/>
          <w:sz w:val="21"/>
          <w:szCs w:val="21"/>
          <w:color w:val="auto"/>
        </w:rPr>
        <w:t>MF-365935886</w:t>
      </w:r>
    </w:p>
    <w:p>
      <w:pPr>
        <w:sectPr>
          <w:pgSz w:w="11900" w:h="16838" w:orient="portrait"/>
          <w:cols w:equalWidth="0" w:num="1">
            <w:col w:w="10400"/>
          </w:cols>
          <w:pgMar w:left="320" w:top="1365" w:right="117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AGENT:</w:t>
      </w:r>
    </w:p>
    <w:p>
      <w:pPr>
        <w:spacing w:after="0" w:line="2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HERCULES CAPITAL, INC</w:t>
      </w:r>
    </w:p>
    <w:p>
      <w:pPr>
        <w:spacing w:after="0" w:line="9" w:lineRule="exact"/>
        <w:rPr>
          <w:sz w:val="20"/>
          <w:szCs w:val="20"/>
          <w:color w:val="auto"/>
        </w:rPr>
      </w:pPr>
    </w:p>
    <w:tbl>
      <w:tblPr>
        <w:tblLayout w:type="fixed"/>
        <w:tblInd w:w="268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Signature:</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/Seth Meyer/</w:t>
            </w:r>
          </w:p>
        </w:tc>
        <w:tc>
          <w:tcPr>
            <w:tcW w:w="640" w:type="dxa"/>
            <w:vAlign w:val="bottom"/>
          </w:tcPr>
          <w:p>
            <w:pPr>
              <w:spacing w:after="0"/>
              <w:rPr>
                <w:sz w:val="21"/>
                <w:szCs w:val="21"/>
                <w:color w:val="auto"/>
              </w:rPr>
            </w:pPr>
          </w:p>
        </w:tc>
      </w:tr>
      <w:tr>
        <w:trPr>
          <w:trHeight w:val="532"/>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Print Name:</w:t>
            </w:r>
          </w:p>
        </w:tc>
        <w:tc>
          <w:tcPr>
            <w:tcW w:w="19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Seth Meyer</w:t>
            </w:r>
          </w:p>
        </w:tc>
      </w:tr>
      <w:tr>
        <w:trPr>
          <w:trHeight w:val="50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92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6"/>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66</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440" w:right="1440" w:bottom="1440" w:gutter="0" w:footer="0" w:header="0"/>
        </w:sectPr>
      </w:pPr>
    </w:p>
    <w:bookmarkStart w:id="169" w:name="page170"/>
    <w:bookmarkEnd w:id="169"/>
    <w:p>
      <w:pPr>
        <w:spacing w:after="0" w:line="18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color w:val="auto"/>
        </w:rPr>
        <w:t>LENDERS:</w:t>
      </w:r>
    </w:p>
    <w:p>
      <w:pPr>
        <w:spacing w:after="0" w:line="2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1"/>
          <w:szCs w:val="21"/>
          <w:b w:val="1"/>
          <w:bCs w:val="1"/>
          <w:color w:val="auto"/>
        </w:rPr>
        <w:t>HERCULES CAPITAL, INC.</w:t>
      </w:r>
    </w:p>
    <w:p>
      <w:pPr>
        <w:spacing w:after="0" w:line="9" w:lineRule="exact"/>
        <w:rPr>
          <w:sz w:val="20"/>
          <w:szCs w:val="20"/>
          <w:color w:val="auto"/>
        </w:rPr>
      </w:pPr>
    </w:p>
    <w:tbl>
      <w:tblPr>
        <w:tblLayout w:type="fixed"/>
        <w:tblInd w:w="268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Signature:</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/Seth Meyer/</w:t>
            </w:r>
          </w:p>
        </w:tc>
        <w:tc>
          <w:tcPr>
            <w:tcW w:w="640" w:type="dxa"/>
            <w:vAlign w:val="bottom"/>
          </w:tcPr>
          <w:p>
            <w:pPr>
              <w:spacing w:after="0"/>
              <w:rPr>
                <w:sz w:val="21"/>
                <w:szCs w:val="21"/>
                <w:color w:val="auto"/>
              </w:rPr>
            </w:pPr>
          </w:p>
        </w:tc>
      </w:tr>
      <w:tr>
        <w:trPr>
          <w:trHeight w:val="532"/>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Print Name:</w:t>
            </w:r>
          </w:p>
        </w:tc>
        <w:tc>
          <w:tcPr>
            <w:tcW w:w="19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Seth Meyer</w:t>
            </w:r>
          </w:p>
        </w:tc>
      </w:tr>
      <w:tr>
        <w:trPr>
          <w:trHeight w:val="50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92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6"/>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67</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440" w:right="1440" w:bottom="1440" w:gutter="0" w:footer="0" w:header="0"/>
        </w:sectPr>
      </w:pPr>
    </w:p>
    <w:bookmarkStart w:id="170" w:name="page171"/>
    <w:bookmarkEnd w:id="170"/>
    <w:p>
      <w:pPr>
        <w:ind w:left="2680"/>
        <w:spacing w:after="0"/>
        <w:rPr>
          <w:sz w:val="20"/>
          <w:szCs w:val="20"/>
          <w:color w:val="auto"/>
        </w:rPr>
      </w:pPr>
      <w:r>
        <w:rPr>
          <w:rFonts w:ascii="Times New Roman" w:cs="Times New Roman" w:eastAsia="Times New Roman" w:hAnsi="Times New Roman"/>
          <w:sz w:val="21"/>
          <w:szCs w:val="21"/>
          <w:color w:val="auto"/>
        </w:rPr>
        <w:t>LENDERS:</w:t>
      </w:r>
    </w:p>
    <w:p>
      <w:pPr>
        <w:spacing w:after="0" w:line="38" w:lineRule="exact"/>
        <w:rPr>
          <w:sz w:val="20"/>
          <w:szCs w:val="20"/>
          <w:color w:val="auto"/>
        </w:rPr>
      </w:pPr>
    </w:p>
    <w:p>
      <w:pPr>
        <w:jc w:val="both"/>
        <w:ind w:left="2740"/>
        <w:spacing w:after="0"/>
        <w:tabs>
          <w:tab w:leader="none" w:pos="4300" w:val="left"/>
          <w:tab w:leader="none" w:pos="5620" w:val="left"/>
        </w:tabs>
        <w:rPr>
          <w:sz w:val="20"/>
          <w:szCs w:val="20"/>
          <w:color w:val="auto"/>
        </w:rPr>
      </w:pPr>
      <w:r>
        <w:rPr>
          <w:rFonts w:ascii="Times New Roman" w:cs="Times New Roman" w:eastAsia="Times New Roman" w:hAnsi="Times New Roman"/>
          <w:sz w:val="21"/>
          <w:szCs w:val="21"/>
          <w:b w:val="1"/>
          <w:bCs w:val="1"/>
          <w:color w:val="auto"/>
        </w:rPr>
        <w:t>HERCULES</w:t>
      </w:r>
      <w:r>
        <w:rPr>
          <w:sz w:val="20"/>
          <w:szCs w:val="20"/>
          <w:color w:val="auto"/>
        </w:rPr>
        <w:tab/>
      </w:r>
      <w:r>
        <w:rPr>
          <w:rFonts w:ascii="Times New Roman" w:cs="Times New Roman" w:eastAsia="Times New Roman" w:hAnsi="Times New Roman"/>
          <w:sz w:val="21"/>
          <w:szCs w:val="21"/>
          <w:b w:val="1"/>
          <w:bCs w:val="1"/>
          <w:color w:val="auto"/>
        </w:rPr>
        <w:t>PRIVATE</w:t>
      </w:r>
      <w:r>
        <w:rPr>
          <w:sz w:val="20"/>
          <w:szCs w:val="20"/>
          <w:color w:val="auto"/>
        </w:rPr>
        <w:tab/>
      </w:r>
      <w:r>
        <w:rPr>
          <w:rFonts w:ascii="Times New Roman" w:cs="Times New Roman" w:eastAsia="Times New Roman" w:hAnsi="Times New Roman"/>
          <w:sz w:val="20"/>
          <w:szCs w:val="20"/>
          <w:b w:val="1"/>
          <w:bCs w:val="1"/>
          <w:color w:val="auto"/>
        </w:rPr>
        <w:t>GLOBAL</w:t>
      </w:r>
    </w:p>
    <w:p>
      <w:pPr>
        <w:spacing w:after="0" w:line="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b w:val="1"/>
          <w:bCs w:val="1"/>
          <w:color w:val="auto"/>
        </w:rPr>
        <w:t>VENTURE GROWTH FUND I L.P.</w:t>
      </w:r>
    </w:p>
    <w:p>
      <w:pPr>
        <w:spacing w:after="0" w:line="18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color w:val="auto"/>
        </w:rPr>
        <w:t>By: Hercules Adviser LLC, its Investment</w:t>
      </w:r>
    </w:p>
    <w:p>
      <w:pPr>
        <w:spacing w:after="0" w:line="2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color w:val="auto"/>
        </w:rPr>
        <w:t>Adviser</w:t>
      </w:r>
    </w:p>
    <w:p>
      <w:pPr>
        <w:spacing w:after="0" w:line="226" w:lineRule="exact"/>
        <w:rPr>
          <w:sz w:val="20"/>
          <w:szCs w:val="20"/>
          <w:color w:val="auto"/>
        </w:rPr>
      </w:pPr>
    </w:p>
    <w:tbl>
      <w:tblPr>
        <w:tblLayout w:type="fixed"/>
        <w:tblInd w:w="2680" w:type="dxa"/>
        <w:tblCellMar>
          <w:top w:w="0" w:type="dxa"/>
          <w:left w:w="0" w:type="dxa"/>
          <w:bottom w:w="0" w:type="dxa"/>
          <w:right w:w="0" w:type="dxa"/>
        </w:tblCellMar>
      </w:tblPr>
      <w:tr>
        <w:trPr>
          <w:trHeight w:val="244"/>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Signature:</w:t>
            </w: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/Seth Meyer/</w:t>
            </w:r>
          </w:p>
        </w:tc>
        <w:tc>
          <w:tcPr>
            <w:tcW w:w="500" w:type="dxa"/>
            <w:vAlign w:val="bottom"/>
          </w:tcPr>
          <w:p>
            <w:pPr>
              <w:spacing w:after="0"/>
              <w:rPr>
                <w:sz w:val="21"/>
                <w:szCs w:val="21"/>
                <w:color w:val="auto"/>
              </w:rPr>
            </w:pPr>
          </w:p>
        </w:tc>
      </w:tr>
      <w:tr>
        <w:trPr>
          <w:trHeight w:val="532"/>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Print Name:</w:t>
            </w:r>
          </w:p>
        </w:tc>
        <w:tc>
          <w:tcPr>
            <w:tcW w:w="1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Seth Meyer</w:t>
            </w:r>
          </w:p>
        </w:tc>
      </w:tr>
      <w:tr>
        <w:trPr>
          <w:trHeight w:val="503"/>
        </w:trPr>
        <w:tc>
          <w:tcPr>
            <w:tcW w:w="13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7"/>
              </w:rPr>
              <w:t>Authorised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68</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390" w:right="1440"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9"/>
          <w:szCs w:val="19"/>
          <w:u w:val="single" w:color="auto"/>
          <w:color w:val="auto"/>
        </w:rPr>
        <w:t>Annex 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69</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357"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1"/>
          <w:szCs w:val="21"/>
          <w:color w:val="auto"/>
        </w:rPr>
        <w:t>Table of Addenda, Exhibits and Schedules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3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Addendum 1:</w:t>
            </w:r>
          </w:p>
        </w:tc>
        <w:tc>
          <w:tcPr>
            <w:tcW w:w="984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Taxes; Increased Costs</w:t>
            </w:r>
          </w:p>
        </w:tc>
      </w:tr>
      <w:tr>
        <w:trPr>
          <w:trHeight w:val="477"/>
        </w:trPr>
        <w:tc>
          <w:tcPr>
            <w:tcW w:w="13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Addendum 2:</w:t>
            </w:r>
          </w:p>
        </w:tc>
        <w:tc>
          <w:tcPr>
            <w:tcW w:w="984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Reserved</w:t>
            </w:r>
          </w:p>
        </w:tc>
      </w:tr>
      <w:tr>
        <w:trPr>
          <w:trHeight w:val="441"/>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Addendum 3:</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Agent and Lender Terms</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Addendum 4:</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Multiple Borrower Terms</w:t>
            </w:r>
          </w:p>
        </w:tc>
      </w:tr>
      <w:tr>
        <w:trPr>
          <w:trHeight w:val="206"/>
        </w:trPr>
        <w:tc>
          <w:tcPr>
            <w:tcW w:w="13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Exhibit A:</w:t>
            </w:r>
          </w:p>
        </w:tc>
        <w:tc>
          <w:tcPr>
            <w:tcW w:w="9840" w:type="dxa"/>
            <w:vAlign w:val="bottom"/>
          </w:tcPr>
          <w:p>
            <w:pPr>
              <w:ind w:left="1060"/>
              <w:spacing w:after="0" w:line="207" w:lineRule="exact"/>
              <w:rPr>
                <w:sz w:val="20"/>
                <w:szCs w:val="20"/>
                <w:color w:val="auto"/>
              </w:rPr>
            </w:pPr>
            <w:r>
              <w:rPr>
                <w:rFonts w:ascii="Times New Roman" w:cs="Times New Roman" w:eastAsia="Times New Roman" w:hAnsi="Times New Roman"/>
                <w:sz w:val="21"/>
                <w:szCs w:val="21"/>
                <w:color w:val="auto"/>
              </w:rPr>
              <w:t>Advance Request</w:t>
            </w:r>
          </w:p>
        </w:tc>
      </w:tr>
      <w:tr>
        <w:trPr>
          <w:trHeight w:val="258"/>
        </w:trPr>
        <w:tc>
          <w:tcPr>
            <w:tcW w:w="1320" w:type="dxa"/>
            <w:vAlign w:val="bottom"/>
          </w:tcPr>
          <w:p>
            <w:pPr>
              <w:spacing w:after="0"/>
              <w:rPr>
                <w:sz w:val="22"/>
                <w:szCs w:val="22"/>
                <w:color w:val="auto"/>
              </w:rPr>
            </w:pP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Attachment to Advance Request</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Exhibit B:</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Name, Locations, and Other Information for Borrower</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Exhibit C:</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Reserved</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Exhibit D:</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Borrower’s Deposit Accounts and Investment Accounts</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Exhibit E:</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Compliance Certificate</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Exhibit F:</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Joinder Agreement</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Exhibit G:</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ACH Debit Authorization Agreement</w:t>
            </w:r>
          </w:p>
        </w:tc>
      </w:tr>
      <w:tr>
        <w:trPr>
          <w:trHeight w:val="206"/>
        </w:trPr>
        <w:tc>
          <w:tcPr>
            <w:tcW w:w="13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Exhibit H-1:</w:t>
            </w:r>
          </w:p>
        </w:tc>
        <w:tc>
          <w:tcPr>
            <w:tcW w:w="9840" w:type="dxa"/>
            <w:vAlign w:val="bottom"/>
          </w:tcPr>
          <w:p>
            <w:pPr>
              <w:ind w:left="1060"/>
              <w:spacing w:after="0" w:line="207" w:lineRule="exact"/>
              <w:rPr>
                <w:sz w:val="20"/>
                <w:szCs w:val="20"/>
                <w:color w:val="auto"/>
              </w:rPr>
            </w:pPr>
            <w:r>
              <w:rPr>
                <w:rFonts w:ascii="Times New Roman" w:cs="Times New Roman" w:eastAsia="Times New Roman" w:hAnsi="Times New Roman"/>
                <w:sz w:val="21"/>
                <w:szCs w:val="21"/>
                <w:color w:val="auto"/>
              </w:rPr>
              <w:t>Form of U.S. Tax Compliance Certificate (For Foreign Lenders That Are Not Partnerships For U.S.</w:t>
            </w:r>
          </w:p>
        </w:tc>
      </w:tr>
      <w:tr>
        <w:trPr>
          <w:trHeight w:val="258"/>
        </w:trPr>
        <w:tc>
          <w:tcPr>
            <w:tcW w:w="1320" w:type="dxa"/>
            <w:vAlign w:val="bottom"/>
          </w:tcPr>
          <w:p>
            <w:pPr>
              <w:spacing w:after="0"/>
              <w:rPr>
                <w:sz w:val="22"/>
                <w:szCs w:val="22"/>
                <w:color w:val="auto"/>
              </w:rPr>
            </w:pP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Federal Income Tax Purposes)</w:t>
            </w:r>
          </w:p>
        </w:tc>
      </w:tr>
      <w:tr>
        <w:trPr>
          <w:trHeight w:val="206"/>
        </w:trPr>
        <w:tc>
          <w:tcPr>
            <w:tcW w:w="13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Exhibit H-2:</w:t>
            </w:r>
          </w:p>
        </w:tc>
        <w:tc>
          <w:tcPr>
            <w:tcW w:w="9840" w:type="dxa"/>
            <w:vAlign w:val="bottom"/>
          </w:tcPr>
          <w:p>
            <w:pPr>
              <w:ind w:left="1060"/>
              <w:spacing w:after="0" w:line="207" w:lineRule="exact"/>
              <w:rPr>
                <w:sz w:val="20"/>
                <w:szCs w:val="20"/>
                <w:color w:val="auto"/>
              </w:rPr>
            </w:pPr>
            <w:r>
              <w:rPr>
                <w:rFonts w:ascii="Times New Roman" w:cs="Times New Roman" w:eastAsia="Times New Roman" w:hAnsi="Times New Roman"/>
                <w:sz w:val="21"/>
                <w:szCs w:val="21"/>
                <w:color w:val="auto"/>
              </w:rPr>
              <w:t>Form of U.S. Tax Compliance Certificate (For Foreign Participants That Are Not Partnerships For U.S.</w:t>
            </w:r>
          </w:p>
        </w:tc>
      </w:tr>
      <w:tr>
        <w:trPr>
          <w:trHeight w:val="258"/>
        </w:trPr>
        <w:tc>
          <w:tcPr>
            <w:tcW w:w="1320" w:type="dxa"/>
            <w:vAlign w:val="bottom"/>
          </w:tcPr>
          <w:p>
            <w:pPr>
              <w:spacing w:after="0"/>
              <w:rPr>
                <w:sz w:val="22"/>
                <w:szCs w:val="22"/>
                <w:color w:val="auto"/>
              </w:rPr>
            </w:pP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Federal Income Tax Purposes)</w:t>
            </w:r>
          </w:p>
        </w:tc>
      </w:tr>
      <w:tr>
        <w:trPr>
          <w:trHeight w:val="206"/>
        </w:trPr>
        <w:tc>
          <w:tcPr>
            <w:tcW w:w="13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Exhibit H-3:</w:t>
            </w:r>
          </w:p>
        </w:tc>
        <w:tc>
          <w:tcPr>
            <w:tcW w:w="9840" w:type="dxa"/>
            <w:vAlign w:val="bottom"/>
          </w:tcPr>
          <w:p>
            <w:pPr>
              <w:ind w:left="1060"/>
              <w:spacing w:after="0" w:line="207" w:lineRule="exact"/>
              <w:rPr>
                <w:sz w:val="20"/>
                <w:szCs w:val="20"/>
                <w:color w:val="auto"/>
              </w:rPr>
            </w:pPr>
            <w:r>
              <w:rPr>
                <w:rFonts w:ascii="Times New Roman" w:cs="Times New Roman" w:eastAsia="Times New Roman" w:hAnsi="Times New Roman"/>
                <w:sz w:val="21"/>
                <w:szCs w:val="21"/>
                <w:color w:val="auto"/>
              </w:rPr>
              <w:t>Form of U.S. Tax Compliance Certificate (For Foreign Participants That Are Partnerships For U.S.</w:t>
            </w:r>
          </w:p>
        </w:tc>
      </w:tr>
      <w:tr>
        <w:trPr>
          <w:trHeight w:val="258"/>
        </w:trPr>
        <w:tc>
          <w:tcPr>
            <w:tcW w:w="1320" w:type="dxa"/>
            <w:vAlign w:val="bottom"/>
          </w:tcPr>
          <w:p>
            <w:pPr>
              <w:spacing w:after="0"/>
              <w:rPr>
                <w:sz w:val="22"/>
                <w:szCs w:val="22"/>
                <w:color w:val="auto"/>
              </w:rPr>
            </w:pP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Federal Income Tax Purposes)</w:t>
            </w:r>
          </w:p>
        </w:tc>
      </w:tr>
      <w:tr>
        <w:trPr>
          <w:trHeight w:val="206"/>
        </w:trPr>
        <w:tc>
          <w:tcPr>
            <w:tcW w:w="132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Exhibit H-4:</w:t>
            </w:r>
          </w:p>
        </w:tc>
        <w:tc>
          <w:tcPr>
            <w:tcW w:w="9840" w:type="dxa"/>
            <w:vAlign w:val="bottom"/>
          </w:tcPr>
          <w:p>
            <w:pPr>
              <w:ind w:left="1060"/>
              <w:spacing w:after="0" w:line="207" w:lineRule="exact"/>
              <w:rPr>
                <w:sz w:val="20"/>
                <w:szCs w:val="20"/>
                <w:color w:val="auto"/>
              </w:rPr>
            </w:pPr>
            <w:r>
              <w:rPr>
                <w:rFonts w:ascii="Times New Roman" w:cs="Times New Roman" w:eastAsia="Times New Roman" w:hAnsi="Times New Roman"/>
                <w:sz w:val="21"/>
                <w:szCs w:val="21"/>
                <w:color w:val="auto"/>
              </w:rPr>
              <w:t>Form of U.S. Tax Compliance Certificate (For Foreign Lenders That Are Partnerships For U.S. Federal</w:t>
            </w:r>
          </w:p>
        </w:tc>
      </w:tr>
      <w:tr>
        <w:trPr>
          <w:trHeight w:val="258"/>
        </w:trPr>
        <w:tc>
          <w:tcPr>
            <w:tcW w:w="1320" w:type="dxa"/>
            <w:vAlign w:val="bottom"/>
          </w:tcPr>
          <w:p>
            <w:pPr>
              <w:spacing w:after="0"/>
              <w:rPr>
                <w:sz w:val="22"/>
                <w:szCs w:val="22"/>
                <w:color w:val="auto"/>
              </w:rPr>
            </w:pP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Income Tax Purposes)</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1.1</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Commitments</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1</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Subsidiaries</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1A</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Existing Permitted Indebtedness</w:t>
            </w:r>
          </w:p>
        </w:tc>
      </w:tr>
      <w:tr>
        <w:trPr>
          <w:trHeight w:val="26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1B</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Existing Permitted Investments</w:t>
            </w:r>
          </w:p>
        </w:tc>
      </w:tr>
      <w:tr>
        <w:trPr>
          <w:trHeight w:val="261"/>
        </w:trPr>
        <w:tc>
          <w:tcPr>
            <w:tcW w:w="13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Schedule 1C</w:t>
            </w:r>
          </w:p>
        </w:tc>
        <w:tc>
          <w:tcPr>
            <w:tcW w:w="984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Existing Permitted Liens</w:t>
            </w:r>
          </w:p>
        </w:tc>
      </w:tr>
      <w:tr>
        <w:trPr>
          <w:trHeight w:val="268"/>
        </w:trPr>
        <w:tc>
          <w:tcPr>
            <w:tcW w:w="13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Schedule 4.4</w:t>
            </w:r>
          </w:p>
        </w:tc>
        <w:tc>
          <w:tcPr>
            <w:tcW w:w="9840" w:type="dxa"/>
            <w:vAlign w:val="bottom"/>
          </w:tcPr>
          <w:p>
            <w:pPr>
              <w:ind w:left="1120"/>
              <w:spacing w:after="0"/>
              <w:rPr>
                <w:sz w:val="20"/>
                <w:szCs w:val="20"/>
                <w:color w:val="auto"/>
              </w:rPr>
            </w:pPr>
            <w:r>
              <w:rPr>
                <w:rFonts w:ascii="Times New Roman" w:cs="Times New Roman" w:eastAsia="Times New Roman" w:hAnsi="Times New Roman"/>
                <w:sz w:val="21"/>
                <w:szCs w:val="21"/>
                <w:color w:val="auto"/>
              </w:rPr>
              <w:t>Post-Closing Deliverables</w:t>
            </w:r>
          </w:p>
        </w:tc>
      </w:tr>
      <w:tr>
        <w:trPr>
          <w:trHeight w:val="261"/>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5.3</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Consents, Etc.</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5.8</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Tax Matters</w:t>
            </w:r>
          </w:p>
        </w:tc>
      </w:t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5.9</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Current Company IP Claims</w:t>
            </w:r>
          </w:p>
        </w:tc>
      </w:tr>
      <w:tr>
        <w:trPr>
          <w:trHeight w:val="268"/>
        </w:trPr>
        <w:tc>
          <w:tcPr>
            <w:tcW w:w="1320" w:type="dxa"/>
            <w:vAlign w:val="bottom"/>
          </w:tcPr>
          <w:p>
            <w:pPr>
              <w:spacing w:after="0"/>
              <w:rPr>
                <w:sz w:val="20"/>
                <w:szCs w:val="20"/>
                <w:color w:val="auto"/>
              </w:rPr>
            </w:pPr>
            <w:r>
              <w:rPr>
                <w:rFonts w:ascii="Times New Roman" w:cs="Times New Roman" w:eastAsia="Times New Roman" w:hAnsi="Times New Roman"/>
                <w:sz w:val="21"/>
                <w:szCs w:val="21"/>
                <w:color w:val="auto"/>
              </w:rPr>
              <w:t>Schedule 5.10</w:t>
            </w:r>
          </w:p>
        </w:tc>
        <w:tc>
          <w:tcPr>
            <w:tcW w:w="9840" w:type="dxa"/>
            <w:vAlign w:val="bottom"/>
          </w:tcPr>
          <w:p>
            <w:pPr>
              <w:ind w:left="1060"/>
              <w:spacing w:after="0"/>
              <w:rPr>
                <w:sz w:val="20"/>
                <w:szCs w:val="20"/>
                <w:color w:val="auto"/>
              </w:rPr>
            </w:pPr>
            <w:r>
              <w:rPr>
                <w:rFonts w:ascii="Times New Roman" w:cs="Times New Roman" w:eastAsia="Times New Roman" w:hAnsi="Times New Roman"/>
                <w:sz w:val="21"/>
                <w:szCs w:val="21"/>
                <w:color w:val="auto"/>
              </w:rPr>
              <w:t>Current Company IP</w:t>
            </w:r>
          </w:p>
        </w:tc>
      </w:tr>
      <w:tr>
        <w:trPr>
          <w:trHeight w:val="722"/>
        </w:trPr>
        <w:tc>
          <w:tcPr>
            <w:tcW w:w="1320" w:type="dxa"/>
            <w:vAlign w:val="bottom"/>
          </w:tcPr>
          <w:p>
            <w:pPr>
              <w:spacing w:after="0"/>
              <w:rPr>
                <w:sz w:val="24"/>
                <w:szCs w:val="24"/>
                <w:color w:val="auto"/>
              </w:rPr>
            </w:pPr>
          </w:p>
        </w:tc>
        <w:tc>
          <w:tcPr>
            <w:tcW w:w="9840" w:type="dxa"/>
            <w:vAlign w:val="bottom"/>
          </w:tcPr>
          <w:p>
            <w:pPr>
              <w:ind w:left="4180"/>
              <w:spacing w:after="0"/>
              <w:rPr>
                <w:sz w:val="20"/>
                <w:szCs w:val="20"/>
                <w:color w:val="auto"/>
              </w:rPr>
            </w:pPr>
            <w:r>
              <w:rPr>
                <w:rFonts w:ascii="Times New Roman" w:cs="Times New Roman" w:eastAsia="Times New Roman" w:hAnsi="Times New Roman"/>
                <w:sz w:val="21"/>
                <w:szCs w:val="21"/>
                <w:color w:val="auto"/>
              </w:rPr>
              <w:t>70</w:t>
            </w:r>
          </w:p>
        </w:tc>
      </w:tr>
      <w:tr>
        <w:trPr>
          <w:trHeight w:val="297"/>
        </w:trPr>
        <w:tc>
          <w:tcPr>
            <w:tcW w:w="132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MF-365935886</w:t>
            </w:r>
          </w:p>
        </w:tc>
      </w:tr>
    </w:tbl>
    <w:p>
      <w:pPr>
        <w:sectPr>
          <w:pgSz w:w="11900" w:h="16838" w:orient="portrait"/>
          <w:cols w:equalWidth="0" w:num="1">
            <w:col w:w="11160"/>
          </w:cols>
          <w:pgMar w:left="340" w:top="1391" w:right="3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auto"/>
        </w:rPr>
        <w:t>Schedule 5.11</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Borrower Products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Capitalization</w:t>
      </w:r>
    </w:p>
    <w:p>
      <w:pPr>
        <w:spacing w:after="0" w:line="200" w:lineRule="exact"/>
        <w:rPr>
          <w:sz w:val="20"/>
          <w:szCs w:val="20"/>
          <w:color w:val="auto"/>
        </w:rPr>
      </w:pPr>
    </w:p>
    <w:p>
      <w:pPr>
        <w:sectPr>
          <w:pgSz w:w="11900" w:h="16838" w:orient="portrait"/>
          <w:cols w:equalWidth="0" w:num="2">
            <w:col w:w="1660" w:space="720"/>
            <w:col w:w="7739"/>
          </w:cols>
          <w:pgMar w:left="340" w:top="139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1"/>
          <w:szCs w:val="21"/>
          <w:color w:val="auto"/>
        </w:rPr>
        <w:t>71</w:t>
      </w:r>
    </w:p>
    <w:p>
      <w:pPr>
        <w:spacing w:after="0" w:line="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19"/>
          </w:cols>
          <w:pgMar w:left="340" w:top="1391" w:right="1440" w:bottom="1440" w:gutter="0" w:footer="0" w:header="0"/>
          <w:type w:val="continuous"/>
        </w:sectPr>
      </w:pPr>
    </w:p>
    <w:bookmarkStart w:id="174" w:name="page175"/>
    <w:bookmarkEnd w:id="174"/>
    <w:p>
      <w:pPr>
        <w:spacing w:after="0" w:line="15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ADDENDUM 1 to LOAN AND SECURITY AGREEMENT</w:t>
      </w:r>
    </w:p>
    <w:p>
      <w:pPr>
        <w:spacing w:after="0" w:line="21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b w:val="1"/>
          <w:bCs w:val="1"/>
          <w:color w:val="auto"/>
        </w:rPr>
        <w:t>TAXES; INCREASED COSTS</w:t>
      </w:r>
    </w:p>
    <w:p>
      <w:pPr>
        <w:spacing w:after="0" w:line="210" w:lineRule="exact"/>
        <w:rPr>
          <w:sz w:val="20"/>
          <w:szCs w:val="20"/>
          <w:color w:val="auto"/>
        </w:rPr>
      </w:pPr>
    </w:p>
    <w:p>
      <w:pPr>
        <w:ind w:left="357" w:hanging="357"/>
        <w:spacing w:after="0"/>
        <w:tabs>
          <w:tab w:leader="none" w:pos="35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Defined Terms</w:t>
      </w:r>
      <w:r>
        <w:rPr>
          <w:rFonts w:ascii="Times New Roman" w:cs="Times New Roman" w:eastAsia="Times New Roman" w:hAnsi="Times New Roman"/>
          <w:sz w:val="21"/>
          <w:szCs w:val="21"/>
          <w:color w:val="auto"/>
        </w:rPr>
        <w:t>. For purposes of this Addendum 1:</w:t>
      </w:r>
    </w:p>
    <w:p>
      <w:pPr>
        <w:spacing w:after="0" w:line="222" w:lineRule="exact"/>
        <w:rPr>
          <w:rFonts w:ascii="Times New Roman" w:cs="Times New Roman" w:eastAsia="Times New Roman" w:hAnsi="Times New Roman"/>
          <w:sz w:val="21"/>
          <w:szCs w:val="21"/>
          <w:color w:val="auto"/>
        </w:rPr>
      </w:pPr>
    </w:p>
    <w:p>
      <w:pPr>
        <w:ind w:left="1237" w:right="380" w:hanging="618"/>
        <w:spacing w:after="0" w:line="273" w:lineRule="auto"/>
        <w:tabs>
          <w:tab w:leader="none" w:pos="967"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146" w:lineRule="exact"/>
        <w:rPr>
          <w:rFonts w:ascii="Times New Roman" w:cs="Times New Roman" w:eastAsia="Times New Roman" w:hAnsi="Times New Roman"/>
          <w:sz w:val="21"/>
          <w:szCs w:val="21"/>
          <w:color w:val="auto"/>
        </w:rPr>
      </w:pPr>
    </w:p>
    <w:p>
      <w:pPr>
        <w:ind w:left="1237" w:hanging="618"/>
        <w:spacing w:after="0" w:line="247" w:lineRule="auto"/>
        <w:tabs>
          <w:tab w:leader="none" w:pos="979"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(iv) any withholding Taxes imposed under FATCA, and (v) so long as no Event of Default has occurred, any UK Withholding Tax imposed on interest payable to or for the account of an assignee of a Lender with respect to an applicable interest in a Term Commitment under Section 11.7 to the extent such assignee was not (assuming completion of all relevant procedural formalities) entitled to an exemption from or reduction of UK Withholding Tax with respect to the relevant payment based on the circumstances existing at the time of the relevant assignment.</w:t>
      </w:r>
    </w:p>
    <w:p>
      <w:pPr>
        <w:spacing w:after="0" w:line="184" w:lineRule="exact"/>
        <w:rPr>
          <w:rFonts w:ascii="Times New Roman" w:cs="Times New Roman" w:eastAsia="Times New Roman" w:hAnsi="Times New Roman"/>
          <w:sz w:val="21"/>
          <w:szCs w:val="21"/>
          <w:color w:val="auto"/>
        </w:rPr>
      </w:pPr>
    </w:p>
    <w:p>
      <w:pPr>
        <w:ind w:left="1237" w:hanging="618"/>
        <w:spacing w:after="0" w:line="254" w:lineRule="auto"/>
        <w:tabs>
          <w:tab w:leader="none" w:pos="967"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200" w:lineRule="exact"/>
        <w:rPr>
          <w:sz w:val="20"/>
          <w:szCs w:val="20"/>
          <w:color w:val="auto"/>
        </w:rPr>
      </w:pPr>
    </w:p>
    <w:p>
      <w:pPr>
        <w:spacing w:after="0" w:line="34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color w:val="auto"/>
        </w:rPr>
        <w:t>72</w:t>
      </w:r>
    </w:p>
    <w:p>
      <w:pPr>
        <w:spacing w:after="0" w:line="55" w:lineRule="exact"/>
        <w:rPr>
          <w:sz w:val="20"/>
          <w:szCs w:val="20"/>
          <w:color w:val="auto"/>
        </w:rPr>
      </w:pPr>
    </w:p>
    <w:p>
      <w:pPr>
        <w:ind w:left="1457"/>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17"/>
          </w:cols>
          <w:pgMar w:left="323" w:top="1440" w:right="359" w:bottom="1440" w:gutter="0" w:footer="0" w:header="0"/>
        </w:sectPr>
      </w:pPr>
    </w:p>
    <w:bookmarkStart w:id="175" w:name="page176"/>
    <w:bookmarkEnd w:id="175"/>
    <w:p>
      <w:pPr>
        <w:ind w:left="977" w:hanging="358"/>
        <w:spacing w:after="0"/>
        <w:tabs>
          <w:tab w:leader="none" w:pos="977"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Foreign Lender</w:t>
      </w:r>
      <w:r>
        <w:rPr>
          <w:rFonts w:ascii="Times New Roman" w:cs="Times New Roman" w:eastAsia="Times New Roman" w:hAnsi="Times New Roman"/>
          <w:sz w:val="21"/>
          <w:szCs w:val="21"/>
          <w:color w:val="auto"/>
        </w:rPr>
        <w:t>” means a Lender that is not a U.S. Person.</w:t>
      </w:r>
    </w:p>
    <w:p>
      <w:pPr>
        <w:spacing w:after="0" w:line="209" w:lineRule="exact"/>
        <w:rPr>
          <w:rFonts w:ascii="Times New Roman" w:cs="Times New Roman" w:eastAsia="Times New Roman" w:hAnsi="Times New Roman"/>
          <w:sz w:val="21"/>
          <w:szCs w:val="21"/>
          <w:color w:val="auto"/>
        </w:rPr>
      </w:pPr>
    </w:p>
    <w:p>
      <w:pPr>
        <w:ind w:left="1237" w:right="100" w:hanging="618"/>
        <w:spacing w:after="0" w:line="264" w:lineRule="auto"/>
        <w:tabs>
          <w:tab w:leader="none" w:pos="967"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Taxes</w:t>
      </w:r>
      <w:r>
        <w:rPr>
          <w:rFonts w:ascii="Times New Roman" w:cs="Times New Roman" w:eastAsia="Times New Roman" w:hAnsi="Times New Roman"/>
          <w:sz w:val="21"/>
          <w:szCs w:val="21"/>
          <w:color w:val="auto"/>
        </w:rPr>
        <w:t>” means (i) Taxes, other than Excluded Taxes, imposed on or with respect to any payment made by or on account of any obligation of Borrower under any Loan Document and (ii) to the extent not otherwise described in clause (i), Other Taxes.</w:t>
      </w:r>
    </w:p>
    <w:p>
      <w:pPr>
        <w:spacing w:after="0" w:line="157" w:lineRule="exact"/>
        <w:rPr>
          <w:rFonts w:ascii="Times New Roman" w:cs="Times New Roman" w:eastAsia="Times New Roman" w:hAnsi="Times New Roman"/>
          <w:sz w:val="21"/>
          <w:szCs w:val="21"/>
          <w:color w:val="auto"/>
        </w:rPr>
      </w:pPr>
    </w:p>
    <w:p>
      <w:pPr>
        <w:ind w:left="1237" w:right="260" w:hanging="618"/>
        <w:spacing w:after="0" w:line="254" w:lineRule="auto"/>
        <w:tabs>
          <w:tab w:leader="none" w:pos="944"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6" w:lineRule="exact"/>
        <w:rPr>
          <w:rFonts w:ascii="Times New Roman" w:cs="Times New Roman" w:eastAsia="Times New Roman" w:hAnsi="Times New Roman"/>
          <w:sz w:val="21"/>
          <w:szCs w:val="21"/>
          <w:color w:val="auto"/>
        </w:rPr>
      </w:pPr>
    </w:p>
    <w:p>
      <w:pPr>
        <w:ind w:left="1237" w:hanging="618"/>
        <w:spacing w:after="0" w:line="253" w:lineRule="auto"/>
        <w:tabs>
          <w:tab w:leader="none" w:pos="979"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Taxes</w:t>
      </w:r>
      <w:r>
        <w:rPr>
          <w:rFonts w:ascii="Times New Roman" w:cs="Times New Roman" w:eastAsia="Times New Roman" w:hAnsi="Times New Roman"/>
          <w:sz w:val="21"/>
          <w:szCs w:val="21"/>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67" w:lineRule="exact"/>
        <w:rPr>
          <w:rFonts w:ascii="Times New Roman" w:cs="Times New Roman" w:eastAsia="Times New Roman" w:hAnsi="Times New Roman"/>
          <w:sz w:val="21"/>
          <w:szCs w:val="21"/>
          <w:color w:val="auto"/>
        </w:rPr>
      </w:pPr>
    </w:p>
    <w:p>
      <w:pPr>
        <w:ind w:left="977" w:hanging="358"/>
        <w:spacing w:after="0"/>
        <w:tabs>
          <w:tab w:leader="none" w:pos="977"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means the Agent or any Lender, as applicable.</w:t>
      </w:r>
    </w:p>
    <w:p>
      <w:pPr>
        <w:spacing w:after="0" w:line="222" w:lineRule="exact"/>
        <w:rPr>
          <w:rFonts w:ascii="Times New Roman" w:cs="Times New Roman" w:eastAsia="Times New Roman" w:hAnsi="Times New Roman"/>
          <w:sz w:val="21"/>
          <w:szCs w:val="21"/>
          <w:color w:val="auto"/>
        </w:rPr>
      </w:pPr>
    </w:p>
    <w:p>
      <w:pPr>
        <w:ind w:left="937" w:hanging="318"/>
        <w:spacing w:after="0"/>
        <w:tabs>
          <w:tab w:leader="none" w:pos="937"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Withholding Agent</w:t>
      </w:r>
      <w:r>
        <w:rPr>
          <w:rFonts w:ascii="Times New Roman" w:cs="Times New Roman" w:eastAsia="Times New Roman" w:hAnsi="Times New Roman"/>
          <w:sz w:val="21"/>
          <w:szCs w:val="21"/>
          <w:color w:val="auto"/>
        </w:rPr>
        <w:t>” means Borrower and the Agent.</w:t>
      </w:r>
    </w:p>
    <w:p>
      <w:pPr>
        <w:spacing w:after="0" w:line="209" w:lineRule="exact"/>
        <w:rPr>
          <w:rFonts w:ascii="Times New Roman" w:cs="Times New Roman" w:eastAsia="Times New Roman" w:hAnsi="Times New Roman"/>
          <w:sz w:val="21"/>
          <w:szCs w:val="21"/>
          <w:color w:val="auto"/>
        </w:rPr>
      </w:pPr>
    </w:p>
    <w:p>
      <w:pPr>
        <w:ind w:left="617" w:right="20" w:hanging="617"/>
        <w:spacing w:after="0" w:line="248" w:lineRule="auto"/>
        <w:tabs>
          <w:tab w:leader="none" w:pos="35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Payments Free of Taxes</w:t>
      </w:r>
      <w:r>
        <w:rPr>
          <w:rFonts w:ascii="Times New Roman" w:cs="Times New Roman" w:eastAsia="Times New Roman" w:hAnsi="Times New Roman"/>
          <w:sz w:val="21"/>
          <w:szCs w:val="21"/>
          <w:color w:val="auto"/>
        </w:rPr>
        <w:t>. Any and all payments by or on account of any obligation of Borrower under any Loan Document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90" w:lineRule="exact"/>
        <w:rPr>
          <w:rFonts w:ascii="Times New Roman" w:cs="Times New Roman" w:eastAsia="Times New Roman" w:hAnsi="Times New Roman"/>
          <w:sz w:val="21"/>
          <w:szCs w:val="21"/>
          <w:color w:val="auto"/>
        </w:rPr>
      </w:pPr>
    </w:p>
    <w:p>
      <w:pPr>
        <w:ind w:left="617" w:right="400" w:hanging="617"/>
        <w:spacing w:after="0" w:line="273" w:lineRule="auto"/>
        <w:tabs>
          <w:tab w:leader="none" w:pos="35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Payment of Other Taxes by Borrower</w:t>
      </w:r>
      <w:r>
        <w:rPr>
          <w:rFonts w:ascii="Times New Roman" w:cs="Times New Roman" w:eastAsia="Times New Roman" w:hAnsi="Times New Roman"/>
          <w:sz w:val="21"/>
          <w:szCs w:val="21"/>
          <w:color w:val="auto"/>
        </w:rPr>
        <w:t>. Borrower shall timely pay to the relevant governmental authority in accordance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law, or at the option of the Agent timely reimburse it for the payment of, any Other Taxes.</w:t>
      </w:r>
    </w:p>
    <w:p>
      <w:pPr>
        <w:spacing w:after="0" w:line="146" w:lineRule="exact"/>
        <w:rPr>
          <w:rFonts w:ascii="Times New Roman" w:cs="Times New Roman" w:eastAsia="Times New Roman" w:hAnsi="Times New Roman"/>
          <w:sz w:val="21"/>
          <w:szCs w:val="21"/>
          <w:color w:val="auto"/>
        </w:rPr>
      </w:pPr>
    </w:p>
    <w:p>
      <w:pPr>
        <w:ind w:left="617" w:right="580" w:hanging="617"/>
        <w:spacing w:after="0" w:line="273" w:lineRule="auto"/>
        <w:tabs>
          <w:tab w:leader="none" w:pos="359"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Indemnification by Borrower</w:t>
      </w:r>
      <w:r>
        <w:rPr>
          <w:rFonts w:ascii="Times New Roman" w:cs="Times New Roman" w:eastAsia="Times New Roman" w:hAnsi="Times New Roman"/>
          <w:sz w:val="21"/>
          <w:szCs w:val="21"/>
          <w:color w:val="auto"/>
        </w:rPr>
        <w:t>. Borrower shall indemnify each Recipient, within 10 days after demand therefor, for the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of any Indemnified Taxes (including</w:t>
      </w:r>
    </w:p>
    <w:p>
      <w:pPr>
        <w:spacing w:after="0" w:line="200" w:lineRule="exact"/>
        <w:rPr>
          <w:sz w:val="20"/>
          <w:szCs w:val="20"/>
          <w:color w:val="auto"/>
        </w:rPr>
      </w:pPr>
    </w:p>
    <w:p>
      <w:pPr>
        <w:spacing w:after="0" w:line="325"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21"/>
          <w:szCs w:val="21"/>
          <w:color w:val="auto"/>
        </w:rPr>
        <w:t>73</w:t>
      </w:r>
    </w:p>
    <w:p>
      <w:pPr>
        <w:spacing w:after="0" w:line="68" w:lineRule="exact"/>
        <w:rPr>
          <w:sz w:val="20"/>
          <w:szCs w:val="20"/>
          <w:color w:val="auto"/>
        </w:rPr>
      </w:pPr>
    </w:p>
    <w:p>
      <w:pPr>
        <w:ind w:left="1457"/>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57"/>
          </w:cols>
          <w:pgMar w:left="323" w:top="1361" w:right="419" w:bottom="1440" w:gutter="0" w:footer="0" w:header="0"/>
        </w:sectPr>
      </w:pPr>
    </w:p>
    <w:bookmarkStart w:id="176" w:name="page177"/>
    <w:bookmarkEnd w:id="176"/>
    <w:p>
      <w:pPr>
        <w:ind w:left="617"/>
        <w:spacing w:after="0" w:line="249" w:lineRule="auto"/>
        <w:rPr>
          <w:sz w:val="20"/>
          <w:szCs w:val="20"/>
          <w:color w:val="auto"/>
        </w:rPr>
      </w:pPr>
      <w:r>
        <w:rPr>
          <w:rFonts w:ascii="Times New Roman" w:cs="Times New Roman" w:eastAsia="Times New Roman" w:hAnsi="Times New Roman"/>
          <w:sz w:val="21"/>
          <w:szCs w:val="21"/>
          <w:color w:val="auto"/>
        </w:rPr>
        <w:t>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the Agent), or by the Agent on its own behalf or on behalf of a Lender, shall be conclusive absent manifest error. In addition, Borrower agrees to pay, and to save the Agent and any Lender harmless from, any and all liabilities with respect to, or resulting from any delay in paying, any and all excise, sales or other similar taxes (excluding taxes imposed on or measured by the net income of the Agent or such Lender) that may be payable or determined to be payable with respect to any of the Collateral or this Agreement.</w:t>
      </w:r>
    </w:p>
    <w:p>
      <w:pPr>
        <w:spacing w:after="0" w:line="178" w:lineRule="exact"/>
        <w:rPr>
          <w:sz w:val="20"/>
          <w:szCs w:val="20"/>
          <w:color w:val="auto"/>
        </w:rPr>
      </w:pPr>
    </w:p>
    <w:p>
      <w:pPr>
        <w:ind w:left="617" w:hanging="617"/>
        <w:spacing w:after="0" w:line="261" w:lineRule="auto"/>
        <w:tabs>
          <w:tab w:leader="none" w:pos="35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Indemnification by the Lenders</w:t>
      </w:r>
      <w:r>
        <w:rPr>
          <w:rFonts w:ascii="Times New Roman" w:cs="Times New Roman" w:eastAsia="Times New Roman" w:hAnsi="Times New Roman"/>
          <w:sz w:val="20"/>
          <w:szCs w:val="20"/>
          <w:color w:val="auto"/>
        </w:rPr>
        <w:t>. Each Lender shall severally indemnify the Agent, within 10 days after demand therefor, for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Indemnified Taxes attributable to such Lender (but only to the extent that Borrower has not already indemnified the Agent for such Indemnified Taxes and without limiting the obligation of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80" w:lineRule="exact"/>
        <w:rPr>
          <w:rFonts w:ascii="Times New Roman" w:cs="Times New Roman" w:eastAsia="Times New Roman" w:hAnsi="Times New Roman"/>
          <w:sz w:val="20"/>
          <w:szCs w:val="20"/>
          <w:color w:val="auto"/>
        </w:rPr>
      </w:pPr>
    </w:p>
    <w:p>
      <w:pPr>
        <w:ind w:left="617" w:right="220" w:hanging="617"/>
        <w:spacing w:after="0" w:line="253" w:lineRule="auto"/>
        <w:tabs>
          <w:tab w:leader="none" w:pos="35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Evidence of Payments</w:t>
      </w:r>
      <w:r>
        <w:rPr>
          <w:rFonts w:ascii="Times New Roman" w:cs="Times New Roman" w:eastAsia="Times New Roman" w:hAnsi="Times New Roman"/>
          <w:sz w:val="21"/>
          <w:szCs w:val="21"/>
          <w:color w:val="auto"/>
        </w:rPr>
        <w:t>. As soon as practicable after any payment of Taxes by Borrower to a governmental authority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provisions of this Addendum 1,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67" w:lineRule="exact"/>
        <w:rPr>
          <w:rFonts w:ascii="Times New Roman" w:cs="Times New Roman" w:eastAsia="Times New Roman" w:hAnsi="Times New Roman"/>
          <w:sz w:val="21"/>
          <w:szCs w:val="21"/>
          <w:color w:val="auto"/>
        </w:rPr>
      </w:pPr>
    </w:p>
    <w:p>
      <w:pPr>
        <w:ind w:left="357" w:hanging="357"/>
        <w:spacing w:after="0"/>
        <w:tabs>
          <w:tab w:leader="none" w:pos="357"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Status of Lenders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left="1237" w:hanging="619"/>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Any Lender that is entitled to an exemption from or reduction of withholding Tax with respect to payments made under any Loan Document shall deliver to Borrower and the Agent (or submit to the appropriate tax authority, as applicable), at the time or times reasonably requested by Borrower or the Agent, such properly completed and executed documentation reasonably requested by Borrower or the Agent as will permit such payments to be made without withholding or at a reduced rate of withholding. In addition, any Lender, if reasonably requested by</w:t>
      </w:r>
    </w:p>
    <w:p>
      <w:pPr>
        <w:spacing w:after="0" w:line="200" w:lineRule="exact"/>
        <w:rPr>
          <w:sz w:val="20"/>
          <w:szCs w:val="20"/>
          <w:color w:val="auto"/>
        </w:rPr>
      </w:pPr>
    </w:p>
    <w:p>
      <w:pPr>
        <w:spacing w:after="0" w:line="36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21"/>
          <w:szCs w:val="21"/>
          <w:color w:val="auto"/>
        </w:rPr>
        <w:t>74</w:t>
      </w:r>
    </w:p>
    <w:p>
      <w:pPr>
        <w:spacing w:after="0" w:line="55" w:lineRule="exact"/>
        <w:rPr>
          <w:sz w:val="20"/>
          <w:szCs w:val="20"/>
          <w:color w:val="auto"/>
        </w:rPr>
      </w:pPr>
    </w:p>
    <w:p>
      <w:pPr>
        <w:ind w:left="1457"/>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97"/>
          </w:cols>
          <w:pgMar w:left="323" w:top="1365" w:right="379" w:bottom="1440" w:gutter="0" w:footer="0" w:header="0"/>
        </w:sectPr>
      </w:pPr>
    </w:p>
    <w:bookmarkStart w:id="177" w:name="page178"/>
    <w:bookmarkEnd w:id="177"/>
    <w:p>
      <w:pPr>
        <w:ind w:left="618"/>
        <w:spacing w:after="0" w:line="261" w:lineRule="auto"/>
        <w:rPr>
          <w:sz w:val="20"/>
          <w:szCs w:val="20"/>
          <w:color w:val="auto"/>
        </w:rPr>
      </w:pPr>
      <w:r>
        <w:rPr>
          <w:rFonts w:ascii="Times New Roman" w:cs="Times New Roman" w:eastAsia="Times New Roman" w:hAnsi="Times New Roman"/>
          <w:sz w:val="20"/>
          <w:szCs w:val="20"/>
          <w:color w:val="auto"/>
        </w:rPr>
        <w:t>Borrower or the Agent, shall deliver such other documentation prescribed by applicable law or reasonably requested by Borrower or the Agent as will enable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herein, a Lender shall be deemed to have satisfied the requirements of this Section 7 in respect of any deduction or withholding for or on account of tax imposed by the United Kingdom if such Lender has either (x) notified Borrower or Agent of its passport number under the HMRC treaty passport scheme (and for the avoidance of doubt, the provision by a Lender of its HMRC treaty passport scheme number in Schedule 1.1 hereto shall satisfy this requirement); or (y) submitted an application for withholding tax relief under the applicable income tax treaty to the appropriate tax authority, in each case without regard to whether any document required from HMRC has been obtained.</w:t>
      </w:r>
    </w:p>
    <w:p>
      <w:pPr>
        <w:spacing w:after="0" w:line="165" w:lineRule="exact"/>
        <w:rPr>
          <w:sz w:val="20"/>
          <w:szCs w:val="20"/>
          <w:color w:val="auto"/>
        </w:rPr>
      </w:pPr>
    </w:p>
    <w:p>
      <w:pPr>
        <w:ind w:left="358" w:hanging="358"/>
        <w:spacing w:after="0"/>
        <w:tabs>
          <w:tab w:leader="none" w:pos="35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Borrower is a U.S. Person,</w:t>
      </w:r>
    </w:p>
    <w:p>
      <w:pPr>
        <w:spacing w:after="0" w:line="222" w:lineRule="exact"/>
        <w:rPr>
          <w:rFonts w:ascii="Times New Roman" w:cs="Times New Roman" w:eastAsia="Times New Roman" w:hAnsi="Times New Roman"/>
          <w:sz w:val="21"/>
          <w:szCs w:val="21"/>
          <w:color w:val="auto"/>
        </w:rPr>
      </w:pPr>
    </w:p>
    <w:p>
      <w:pPr>
        <w:ind w:left="1858" w:right="400" w:hanging="620"/>
        <w:spacing w:after="0" w:line="252" w:lineRule="auto"/>
        <w:tabs>
          <w:tab w:leader="none" w:pos="1554"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a U.S. Person shall deliver to Borrower and the Agent on or prior to the date on which such Lender becomes a Lender under this Agreement (and from time to time thereafter upon the reasonable request of Borrower or the Agent), executed copies of IRS Form W-9 certifying that such Lender is exempt from U.S. federal backup withholding tax;</w:t>
      </w:r>
    </w:p>
    <w:p>
      <w:pPr>
        <w:spacing w:after="0" w:line="171" w:lineRule="exact"/>
        <w:rPr>
          <w:rFonts w:ascii="Times New Roman" w:cs="Times New Roman" w:eastAsia="Times New Roman" w:hAnsi="Times New Roman"/>
          <w:sz w:val="21"/>
          <w:szCs w:val="21"/>
          <w:color w:val="auto"/>
        </w:rPr>
      </w:pPr>
    </w:p>
    <w:p>
      <w:pPr>
        <w:ind w:left="1858" w:right="240" w:hanging="620"/>
        <w:spacing w:after="0" w:line="256" w:lineRule="auto"/>
        <w:tabs>
          <w:tab w:leader="none" w:pos="1612"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whichever of the following is applicable:</w:t>
      </w:r>
    </w:p>
    <w:p>
      <w:pPr>
        <w:spacing w:after="0" w:line="168" w:lineRule="exact"/>
        <w:rPr>
          <w:rFonts w:ascii="Times New Roman" w:cs="Times New Roman" w:eastAsia="Times New Roman" w:hAnsi="Times New Roman"/>
          <w:sz w:val="21"/>
          <w:szCs w:val="21"/>
          <w:color w:val="auto"/>
        </w:rPr>
      </w:pPr>
    </w:p>
    <w:p>
      <w:pPr>
        <w:ind w:left="2478" w:right="100" w:hanging="622"/>
        <w:spacing w:after="0" w:line="264" w:lineRule="auto"/>
        <w:tabs>
          <w:tab w:leader="none" w:pos="2266"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w:t>
      </w:r>
    </w:p>
    <w:p>
      <w:pPr>
        <w:spacing w:after="0" w:line="2" w:lineRule="exact"/>
        <w:rPr>
          <w:rFonts w:ascii="Times New Roman" w:cs="Times New Roman" w:eastAsia="Times New Roman" w:hAnsi="Times New Roman"/>
          <w:sz w:val="20"/>
          <w:szCs w:val="20"/>
          <w:color w:val="auto"/>
        </w:rPr>
      </w:pPr>
    </w:p>
    <w:p>
      <w:pPr>
        <w:ind w:left="247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(y) with respect to</w:t>
      </w:r>
    </w:p>
    <w:p>
      <w:pPr>
        <w:spacing w:after="0" w:line="200" w:lineRule="exact"/>
        <w:rPr>
          <w:sz w:val="20"/>
          <w:szCs w:val="20"/>
          <w:color w:val="auto"/>
        </w:rPr>
      </w:pPr>
    </w:p>
    <w:p>
      <w:pPr>
        <w:spacing w:after="0" w:line="362" w:lineRule="exact"/>
        <w:rPr>
          <w:sz w:val="20"/>
          <w:szCs w:val="20"/>
          <w:color w:val="auto"/>
        </w:rPr>
      </w:pPr>
    </w:p>
    <w:p>
      <w:pPr>
        <w:ind w:left="4898"/>
        <w:spacing w:after="0"/>
        <w:rPr>
          <w:sz w:val="20"/>
          <w:szCs w:val="20"/>
          <w:color w:val="auto"/>
        </w:rPr>
      </w:pPr>
      <w:r>
        <w:rPr>
          <w:rFonts w:ascii="Times New Roman" w:cs="Times New Roman" w:eastAsia="Times New Roman" w:hAnsi="Times New Roman"/>
          <w:sz w:val="21"/>
          <w:szCs w:val="21"/>
          <w:color w:val="auto"/>
        </w:rPr>
        <w:t>75</w:t>
      </w:r>
    </w:p>
    <w:p>
      <w:pPr>
        <w:spacing w:after="0" w:line="55" w:lineRule="exact"/>
        <w:rPr>
          <w:sz w:val="20"/>
          <w:szCs w:val="20"/>
          <w:color w:val="auto"/>
        </w:rPr>
      </w:pPr>
    </w:p>
    <w:p>
      <w:pPr>
        <w:ind w:left="838"/>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598"/>
          </w:cols>
          <w:pgMar w:left="942" w:top="1365" w:right="359" w:bottom="1440" w:gutter="0" w:footer="0" w:header="0"/>
        </w:sectPr>
      </w:pPr>
    </w:p>
    <w:bookmarkStart w:id="178" w:name="page179"/>
    <w:bookmarkEnd w:id="178"/>
    <w:p>
      <w:pPr>
        <w:jc w:val="both"/>
        <w:ind w:left="1980" w:right="180"/>
        <w:spacing w:after="0" w:line="256" w:lineRule="auto"/>
        <w:rPr>
          <w:sz w:val="20"/>
          <w:szCs w:val="20"/>
          <w:color w:val="auto"/>
        </w:rPr>
      </w:pPr>
      <w:r>
        <w:rPr>
          <w:rFonts w:ascii="Times New Roman" w:cs="Times New Roman" w:eastAsia="Times New Roman" w:hAnsi="Times New Roman"/>
          <w:sz w:val="21"/>
          <w:szCs w:val="21"/>
          <w:color w:val="auto"/>
        </w:rPr>
        <w:t>any other applicable payments under any Loan Document, IRS Form W-8BEN or IRS Form W-8BEN-E establishing an exemption from, or reduction of, U.S. federal withholding Tax pursuant to the “business profits” or “other income” article of such tax treaty;</w:t>
      </w:r>
    </w:p>
    <w:p>
      <w:pPr>
        <w:spacing w:after="0" w:line="181" w:lineRule="exact"/>
        <w:rPr>
          <w:sz w:val="20"/>
          <w:szCs w:val="20"/>
          <w:color w:val="auto"/>
        </w:rPr>
      </w:pPr>
    </w:p>
    <w:p>
      <w:pPr>
        <w:ind w:left="1760" w:hanging="402"/>
        <w:spacing w:after="0"/>
        <w:tabs>
          <w:tab w:leader="none" w:pos="1760"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copies of IRS Form W-8ECI;</w:t>
      </w:r>
    </w:p>
    <w:p>
      <w:pPr>
        <w:spacing w:after="0" w:line="209" w:lineRule="exact"/>
        <w:rPr>
          <w:rFonts w:ascii="Times New Roman" w:cs="Times New Roman" w:eastAsia="Times New Roman" w:hAnsi="Times New Roman"/>
          <w:sz w:val="21"/>
          <w:szCs w:val="21"/>
          <w:color w:val="auto"/>
        </w:rPr>
      </w:pPr>
    </w:p>
    <w:p>
      <w:pPr>
        <w:ind w:left="1980" w:right="80" w:hanging="622"/>
        <w:spacing w:after="0" w:line="249" w:lineRule="auto"/>
        <w:tabs>
          <w:tab w:leader="none" w:pos="1757"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Foreign Lender claiming the benefits of the exemption for portfolio interest under Section 881(c) of the Code, (x) a certificate substantially in the form of Exhibit H-1 to the effect that such Foreign Lender is not a “bank” within the meaning of Section 881(c)(3)(A) of the Code, a “10 percent shareholder” of Borrower within the meaning of Section 871(h)(3)(B) of the Code, or a “controlled foreign corporation” related to Borrower as described in Section 881(c)(3)(C) of the Code (a “</w:t>
      </w:r>
      <w:r>
        <w:rPr>
          <w:rFonts w:ascii="Times New Roman" w:cs="Times New Roman" w:eastAsia="Times New Roman" w:hAnsi="Times New Roman"/>
          <w:sz w:val="21"/>
          <w:szCs w:val="21"/>
          <w:b w:val="1"/>
          <w:bCs w:val="1"/>
          <w:color w:val="auto"/>
        </w:rPr>
        <w:t>U.S. Tax Compliance Certificate</w:t>
      </w:r>
      <w:r>
        <w:rPr>
          <w:rFonts w:ascii="Times New Roman" w:cs="Times New Roman" w:eastAsia="Times New Roman" w:hAnsi="Times New Roman"/>
          <w:sz w:val="21"/>
          <w:szCs w:val="21"/>
          <w:color w:val="auto"/>
        </w:rPr>
        <w:t>”) and (y) executed copies of IRS Form W-8BEN or IRS Form W-8BEN-E; or</w:t>
      </w:r>
    </w:p>
    <w:p>
      <w:pPr>
        <w:spacing w:after="0" w:line="180" w:lineRule="exact"/>
        <w:rPr>
          <w:rFonts w:ascii="Times New Roman" w:cs="Times New Roman" w:eastAsia="Times New Roman" w:hAnsi="Times New Roman"/>
          <w:sz w:val="21"/>
          <w:szCs w:val="21"/>
          <w:color w:val="auto"/>
        </w:rPr>
      </w:pPr>
    </w:p>
    <w:p>
      <w:pPr>
        <w:ind w:left="1980" w:hanging="622"/>
        <w:spacing w:after="0" w:line="249" w:lineRule="auto"/>
        <w:tabs>
          <w:tab w:leader="none" w:pos="1768"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Foreign Lender is not the beneficial owner, executed copies of IRS Form W-8IMY, accompanied by IRS Form W-8ECI, IRS Form W-8BEN, IRS Form W-8BEN-E, a U.S. Tax Compliance Certificate substantially in the form of Exhibit H-2 or Exhibit H-3,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w:t>
      </w:r>
    </w:p>
    <w:p>
      <w:pPr>
        <w:spacing w:after="0" w:line="187" w:lineRule="exact"/>
        <w:rPr>
          <w:rFonts w:ascii="Times New Roman" w:cs="Times New Roman" w:eastAsia="Times New Roman" w:hAnsi="Times New Roman"/>
          <w:sz w:val="21"/>
          <w:szCs w:val="21"/>
          <w:color w:val="auto"/>
        </w:rPr>
      </w:pPr>
    </w:p>
    <w:p>
      <w:pPr>
        <w:ind w:left="1360" w:right="40" w:hanging="620"/>
        <w:spacing w:after="0" w:line="249" w:lineRule="auto"/>
        <w:tabs>
          <w:tab w:leader="none" w:pos="117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Borrower and the Agent (in such number of copies as shall be requested by the recipient) on or prior to the date on which such Foreign Lender becomes a Lender under this Agreement (and from time to time thereafter upon the reasonable request of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Borrower or the</w:t>
      </w:r>
    </w:p>
    <w:p>
      <w:pPr>
        <w:spacing w:after="0" w:line="200" w:lineRule="exact"/>
        <w:rPr>
          <w:sz w:val="20"/>
          <w:szCs w:val="20"/>
          <w:color w:val="auto"/>
        </w:rPr>
      </w:pPr>
    </w:p>
    <w:p>
      <w:pPr>
        <w:spacing w:after="0" w:line="3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1"/>
          <w:szCs w:val="21"/>
          <w:color w:val="auto"/>
        </w:rPr>
        <w:t>76</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20"/>
          </w:cols>
          <w:pgMar w:left="1440" w:top="1365" w:right="339" w:bottom="1440" w:gutter="0" w:footer="0" w:header="0"/>
        </w:sectPr>
      </w:pPr>
    </w:p>
    <w:bookmarkStart w:id="179" w:name="page180"/>
    <w:bookmarkEnd w:id="179"/>
    <w:p>
      <w:pPr>
        <w:jc w:val="center"/>
        <w:ind w:right="160"/>
        <w:spacing w:after="0"/>
        <w:rPr>
          <w:sz w:val="20"/>
          <w:szCs w:val="20"/>
          <w:color w:val="auto"/>
        </w:rPr>
      </w:pPr>
      <w:r>
        <w:rPr>
          <w:rFonts w:ascii="Times New Roman" w:cs="Times New Roman" w:eastAsia="Times New Roman" w:hAnsi="Times New Roman"/>
          <w:sz w:val="21"/>
          <w:szCs w:val="21"/>
          <w:color w:val="auto"/>
        </w:rPr>
        <w:t>Agent to determine the withholding or deduction required to be made; and</w:t>
      </w:r>
    </w:p>
    <w:p>
      <w:pPr>
        <w:spacing w:after="0" w:line="210" w:lineRule="exact"/>
        <w:rPr>
          <w:sz w:val="20"/>
          <w:szCs w:val="20"/>
          <w:color w:val="auto"/>
        </w:rPr>
      </w:pPr>
    </w:p>
    <w:p>
      <w:pPr>
        <w:ind w:left="2480" w:hanging="620"/>
        <w:spacing w:after="0" w:line="248" w:lineRule="auto"/>
        <w:tabs>
          <w:tab w:leader="none" w:pos="2266" w:val="left"/>
        </w:tabs>
        <w:numPr>
          <w:ilvl w:val="2"/>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the Agent at the time or times prescribed by law and at such time or times reasonably requested by Borrower or the Agent such documentation prescribed by applicable law (including as prescribed by Section 1471(b)(3)(C)(i) of the Code) and such additional documentation reasonably requested by Borrower or the Agent as may be necessary for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81" w:lineRule="exact"/>
        <w:rPr>
          <w:rFonts w:ascii="Times New Roman" w:cs="Times New Roman" w:eastAsia="Times New Roman" w:hAnsi="Times New Roman"/>
          <w:sz w:val="21"/>
          <w:szCs w:val="21"/>
          <w:color w:val="auto"/>
        </w:rPr>
      </w:pPr>
    </w:p>
    <w:p>
      <w:pPr>
        <w:ind w:left="1240" w:right="60" w:hanging="618"/>
        <w:spacing w:after="0" w:line="262" w:lineRule="auto"/>
        <w:tabs>
          <w:tab w:leader="none" w:pos="971"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agrees that if any form or certification it previously delivered expires or becomes obsolete or inaccurate in any respect, it shall update such form or certification or promptly notify Borrower and the Agent in writing of its legal inability to do so.</w:t>
      </w:r>
    </w:p>
    <w:p>
      <w:pPr>
        <w:spacing w:after="0" w:line="159" w:lineRule="exact"/>
        <w:rPr>
          <w:rFonts w:ascii="Times New Roman" w:cs="Times New Roman" w:eastAsia="Times New Roman" w:hAnsi="Times New Roman"/>
          <w:sz w:val="21"/>
          <w:szCs w:val="21"/>
          <w:color w:val="auto"/>
        </w:rPr>
      </w:pPr>
    </w:p>
    <w:p>
      <w:pPr>
        <w:ind w:left="620" w:right="120" w:hanging="617"/>
        <w:spacing w:after="0" w:line="247" w:lineRule="auto"/>
        <w:tabs>
          <w:tab w:leader="none" w:pos="362"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Treatment of Certain Refunds</w:t>
      </w:r>
      <w:r>
        <w:rPr>
          <w:rFonts w:ascii="Times New Roman" w:cs="Times New Roman" w:eastAsia="Times New Roman" w:hAnsi="Times New Roman"/>
          <w:sz w:val="21"/>
          <w:szCs w:val="21"/>
          <w:color w:val="auto"/>
        </w:rPr>
        <w:t>. If any party determines, in its sole discretion exercised in good faith, that it has received a refund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77</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5" w:right="339" w:bottom="1440" w:gutter="0" w:footer="0" w:header="0"/>
        </w:sectPr>
      </w:pPr>
    </w:p>
    <w:bookmarkStart w:id="180" w:name="page181"/>
    <w:bookmarkEnd w:id="180"/>
    <w:p>
      <w:pPr>
        <w:ind w:left="617" w:right="380"/>
        <w:spacing w:after="0" w:line="269" w:lineRule="auto"/>
        <w:rPr>
          <w:sz w:val="20"/>
          <w:szCs w:val="20"/>
          <w:color w:val="auto"/>
        </w:rPr>
      </w:pPr>
      <w:r>
        <w:rPr>
          <w:rFonts w:ascii="Times New Roman" w:cs="Times New Roman" w:eastAsia="Times New Roman" w:hAnsi="Times New Roman"/>
          <w:sz w:val="21"/>
          <w:szCs w:val="21"/>
          <w:color w:val="auto"/>
        </w:rPr>
        <w:t>Section 8 shall not be construed to require any indemnified party to make available its Tax returns (or any other information relating to its Taxes that it deems confidential) to the indemnifying party or any other Person.</w:t>
      </w:r>
    </w:p>
    <w:p>
      <w:pPr>
        <w:spacing w:after="0" w:line="151" w:lineRule="exact"/>
        <w:rPr>
          <w:sz w:val="20"/>
          <w:szCs w:val="20"/>
          <w:color w:val="auto"/>
        </w:rPr>
      </w:pPr>
    </w:p>
    <w:p>
      <w:pPr>
        <w:ind w:left="617" w:hanging="617"/>
        <w:spacing w:after="0" w:line="251" w:lineRule="auto"/>
        <w:tabs>
          <w:tab w:leader="none" w:pos="359"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Increased Costs</w:t>
      </w:r>
      <w:r>
        <w:rPr>
          <w:rFonts w:ascii="Times New Roman" w:cs="Times New Roman" w:eastAsia="Times New Roman" w:hAnsi="Times New Roman"/>
          <w:sz w:val="21"/>
          <w:szCs w:val="21"/>
          <w:color w:val="auto"/>
        </w:rPr>
        <w:t>. If any change in applicable law shall subject any Recipient to any Taxes (other than (A) Indemnified Taxes,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Borrower will pay to such Recipient such additional amount or amounts as will compensate such Recipient for such additional costs incurred or reduction suffered.</w:t>
      </w:r>
    </w:p>
    <w:p>
      <w:pPr>
        <w:spacing w:after="0" w:line="171" w:lineRule="exact"/>
        <w:rPr>
          <w:rFonts w:ascii="Times New Roman" w:cs="Times New Roman" w:eastAsia="Times New Roman" w:hAnsi="Times New Roman"/>
          <w:sz w:val="21"/>
          <w:szCs w:val="21"/>
          <w:color w:val="auto"/>
        </w:rPr>
      </w:pPr>
    </w:p>
    <w:p>
      <w:pPr>
        <w:ind w:left="617" w:right="300" w:hanging="617"/>
        <w:spacing w:after="0" w:line="258" w:lineRule="auto"/>
        <w:tabs>
          <w:tab w:leader="none" w:pos="46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Survival</w:t>
      </w:r>
      <w:r>
        <w:rPr>
          <w:rFonts w:ascii="Times New Roman" w:cs="Times New Roman" w:eastAsia="Times New Roman" w:hAnsi="Times New Roman"/>
          <w:sz w:val="21"/>
          <w:szCs w:val="21"/>
          <w:color w:val="auto"/>
        </w:rPr>
        <w:t>. Each party’s obligations under the provisions of this Addendum 1 shall survive the resignation or replacement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or any assignment of rights by, or the replacement of, a Lender, the termination of the Term Commitments and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color w:val="auto"/>
        </w:rPr>
        <w:t>78</w:t>
      </w:r>
    </w:p>
    <w:p>
      <w:pPr>
        <w:spacing w:after="0" w:line="55" w:lineRule="exact"/>
        <w:rPr>
          <w:sz w:val="20"/>
          <w:szCs w:val="20"/>
          <w:color w:val="auto"/>
        </w:rPr>
      </w:pPr>
    </w:p>
    <w:p>
      <w:pPr>
        <w:ind w:left="1457"/>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17"/>
          </w:cols>
          <w:pgMar w:left="323" w:top="1365" w:right="35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ADDENDUM 2 to LOAN AND SECURITY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361" w:right="1440" w:bottom="1440" w:gutter="0" w:footer="0" w:header="0"/>
        </w:sectPr>
      </w:pPr>
    </w:p>
    <w:bookmarkStart w:id="182" w:name="page183"/>
    <w:bookmarkEnd w:id="182"/>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ADDENDUM 3 to LOAN AND SECURITY AGREEMENT</w:t>
      </w:r>
    </w:p>
    <w:p>
      <w:pPr>
        <w:spacing w:after="0" w:line="21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color w:val="auto"/>
        </w:rPr>
        <w:t>Agent and Lender Terms</w:t>
      </w:r>
    </w:p>
    <w:p>
      <w:pPr>
        <w:spacing w:after="0" w:line="210" w:lineRule="exact"/>
        <w:rPr>
          <w:sz w:val="20"/>
          <w:szCs w:val="20"/>
          <w:color w:val="auto"/>
        </w:rPr>
      </w:pPr>
    </w:p>
    <w:p>
      <w:pPr>
        <w:jc w:val="both"/>
        <w:ind w:right="120" w:firstLine="1240"/>
        <w:spacing w:after="0" w:line="256" w:lineRule="auto"/>
        <w:tabs>
          <w:tab w:leader="none" w:pos="1673"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irrevocably appoints Hercules Capital, Inc. to act on its behalf as the 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68" w:lineRule="exact"/>
        <w:rPr>
          <w:rFonts w:ascii="Times New Roman" w:cs="Times New Roman" w:eastAsia="Times New Roman" w:hAnsi="Times New Roman"/>
          <w:sz w:val="21"/>
          <w:szCs w:val="21"/>
          <w:color w:val="auto"/>
        </w:rPr>
      </w:pPr>
    </w:p>
    <w:p>
      <w:pPr>
        <w:ind w:firstLine="1240"/>
        <w:spacing w:after="0" w:line="249" w:lineRule="auto"/>
        <w:tabs>
          <w:tab w:leader="none" w:pos="168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Loan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81" w:lineRule="exact"/>
        <w:rPr>
          <w:rFonts w:ascii="Times New Roman" w:cs="Times New Roman" w:eastAsia="Times New Roman" w:hAnsi="Times New Roman"/>
          <w:sz w:val="21"/>
          <w:szCs w:val="21"/>
          <w:color w:val="auto"/>
        </w:rPr>
      </w:pPr>
    </w:p>
    <w:p>
      <w:pPr>
        <w:jc w:val="both"/>
        <w:ind w:right="120" w:firstLine="1240"/>
        <w:spacing w:after="0" w:line="252" w:lineRule="auto"/>
        <w:tabs>
          <w:tab w:leader="none" w:pos="166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84" w:lineRule="exact"/>
        <w:rPr>
          <w:rFonts w:ascii="Times New Roman" w:cs="Times New Roman" w:eastAsia="Times New Roman" w:hAnsi="Times New Roman"/>
          <w:sz w:val="21"/>
          <w:szCs w:val="21"/>
          <w:color w:val="auto"/>
        </w:rPr>
      </w:pPr>
    </w:p>
    <w:p>
      <w:pPr>
        <w:ind w:right="500" w:firstLine="1240"/>
        <w:spacing w:after="0" w:line="269" w:lineRule="auto"/>
        <w:tabs>
          <w:tab w:leader="none" w:pos="168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Exculpatory Provisions. The Agent shall have no duties or obligations except those expressly set forth herein and in the other Loan Documents. Without limiting the generality of the foregoing, the Agent shall not:</w:t>
      </w:r>
    </w:p>
    <w:p>
      <w:pPr>
        <w:spacing w:after="0" w:line="154" w:lineRule="exact"/>
        <w:rPr>
          <w:rFonts w:ascii="Times New Roman" w:cs="Times New Roman" w:eastAsia="Times New Roman" w:hAnsi="Times New Roman"/>
          <w:sz w:val="21"/>
          <w:szCs w:val="21"/>
          <w:color w:val="auto"/>
        </w:rPr>
      </w:pPr>
    </w:p>
    <w:p>
      <w:pPr>
        <w:ind w:left="2480" w:right="20" w:hanging="622"/>
        <w:spacing w:after="0" w:line="269" w:lineRule="auto"/>
        <w:tabs>
          <w:tab w:leader="none" w:pos="2262"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subject to any fiduciary or other implied duties, regardless of whether any Default or any Event of Default has occurred and is continuing;</w:t>
      </w:r>
    </w:p>
    <w:p>
      <w:pPr>
        <w:spacing w:after="0" w:line="154" w:lineRule="exact"/>
        <w:rPr>
          <w:rFonts w:ascii="Times New Roman" w:cs="Times New Roman" w:eastAsia="Times New Roman" w:hAnsi="Times New Roman"/>
          <w:sz w:val="21"/>
          <w:szCs w:val="21"/>
          <w:color w:val="auto"/>
        </w:rPr>
      </w:pPr>
    </w:p>
    <w:p>
      <w:pPr>
        <w:ind w:left="2480" w:right="20" w:hanging="622"/>
        <w:spacing w:after="0" w:line="268" w:lineRule="auto"/>
        <w:tabs>
          <w:tab w:leader="none" w:pos="2320"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200" w:lineRule="exact"/>
        <w:rPr>
          <w:sz w:val="20"/>
          <w:szCs w:val="20"/>
          <w:color w:val="auto"/>
        </w:rPr>
      </w:pPr>
    </w:p>
    <w:p>
      <w:pPr>
        <w:spacing w:after="0" w:line="3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2</w:t>
      </w:r>
    </w:p>
    <w:p>
      <w:pPr>
        <w:spacing w:after="0" w:line="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20"/>
          </w:cols>
          <w:pgMar w:left="940" w:top="1361" w:right="339" w:bottom="1440" w:gutter="0" w:footer="0" w:header="0"/>
        </w:sectPr>
      </w:pPr>
    </w:p>
    <w:bookmarkStart w:id="183" w:name="page184"/>
    <w:bookmarkEnd w:id="183"/>
    <w:p>
      <w:pPr>
        <w:jc w:val="both"/>
        <w:ind w:left="1980" w:right="80" w:hanging="622"/>
        <w:spacing w:after="0" w:line="256" w:lineRule="auto"/>
        <w:tabs>
          <w:tab w:leader="none" w:pos="1877"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set forth herein and in the other Loan Documents, have any duty to disclose, and the Agent shall not be liable for the failure to disclose, any information relating to Borrower or any of its Affiliates that is communicated to or obtained by any Person serving as the Agent or any of its Affiliates in any capacity.</w:t>
      </w:r>
    </w:p>
    <w:p>
      <w:pPr>
        <w:spacing w:after="0" w:line="168" w:lineRule="exact"/>
        <w:rPr>
          <w:rFonts w:ascii="Times New Roman" w:cs="Times New Roman" w:eastAsia="Times New Roman" w:hAnsi="Times New Roman"/>
          <w:sz w:val="21"/>
          <w:szCs w:val="21"/>
          <w:color w:val="auto"/>
        </w:rPr>
      </w:pPr>
    </w:p>
    <w:p>
      <w:pPr>
        <w:ind w:left="-500" w:right="120" w:firstLine="1240"/>
        <w:spacing w:after="0" w:line="256" w:lineRule="auto"/>
        <w:tabs>
          <w:tab w:leader="none" w:pos="1169"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68" w:lineRule="exact"/>
        <w:rPr>
          <w:rFonts w:ascii="Times New Roman" w:cs="Times New Roman" w:eastAsia="Times New Roman" w:hAnsi="Times New Roman"/>
          <w:sz w:val="21"/>
          <w:szCs w:val="21"/>
          <w:color w:val="auto"/>
        </w:rPr>
      </w:pPr>
    </w:p>
    <w:p>
      <w:pPr>
        <w:ind w:left="-500" w:right="120" w:firstLine="1240"/>
        <w:spacing w:after="0" w:line="264" w:lineRule="auto"/>
        <w:tabs>
          <w:tab w:leader="none" w:pos="114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p>
    <w:p>
      <w:pPr>
        <w:spacing w:after="0" w:line="175" w:lineRule="exact"/>
        <w:rPr>
          <w:rFonts w:ascii="Times New Roman" w:cs="Times New Roman" w:eastAsia="Times New Roman" w:hAnsi="Times New Roman"/>
          <w:sz w:val="20"/>
          <w:szCs w:val="20"/>
          <w:color w:val="auto"/>
        </w:rPr>
      </w:pPr>
    </w:p>
    <w:p>
      <w:pPr>
        <w:ind w:left="-500" w:firstLine="1240"/>
        <w:spacing w:after="0" w:line="247" w:lineRule="auto"/>
        <w:tabs>
          <w:tab w:leader="none" w:pos="118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the Loan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the Loan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080"/>
          </w:cols>
          <w:pgMar w:left="1440" w:top="1365" w:right="379" w:bottom="1440" w:gutter="0" w:footer="0" w:header="0"/>
        </w:sectPr>
      </w:pPr>
    </w:p>
    <w:bookmarkStart w:id="184" w:name="page185"/>
    <w:bookmarkEnd w:id="184"/>
    <w:p>
      <w:pPr>
        <w:jc w:val="center"/>
        <w:ind w:right="620"/>
        <w:spacing w:after="0"/>
        <w:rPr>
          <w:sz w:val="20"/>
          <w:szCs w:val="20"/>
          <w:color w:val="auto"/>
        </w:rPr>
      </w:pPr>
      <w:r>
        <w:rPr>
          <w:rFonts w:ascii="Times New Roman" w:cs="Times New Roman" w:eastAsia="Times New Roman" w:hAnsi="Times New Roman"/>
          <w:sz w:val="21"/>
          <w:szCs w:val="21"/>
          <w:b w:val="1"/>
          <w:bCs w:val="1"/>
          <w:color w:val="auto"/>
        </w:rPr>
        <w:t>ADDENDUM 4 to LOAN AND SECURITY AGREEMENT</w:t>
      </w:r>
    </w:p>
    <w:p>
      <w:pPr>
        <w:spacing w:after="0" w:line="21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color w:val="auto"/>
        </w:rPr>
        <w:t>Multiple Borrower Terms</w:t>
      </w:r>
    </w:p>
    <w:p>
      <w:pPr>
        <w:spacing w:after="0" w:line="210" w:lineRule="exact"/>
        <w:rPr>
          <w:sz w:val="20"/>
          <w:szCs w:val="20"/>
          <w:color w:val="auto"/>
        </w:rPr>
      </w:pPr>
    </w:p>
    <w:p>
      <w:pPr>
        <w:ind w:firstLine="1240"/>
        <w:spacing w:after="0" w:line="250" w:lineRule="auto"/>
        <w:tabs>
          <w:tab w:leader="none" w:pos="1673"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Agent. Each Borrower hereby irrevocably appoints Parent as its agent, attorney-in-fact and legal representative for all purposes, including requesting disbursement of the Term Loan and receiving account statements and other notices and communications to Borrower (or any of them) from the Agent or any Lender. The Agent may rely, and shall be fully protected in relying, on any request for the Term Loan, disbursement instruction, report, information or any other notice or communication made or given by Parent, whether in its own name or on behalf of one or more of the other Borrowers, and the Agent shall not have any obligation to make any inquiry or request any confirmation from or on behalf of any other Borrower as to the binding effect on it of any such request, instruction, report, information, other notice or communication, nor shall the joint and several character of Borrower’s obligations hereunder be affected thereby.</w:t>
      </w:r>
    </w:p>
    <w:p>
      <w:pPr>
        <w:spacing w:after="0" w:line="179" w:lineRule="exact"/>
        <w:rPr>
          <w:rFonts w:ascii="Times New Roman" w:cs="Times New Roman" w:eastAsia="Times New Roman" w:hAnsi="Times New Roman"/>
          <w:sz w:val="21"/>
          <w:szCs w:val="21"/>
          <w:color w:val="auto"/>
        </w:rPr>
      </w:pPr>
    </w:p>
    <w:p>
      <w:pPr>
        <w:ind w:right="40" w:firstLine="1240"/>
        <w:spacing w:after="0" w:line="246" w:lineRule="auto"/>
        <w:tabs>
          <w:tab w:leader="none" w:pos="168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Waivers. Each Borrower hereby waives: (i) any right to require the Agent to institute suit against, or to exhaust its rights and remedies against, any other Borrower or any other person, or to proceed against any property of any kind which secures all or any part of the Secured Obligations, or to exercise any right of offset or other right with respect to any reserves, credits or deposit accounts held by or maintained with the Agent or any Indebtedness of the Agent or any Lender to any other Borrower, or to exercise any other right or power, or pursue any other remedy the Agent or any Lender may have; (ii) any defense arising by reason of any disability or other defense of any other Borrower or any guarantor or any endorser, co-maker or other person, or by reason of the cessation from any cause whatsoever of any liability of any other Borrower or any guarantor or any endorser, co-maker or other person, with respect to all or any part of the Secured Obligations, or by reason of any act or omission of the Agent or others which directly or indirectly results in the discharge or release of any other Borrower or any guarantor or any other person or any Secured Obligations or any security therefor, whether by operation of law or otherwise; (iii) any defense arising by reason of any failure of the Agent to obtain, perfect, maintain or keep in force any Lien on, any property of any Borrower or any other person; (iv) any defense based upon or arising out of any bankruptcy, insolvency, reorganization, arrangement, readjustment of debt, liquidation or dissolution proceeding commenced by or against any other Borrower or any guarantor or any endorser, co-maker or other person, including without limitation any discharge of, or bar against collecting, any of the Secured Obligations (including without limitation any interest thereon), in or as a result of any such proceeding. Until all of the Secured Obligations (other than contingent obligations for which no Claim has been made) have been paid, performed, and discharged in full, nothing shall discharge or satisfy the liability of any Borrower hereunder except the full performance and payment of all of the Secured Obligations (other than contingent obligations for which no Claim has been made). If any claim is ever made upon the Agent for repayment or recovery of any amount or amounts received by the Agent in payment of or on account of any of the</w:t>
      </w:r>
    </w:p>
    <w:p>
      <w:pPr>
        <w:spacing w:after="0" w:line="200" w:lineRule="exact"/>
        <w:rPr>
          <w:sz w:val="20"/>
          <w:szCs w:val="20"/>
          <w:color w:val="auto"/>
        </w:rPr>
      </w:pPr>
    </w:p>
    <w:p>
      <w:pPr>
        <w:spacing w:after="0" w:line="3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4</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20"/>
          </w:cols>
          <w:pgMar w:left="940" w:top="1361" w:right="339" w:bottom="1440" w:gutter="0" w:footer="0" w:header="0"/>
        </w:sectPr>
      </w:pPr>
    </w:p>
    <w:bookmarkStart w:id="185" w:name="page186"/>
    <w:bookmarkEnd w:id="185"/>
    <w:p>
      <w:pPr>
        <w:ind w:right="20"/>
        <w:spacing w:after="0" w:line="247" w:lineRule="auto"/>
        <w:rPr>
          <w:sz w:val="20"/>
          <w:szCs w:val="20"/>
          <w:color w:val="auto"/>
        </w:rPr>
      </w:pPr>
      <w:r>
        <w:rPr>
          <w:rFonts w:ascii="Times New Roman" w:cs="Times New Roman" w:eastAsia="Times New Roman" w:hAnsi="Times New Roman"/>
          <w:sz w:val="21"/>
          <w:szCs w:val="21"/>
          <w:color w:val="auto"/>
        </w:rPr>
        <w:t>Secured Obligations, because of any claim that any such payment constituted a preferential transfer or fraudulent conveyance, or for any other reason whatsoever, and the Agent repays all or part of said amount by reason of any judgment, decree or order of any court or administrative body having jurisdiction over the Agent or any of its property, or by reason of any settlement or compromise of any such claim effected by the Agent with any such claimant (including without limitation the any other Borrower), then and in any such event, each Borrower agrees that any such judgment, decree, order, settlement and compromise shall be binding upon such Borrower, notwithstanding any revocation or release of this Agreement or the cancellation of any note or other instrument evidencing any of the Secured Obligations, or any release of any of the Secured Obligations, and each Borrower shall be and remain liable to the Agent and the Lenders under this Agreement for the amount so repaid or recovered, to the same extent as if such amount had never originally been received by the Agent or any Lender, and the provisions of this sentence shall survive, and continue in effect, notwithstanding any revocation or release of this Agreement. Each Borrower hereby expressly and unconditionally waives all rights of subrogation, reimbursement and indemnity of every kind against any other Borrower, and all rights of recourse to any assets or property of any other Borrower, and all rights to any collateral or security held for the payment and performance of any Secured Obligations, including (but not limited to) any of the foregoing rights which Borrower may have under any present or future document or agreement with any other Borrower or other person, and including (but not limited to) any of the foregoing rights which any Borrower may have under any equitable doctrine of subrogation, implied contract, or unjust enrichment, or any other equitable or legal doctrine, in each case until the Secured Obligations have been repaid in full.</w:t>
      </w:r>
    </w:p>
    <w:p>
      <w:pPr>
        <w:spacing w:after="0" w:line="184" w:lineRule="exact"/>
        <w:rPr>
          <w:sz w:val="20"/>
          <w:szCs w:val="20"/>
          <w:color w:val="auto"/>
        </w:rPr>
      </w:pPr>
    </w:p>
    <w:p>
      <w:pPr>
        <w:ind w:firstLine="1240"/>
        <w:spacing w:after="0" w:line="261" w:lineRule="auto"/>
        <w:tabs>
          <w:tab w:leader="none" w:pos="167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Each Borrower hereby consents and agrees that, without notice to or by Borrower and without affecting or impairing in any way the obligations or liability of Borrower hereunder, the Agent may, from time to time before or after revocation of this Agreement, do any one or more of the following in its sole and absolute discretion: (i) accept partial payments of, compromise or settle, renew, extend the time for the payment, discharge, or performance of, refuse to enforce, and release all or any parties to, any or all of the Secured Obligations; (ii) grant any other indulgence to any Borrower or any other Person in respect of any or all of the Secured Obligations or any other matter; (iii) accept, release, waive, surrender, enforce, exchange, modify, impair, or extend the time for the performance, discharge, or payment of, any and all property of any kind securing any or all of the Secured Obligations or any guaranty of any or all of the Secured Obligations, or on which the Agent at any time may have a Lien, or refuse to enforce its rights or make any compromise or settlement or agreement therefor in respect of any or all of such property; (iv) substitute or add, or take any action or omit to take any action which results in the release of, any one or more other Borrowers or any endorsers or guarantors of all or any part of the Secured Obligations, including, without limitation one or more parties to this Agreement, regardless of any destruction or impairment of any right of contribution or other right of Borrower; and (v) apply any sums received from any other Borrower, any guarantor, endorser, or co-signer, or from the disposition of any Collateral or security, to any Indebtedness whatsoever owing from such person or secured</w:t>
      </w:r>
    </w:p>
    <w:p>
      <w:pPr>
        <w:spacing w:after="0" w:line="200" w:lineRule="exact"/>
        <w:rPr>
          <w:sz w:val="20"/>
          <w:szCs w:val="20"/>
          <w:color w:val="auto"/>
        </w:rPr>
      </w:pPr>
    </w:p>
    <w:p>
      <w:pPr>
        <w:spacing w:after="0" w:line="34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5</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00"/>
          </w:cols>
          <w:pgMar w:left="940" w:top="1365" w:right="359" w:bottom="1440" w:gutter="0" w:footer="0" w:header="0"/>
        </w:sectPr>
      </w:pPr>
    </w:p>
    <w:bookmarkStart w:id="186" w:name="page187"/>
    <w:bookmarkEnd w:id="186"/>
    <w:p>
      <w:pPr>
        <w:ind w:right="20"/>
        <w:spacing w:after="0" w:line="249" w:lineRule="auto"/>
        <w:rPr>
          <w:sz w:val="20"/>
          <w:szCs w:val="20"/>
          <w:color w:val="auto"/>
        </w:rPr>
      </w:pPr>
      <w:r>
        <w:rPr>
          <w:rFonts w:ascii="Times New Roman" w:cs="Times New Roman" w:eastAsia="Times New Roman" w:hAnsi="Times New Roman"/>
          <w:sz w:val="21"/>
          <w:szCs w:val="21"/>
          <w:color w:val="auto"/>
        </w:rPr>
        <w:t>by such Collateral or security, in such manner and order as the Agent determines in its sole discretion, and regardless of whether such Indebtedness is part of the Secured Obligations, is secured, or is due and payable. Each Borrower consents and agrees that the Agent shall be under no obligation to marshal any assets in favor of Borrower, or against or in payment of any or all of the Secured Obligations. Each Borrower further consents and agrees that the Agent shall have no duties or responsibilities whatsoever with respect to any property securing any or all of the Secured Obligations. Without limiting the generality of the foregoing, the Agent shall have no obligation to monitor, verify, audit, examine, or obtain or maintain any insurance with respect to, any property securing any or all of the Secured Obligations.</w:t>
      </w:r>
    </w:p>
    <w:p>
      <w:pPr>
        <w:spacing w:after="0" w:line="180" w:lineRule="exact"/>
        <w:rPr>
          <w:sz w:val="20"/>
          <w:szCs w:val="20"/>
          <w:color w:val="auto"/>
        </w:rPr>
      </w:pPr>
    </w:p>
    <w:p>
      <w:pPr>
        <w:ind w:firstLine="1240"/>
        <w:spacing w:after="0" w:line="263" w:lineRule="auto"/>
        <w:tabs>
          <w:tab w:leader="none" w:pos="16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Liability. Each Borrower hereby agrees that one or more successive or concurrent actions may be brought hereon against such Borrower, in the same action in which any other Borrower may be sued or in separate actions, as often as deemed advisable by Agent. Each Borrower is fully aware of the financial condition of each other Borrower and is executing and delivering this Agreement based solely upon its own independent investigation of all matters pertinent hereto, and such Borrower is not relying in any manner upon any representation or statement of the Agent or any Lender with respect thereto. Each Borrower represents and warrants that it is in a position to obtain, and each Borrower hereby assumes full responsibility for obtaining, any additional information concerning any other Borrower’s financial condition and any other matter pertinent hereto as such Borrower may desire, and such Borrower is not relying upon or expecting the Agent to furnish to it any information now or hereafter in the Agent’s possession concerning the same or any other matter.</w:t>
      </w:r>
    </w:p>
    <w:p>
      <w:pPr>
        <w:spacing w:after="0" w:line="168" w:lineRule="exact"/>
        <w:rPr>
          <w:rFonts w:ascii="Times New Roman" w:cs="Times New Roman" w:eastAsia="Times New Roman" w:hAnsi="Times New Roman"/>
          <w:sz w:val="20"/>
          <w:szCs w:val="20"/>
          <w:color w:val="auto"/>
        </w:rPr>
      </w:pPr>
    </w:p>
    <w:p>
      <w:pPr>
        <w:ind w:right="40" w:firstLine="1240"/>
        <w:spacing w:after="0" w:line="249" w:lineRule="auto"/>
        <w:tabs>
          <w:tab w:leader="none" w:pos="167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Subordination. All Indebtedness of a Borrower or any Subsidiary of a Borrower now or hereafter arising held by another Borrower or Subsidiary of a Borrower is subordinated to the Secured Obligations and Borrower holding the Indebtedness shall take all actions reasonably requested by Agent to effect, to enforce and to give notice of such subordination and to dispose of any such Indebtedness if the Agent is enforcing over shares in the capital of a Borrower or any Subsidiary or holding company of a Borrower, or if the Indebtedness is held by a Subsidiary of a Borrower, such Borrower shall take all actions reasonably requested by Agent to cause that Borrower to effect, to enforce and to give notice of such subordination and to permit the Agent to dispose of any such Indebtedness if the Agent is enforcing over shares in the capital of a Borrower or any Subsidiary or holding company of a Borrower.</w:t>
      </w:r>
    </w:p>
    <w:p>
      <w:pPr>
        <w:spacing w:after="0" w:line="187" w:lineRule="exact"/>
        <w:rPr>
          <w:rFonts w:ascii="Times New Roman" w:cs="Times New Roman" w:eastAsia="Times New Roman" w:hAnsi="Times New Roman"/>
          <w:sz w:val="21"/>
          <w:szCs w:val="21"/>
          <w:color w:val="auto"/>
        </w:rPr>
      </w:pPr>
    </w:p>
    <w:p>
      <w:pPr>
        <w:jc w:val="both"/>
        <w:ind w:right="20" w:firstLine="1240"/>
        <w:spacing w:after="0" w:line="256" w:lineRule="auto"/>
        <w:tabs>
          <w:tab w:leader="none" w:pos="165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 of Process. Each Borrower and Subsidiary that is organized outside of the United States of America Parent as its agent for the purpose of accepting service of any process in the United States of America. Each Borrower shall take all actions, to ensure that such appointment remains effective at all times.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color w:val="auto"/>
        </w:rPr>
        <w:t>6</w:t>
      </w:r>
    </w:p>
    <w:p>
      <w:pPr>
        <w:spacing w:after="0" w:line="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620"/>
          </w:cols>
          <w:pgMar w:left="940" w:top="1365" w:right="339" w:bottom="1440" w:gutter="0" w:footer="0" w:header="0"/>
        </w:sectPr>
      </w:pPr>
    </w:p>
    <w:bookmarkStart w:id="187" w:name="page188"/>
    <w:bookmarkEnd w:id="187"/>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ADVANCE REQUEST</w:t>
      </w:r>
    </w:p>
    <w:p>
      <w:pPr>
        <w:sectPr>
          <w:pgSz w:w="11900" w:h="16838" w:orient="portrait"/>
          <w:cols w:equalWidth="0" w:num="1">
            <w:col w:w="11160"/>
          </w:cols>
          <w:pgMar w:left="320" w:top="1361" w:right="419" w:bottom="1440" w:gutter="0" w:footer="0" w:header="0"/>
        </w:sect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 20[ ]</w:t>
      </w:r>
    </w:p>
    <w:p>
      <w:pPr>
        <w:spacing w:after="0" w:line="37" w:lineRule="exact"/>
        <w:rPr>
          <w:sz w:val="20"/>
          <w:szCs w:val="20"/>
          <w:color w:val="auto"/>
        </w:rPr>
      </w:pPr>
    </w:p>
    <w:p>
      <w:pPr>
        <w:sectPr>
          <w:pgSz w:w="11900" w:h="16838" w:orient="portrait"/>
          <w:cols w:equalWidth="0" w:num="4">
            <w:col w:w="340" w:space="720"/>
            <w:col w:w="5940" w:space="720"/>
            <w:col w:w="460" w:space="260"/>
            <w:col w:w="2720"/>
          </w:cols>
          <w:pgMar w:left="320" w:top="1361" w:right="4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21"/>
          <w:szCs w:val="21"/>
          <w:color w:val="auto"/>
        </w:rPr>
        <w:t>Hercules Capital, Inc. (the “Agent”)</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1 North B Street, Suite 2000</w:t>
      </w:r>
    </w:p>
    <w:p>
      <w:pPr>
        <w:spacing w:after="0" w:line="1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San Mateo, CA 94401</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email: legal@htgc.com</w:t>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0"/>
          <w:szCs w:val="20"/>
          <w:color w:val="auto"/>
        </w:rPr>
        <w:t>Attn: Chief Legal Officer, Bryan Jadot, Jeff Ralto and Michael Dutra</w:t>
      </w:r>
    </w:p>
    <w:p>
      <w:pPr>
        <w:sectPr>
          <w:pgSz w:w="11900" w:h="16838" w:orient="portrait"/>
          <w:cols w:equalWidth="0" w:num="1">
            <w:col w:w="11160"/>
          </w:cols>
          <w:pgMar w:left="320" w:top="1361" w:right="41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20"/>
          <w:szCs w:val="20"/>
          <w:color w:val="auto"/>
        </w:rPr>
        <w:t>Replimune Group, Inc., a Delaware corporation (“Borrower”), hereby requests from Hercules Capital, Inc., a Maryland corporation (“Lender”) an Advance in the amount of ________________ Dollars ($ _________) on, ____________, _____ (the “Advance Date”)</w:t>
      </w:r>
    </w:p>
    <w:p>
      <w:pPr>
        <w:ind w:right="20"/>
        <w:spacing w:after="0" w:line="251" w:lineRule="auto"/>
        <w:rPr>
          <w:sz w:val="20"/>
          <w:szCs w:val="20"/>
          <w:color w:val="auto"/>
        </w:rPr>
      </w:pPr>
      <w:r>
        <w:rPr>
          <w:rFonts w:ascii="Times New Roman" w:cs="Times New Roman" w:eastAsia="Times New Roman" w:hAnsi="Times New Roman"/>
          <w:sz w:val="21"/>
          <w:szCs w:val="21"/>
          <w:color w:val="auto"/>
        </w:rPr>
        <w:t>pursuant to the Loan and Security Agreement among Borrower and other Borrowers party thereto, Agent and the Lender (the “Agreement”). Capitalized words and other terms used but not otherwise defined herein are used with the same meanings as defined in the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980" w:type="dxa"/>
            <w:vAlign w:val="bottom"/>
          </w:tcPr>
          <w:p>
            <w:pPr>
              <w:spacing w:after="0"/>
              <w:rPr>
                <w:sz w:val="20"/>
                <w:szCs w:val="20"/>
                <w:color w:val="auto"/>
              </w:rPr>
            </w:pPr>
            <w:r>
              <w:rPr>
                <w:rFonts w:ascii="Times New Roman" w:cs="Times New Roman" w:eastAsia="Times New Roman" w:hAnsi="Times New Roman"/>
                <w:sz w:val="21"/>
                <w:szCs w:val="21"/>
                <w:color w:val="auto"/>
              </w:rPr>
              <w:t>Please:</w:t>
            </w:r>
          </w:p>
        </w:tc>
        <w:tc>
          <w:tcPr>
            <w:tcW w:w="20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1"/>
        </w:trPr>
        <w:tc>
          <w:tcPr>
            <w:tcW w:w="39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(a)  Issue a check payable to Borrower</w:t>
            </w:r>
          </w:p>
        </w:tc>
        <w:tc>
          <w:tcPr>
            <w:tcW w:w="7060" w:type="dxa"/>
            <w:vAlign w:val="bottom"/>
            <w:gridSpan w:val="2"/>
          </w:tcPr>
          <w:p>
            <w:pPr>
              <w:jc w:val="right"/>
              <w:ind w:right="6320"/>
              <w:spacing w:after="0"/>
              <w:rPr>
                <w:sz w:val="20"/>
                <w:szCs w:val="20"/>
                <w:color w:val="auto"/>
              </w:rPr>
            </w:pPr>
            <w:r>
              <w:rPr>
                <w:rFonts w:ascii="Times New Roman" w:cs="Times New Roman" w:eastAsia="Times New Roman" w:hAnsi="Times New Roman"/>
                <w:sz w:val="21"/>
                <w:szCs w:val="21"/>
                <w:color w:val="auto"/>
              </w:rPr>
              <w:t>______</w:t>
            </w:r>
          </w:p>
        </w:tc>
        <w:tc>
          <w:tcPr>
            <w:tcW w:w="0" w:type="dxa"/>
            <w:vAlign w:val="bottom"/>
          </w:tcPr>
          <w:p>
            <w:pPr>
              <w:spacing w:after="0"/>
              <w:rPr>
                <w:sz w:val="1"/>
                <w:szCs w:val="1"/>
                <w:color w:val="auto"/>
              </w:rPr>
            </w:pPr>
          </w:p>
        </w:tc>
      </w:tr>
      <w:tr>
        <w:trPr>
          <w:trHeight w:val="451"/>
        </w:trPr>
        <w:tc>
          <w:tcPr>
            <w:tcW w:w="3980" w:type="dxa"/>
            <w:vAlign w:val="bottom"/>
          </w:tcPr>
          <w:p>
            <w:pPr>
              <w:ind w:left="2480"/>
              <w:spacing w:after="0"/>
              <w:rPr>
                <w:sz w:val="20"/>
                <w:szCs w:val="20"/>
                <w:color w:val="auto"/>
              </w:rPr>
            </w:pPr>
            <w:r>
              <w:rPr>
                <w:rFonts w:ascii="Times New Roman" w:cs="Times New Roman" w:eastAsia="Times New Roman" w:hAnsi="Times New Roman"/>
                <w:sz w:val="21"/>
                <w:szCs w:val="21"/>
                <w:color w:val="auto"/>
              </w:rPr>
              <w:t>or</w:t>
            </w:r>
          </w:p>
        </w:tc>
        <w:tc>
          <w:tcPr>
            <w:tcW w:w="2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980" w:type="dxa"/>
            <w:vAlign w:val="bottom"/>
          </w:tcPr>
          <w:p>
            <w:pPr>
              <w:ind w:left="620"/>
              <w:spacing w:after="0"/>
              <w:rPr>
                <w:sz w:val="20"/>
                <w:szCs w:val="20"/>
                <w:color w:val="auto"/>
              </w:rPr>
            </w:pPr>
            <w:r>
              <w:rPr>
                <w:rFonts w:ascii="Times New Roman" w:cs="Times New Roman" w:eastAsia="Times New Roman" w:hAnsi="Times New Roman"/>
                <w:sz w:val="21"/>
                <w:szCs w:val="21"/>
                <w:color w:val="auto"/>
              </w:rPr>
              <w:t>(b)  Wire Funds to Borrower’s account</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9"/>
              </w:rPr>
              <w:t>______ [IF FILED PUBLICLY, ACCOUNT INFO REDACTED FOR SECURITY</w:t>
            </w:r>
          </w:p>
        </w:tc>
        <w:tc>
          <w:tcPr>
            <w:tcW w:w="0" w:type="dxa"/>
            <w:vAlign w:val="bottom"/>
          </w:tcPr>
          <w:p>
            <w:pPr>
              <w:spacing w:after="0"/>
              <w:rPr>
                <w:sz w:val="1"/>
                <w:szCs w:val="1"/>
                <w:color w:val="auto"/>
              </w:rPr>
            </w:pPr>
          </w:p>
        </w:tc>
      </w:tr>
      <w:tr>
        <w:trPr>
          <w:trHeight w:val="268"/>
        </w:trPr>
        <w:tc>
          <w:tcPr>
            <w:tcW w:w="3980" w:type="dxa"/>
            <w:vAlign w:val="bottom"/>
          </w:tcPr>
          <w:p>
            <w:pPr>
              <w:spacing w:after="0"/>
              <w:rPr>
                <w:sz w:val="20"/>
                <w:szCs w:val="20"/>
                <w:color w:val="auto"/>
              </w:rPr>
            </w:pPr>
            <w:r>
              <w:rPr>
                <w:rFonts w:ascii="Times New Roman" w:cs="Times New Roman" w:eastAsia="Times New Roman" w:hAnsi="Times New Roman"/>
                <w:sz w:val="21"/>
                <w:szCs w:val="21"/>
                <w:color w:val="auto"/>
              </w:rPr>
              <w:t>PURPOSES]</w:t>
            </w:r>
          </w:p>
        </w:tc>
        <w:tc>
          <w:tcPr>
            <w:tcW w:w="200" w:type="dxa"/>
            <w:vAlign w:val="bottom"/>
          </w:tcPr>
          <w:p>
            <w:pPr>
              <w:spacing w:after="0"/>
              <w:rPr>
                <w:sz w:val="23"/>
                <w:szCs w:val="23"/>
                <w:color w:val="auto"/>
              </w:rPr>
            </w:pPr>
          </w:p>
        </w:tc>
        <w:tc>
          <w:tcPr>
            <w:tcW w:w="6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3980" w:type="dxa"/>
            <w:vAlign w:val="bottom"/>
          </w:tcPr>
          <w:p>
            <w:pPr>
              <w:ind w:left="1340"/>
              <w:spacing w:after="0"/>
              <w:rPr>
                <w:sz w:val="20"/>
                <w:szCs w:val="20"/>
                <w:color w:val="auto"/>
              </w:rPr>
            </w:pPr>
            <w:r>
              <w:rPr>
                <w:rFonts w:ascii="Times New Roman" w:cs="Times New Roman" w:eastAsia="Times New Roman" w:hAnsi="Times New Roman"/>
                <w:sz w:val="21"/>
                <w:szCs w:val="21"/>
                <w:color w:val="auto"/>
              </w:rPr>
              <w:t>Bank:</w:t>
            </w:r>
          </w:p>
        </w:tc>
        <w:tc>
          <w:tcPr>
            <w:tcW w:w="200" w:type="dxa"/>
            <w:vAlign w:val="bottom"/>
            <w:tcBorders>
              <w:bottom w:val="single" w:sz="8" w:color="auto"/>
            </w:tcBorders>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80" w:type="dxa"/>
            <w:vAlign w:val="bottom"/>
          </w:tcPr>
          <w:p>
            <w:pPr>
              <w:ind w:left="1340"/>
              <w:spacing w:after="0" w:line="238" w:lineRule="exact"/>
              <w:rPr>
                <w:sz w:val="20"/>
                <w:szCs w:val="20"/>
                <w:color w:val="auto"/>
              </w:rPr>
            </w:pPr>
            <w:r>
              <w:rPr>
                <w:rFonts w:ascii="Times New Roman" w:cs="Times New Roman" w:eastAsia="Times New Roman" w:hAnsi="Times New Roman"/>
                <w:sz w:val="21"/>
                <w:szCs w:val="21"/>
                <w:color w:val="auto"/>
              </w:rPr>
              <w:t>Address:</w:t>
            </w:r>
          </w:p>
        </w:tc>
        <w:tc>
          <w:tcPr>
            <w:tcW w:w="200" w:type="dxa"/>
            <w:vAlign w:val="bottom"/>
            <w:tcBorders>
              <w:bottom w:val="single" w:sz="8" w:color="auto"/>
            </w:tcBorders>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80" w:type="dxa"/>
            <w:vAlign w:val="bottom"/>
            <w:vMerge w:val="restart"/>
          </w:tcPr>
          <w:p>
            <w:pPr>
              <w:ind w:left="1340"/>
              <w:spacing w:after="0"/>
              <w:rPr>
                <w:sz w:val="20"/>
                <w:szCs w:val="20"/>
                <w:color w:val="auto"/>
              </w:rPr>
            </w:pPr>
            <w:r>
              <w:rPr>
                <w:rFonts w:ascii="Times New Roman" w:cs="Times New Roman" w:eastAsia="Times New Roman" w:hAnsi="Times New Roman"/>
                <w:sz w:val="21"/>
                <w:szCs w:val="21"/>
                <w:color w:val="auto"/>
              </w:rPr>
              <w:t>ABA Number:</w:t>
            </w:r>
          </w:p>
        </w:tc>
        <w:tc>
          <w:tcPr>
            <w:tcW w:w="200" w:type="dxa"/>
            <w:vAlign w:val="bottom"/>
            <w:tcBorders>
              <w:bottom w:val="single" w:sz="8" w:color="auto"/>
            </w:tcBorders>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80" w:type="dxa"/>
            <w:vAlign w:val="bottom"/>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80" w:type="dxa"/>
            <w:vAlign w:val="bottom"/>
          </w:tcPr>
          <w:p>
            <w:pPr>
              <w:ind w:left="1340"/>
              <w:spacing w:after="0" w:line="238" w:lineRule="exact"/>
              <w:rPr>
                <w:sz w:val="20"/>
                <w:szCs w:val="20"/>
                <w:color w:val="auto"/>
              </w:rPr>
            </w:pPr>
            <w:r>
              <w:rPr>
                <w:rFonts w:ascii="Times New Roman" w:cs="Times New Roman" w:eastAsia="Times New Roman" w:hAnsi="Times New Roman"/>
                <w:sz w:val="21"/>
                <w:szCs w:val="21"/>
                <w:color w:val="auto"/>
              </w:rPr>
              <w:t>Account Number:</w:t>
            </w:r>
          </w:p>
        </w:tc>
        <w:tc>
          <w:tcPr>
            <w:tcW w:w="200" w:type="dxa"/>
            <w:vAlign w:val="bottom"/>
            <w:tcBorders>
              <w:bottom w:val="single" w:sz="8" w:color="auto"/>
            </w:tcBorders>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80" w:type="dxa"/>
            <w:vAlign w:val="bottom"/>
          </w:tcPr>
          <w:p>
            <w:pPr>
              <w:ind w:left="1340"/>
              <w:spacing w:after="0" w:line="238" w:lineRule="exact"/>
              <w:rPr>
                <w:sz w:val="20"/>
                <w:szCs w:val="20"/>
                <w:color w:val="auto"/>
              </w:rPr>
            </w:pPr>
            <w:r>
              <w:rPr>
                <w:rFonts w:ascii="Times New Roman" w:cs="Times New Roman" w:eastAsia="Times New Roman" w:hAnsi="Times New Roman"/>
                <w:sz w:val="21"/>
                <w:szCs w:val="21"/>
                <w:color w:val="auto"/>
              </w:rPr>
              <w:t>Account Name:</w:t>
            </w:r>
          </w:p>
        </w:tc>
        <w:tc>
          <w:tcPr>
            <w:tcW w:w="200" w:type="dxa"/>
            <w:vAlign w:val="bottom"/>
            <w:tcBorders>
              <w:bottom w:val="single" w:sz="8" w:color="auto"/>
            </w:tcBorders>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80" w:type="dxa"/>
            <w:vAlign w:val="bottom"/>
          </w:tcPr>
          <w:p>
            <w:pPr>
              <w:ind w:left="1340"/>
              <w:spacing w:after="0" w:line="238" w:lineRule="exact"/>
              <w:rPr>
                <w:sz w:val="20"/>
                <w:szCs w:val="20"/>
                <w:color w:val="auto"/>
              </w:rPr>
            </w:pPr>
            <w:r>
              <w:rPr>
                <w:rFonts w:ascii="Times New Roman" w:cs="Times New Roman" w:eastAsia="Times New Roman" w:hAnsi="Times New Roman"/>
                <w:sz w:val="21"/>
                <w:szCs w:val="21"/>
                <w:color w:val="auto"/>
              </w:rPr>
              <w:t>Contact Person:</w:t>
            </w:r>
          </w:p>
        </w:tc>
        <w:tc>
          <w:tcPr>
            <w:tcW w:w="200" w:type="dxa"/>
            <w:vAlign w:val="bottom"/>
            <w:tcBorders>
              <w:bottom w:val="single" w:sz="8" w:color="auto"/>
            </w:tcBorders>
          </w:tcPr>
          <w:p>
            <w:pPr>
              <w:spacing w:after="0"/>
              <w:rPr>
                <w:sz w:val="20"/>
                <w:szCs w:val="20"/>
                <w:color w:val="auto"/>
              </w:rPr>
            </w:pPr>
          </w:p>
        </w:tc>
        <w:tc>
          <w:tcPr>
            <w:tcW w:w="6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980" w:type="dxa"/>
            <w:vAlign w:val="bottom"/>
          </w:tcPr>
          <w:p>
            <w:pPr>
              <w:ind w:left="1380"/>
              <w:spacing w:after="0"/>
              <w:rPr>
                <w:sz w:val="20"/>
                <w:szCs w:val="20"/>
                <w:color w:val="auto"/>
              </w:rPr>
            </w:pPr>
            <w:r>
              <w:rPr>
                <w:rFonts w:ascii="Times New Roman" w:cs="Times New Roman" w:eastAsia="Times New Roman" w:hAnsi="Times New Roman"/>
                <w:sz w:val="21"/>
                <w:szCs w:val="21"/>
                <w:color w:val="auto"/>
              </w:rPr>
              <w:t>Phone Number</w:t>
            </w:r>
          </w:p>
        </w:tc>
        <w:tc>
          <w:tcPr>
            <w:tcW w:w="2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980" w:type="dxa"/>
            <w:vAlign w:val="bottom"/>
            <w:vMerge w:val="restart"/>
          </w:tcPr>
          <w:p>
            <w:pPr>
              <w:ind w:left="1380"/>
              <w:spacing w:after="0"/>
              <w:rPr>
                <w:sz w:val="20"/>
                <w:szCs w:val="20"/>
                <w:color w:val="auto"/>
              </w:rPr>
            </w:pPr>
            <w:r>
              <w:rPr>
                <w:rFonts w:ascii="Times New Roman" w:cs="Times New Roman" w:eastAsia="Times New Roman" w:hAnsi="Times New Roman"/>
                <w:sz w:val="21"/>
                <w:szCs w:val="21"/>
                <w:color w:val="auto"/>
              </w:rPr>
              <w:t>To Verify Wire Info:</w:t>
            </w:r>
          </w:p>
        </w:tc>
        <w:tc>
          <w:tcPr>
            <w:tcW w:w="200" w:type="dxa"/>
            <w:vAlign w:val="bottom"/>
            <w:tcBorders>
              <w:bottom w:val="single" w:sz="8" w:color="auto"/>
            </w:tcBorders>
          </w:tcPr>
          <w:p>
            <w:pPr>
              <w:spacing w:after="0"/>
              <w:rPr>
                <w:sz w:val="7"/>
                <w:szCs w:val="7"/>
                <w:color w:val="auto"/>
              </w:rPr>
            </w:pPr>
          </w:p>
        </w:tc>
        <w:tc>
          <w:tcPr>
            <w:tcW w:w="6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1340"/>
              <w:spacing w:after="0" w:line="222" w:lineRule="exact"/>
              <w:rPr>
                <w:sz w:val="20"/>
                <w:szCs w:val="20"/>
                <w:color w:val="auto"/>
              </w:rPr>
            </w:pPr>
            <w:r>
              <w:rPr>
                <w:rFonts w:ascii="Times New Roman" w:cs="Times New Roman" w:eastAsia="Times New Roman" w:hAnsi="Times New Roman"/>
                <w:sz w:val="21"/>
                <w:szCs w:val="21"/>
                <w:color w:val="auto"/>
              </w:rPr>
              <w:t>Email address:</w:t>
            </w:r>
          </w:p>
        </w:tc>
        <w:tc>
          <w:tcPr>
            <w:tcW w:w="200" w:type="dxa"/>
            <w:vAlign w:val="bottom"/>
            <w:tcBorders>
              <w:bottom w:val="single" w:sz="8" w:color="auto"/>
            </w:tcBorders>
          </w:tcPr>
          <w:p>
            <w:pPr>
              <w:spacing w:after="0"/>
              <w:rPr>
                <w:sz w:val="19"/>
                <w:szCs w:val="19"/>
                <w:color w:val="auto"/>
              </w:rPr>
            </w:pPr>
          </w:p>
        </w:tc>
        <w:tc>
          <w:tcPr>
            <w:tcW w:w="6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21"/>
          <w:szCs w:val="21"/>
          <w:color w:val="auto"/>
        </w:rPr>
        <w:t>Borrower represents that the conditions precedent to the Advance set forth in the Agreement are satisfied and shall be satisfied upon the making of such Advance, including but not limited to: (i) that no event that has had or could reasonably be expected to have a Material Adverse Effect has occurred and is continuing; (ii) that the representations and warranties set forth in the Agreement are and shall be true and correct in all material respects on and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60"/>
          </w:cols>
          <w:pgMar w:left="320" w:top="1361" w:right="419" w:bottom="1440" w:gutter="0" w:footer="0" w:header="0"/>
          <w:type w:val="continuous"/>
        </w:sectPr>
      </w:pPr>
    </w:p>
    <w:bookmarkStart w:id="188" w:name="page189"/>
    <w:bookmarkEnd w:id="188"/>
    <w:p>
      <w:pPr>
        <w:ind w:right="80"/>
        <w:spacing w:after="0" w:line="251" w:lineRule="auto"/>
        <w:rPr>
          <w:sz w:val="20"/>
          <w:szCs w:val="20"/>
          <w:color w:val="auto"/>
        </w:rPr>
      </w:pPr>
      <w:r>
        <w:rPr>
          <w:rFonts w:ascii="Times New Roman" w:cs="Times New Roman" w:eastAsia="Times New Roman" w:hAnsi="Times New Roman"/>
          <w:sz w:val="21"/>
          <w:szCs w:val="21"/>
          <w:color w:val="auto"/>
        </w:rPr>
        <w:t>Advance Date with the same effect as though made on and as of such date, except to the extent such representations and warranties expressly relate to an earlier date; (iii) that Borrower is in compliance with all the terms and provisions set forth in each Loan Document on its part to be observed or performed; and (iv) that as of the Advance Date, no Default or Event of Default has occurred and is continuing under the Loan Documents. Borrower understands and acknowledges that Agent has the right to review the financial information supporting this representation and, based upon such review, the Lender may decline to fund the requested Advance if the conditions specified in the Agreement have not been satisfied at such time.</w:t>
      </w:r>
    </w:p>
    <w:p>
      <w:pPr>
        <w:spacing w:after="0" w:line="174"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Borrower hereby represents that Borrower’s corporate status and locations have not changed since the date of the Agreement or, if the Attachment to this Advance Request is completed, are as set forth in the Attachment to this Advance Request.</w:t>
      </w:r>
    </w:p>
    <w:p>
      <w:pPr>
        <w:spacing w:after="0" w:line="168" w:lineRule="exact"/>
        <w:rPr>
          <w:sz w:val="20"/>
          <w:szCs w:val="20"/>
          <w:color w:val="auto"/>
        </w:rPr>
      </w:pPr>
    </w:p>
    <w:p>
      <w:pPr>
        <w:ind w:right="160" w:firstLine="619"/>
        <w:spacing w:after="0" w:line="275" w:lineRule="auto"/>
        <w:rPr>
          <w:sz w:val="20"/>
          <w:szCs w:val="20"/>
          <w:color w:val="auto"/>
        </w:rPr>
      </w:pPr>
      <w:r>
        <w:rPr>
          <w:rFonts w:ascii="Times New Roman" w:cs="Times New Roman" w:eastAsia="Times New Roman" w:hAnsi="Times New Roman"/>
          <w:sz w:val="20"/>
          <w:szCs w:val="20"/>
          <w:color w:val="auto"/>
        </w:rPr>
        <w:t>Borrower agrees to notify Agent promptly before the funding of the Loan if any of the matters which have been represented above shall not be true and correct on the Borrowing Date and if Agent has received no such notice before the Advance Date then the statements set forth above shall be deemed to have been made and shall be deemed to be true and correct as of the Advance Date.</w:t>
      </w:r>
    </w:p>
    <w:p>
      <w:pPr>
        <w:spacing w:after="0" w:line="151" w:lineRule="exact"/>
        <w:rPr>
          <w:sz w:val="20"/>
          <w:szCs w:val="20"/>
          <w:color w:val="auto"/>
        </w:rPr>
      </w:pPr>
    </w:p>
    <w:p>
      <w:pPr>
        <w:ind w:left="620"/>
        <w:spacing w:after="0"/>
        <w:tabs>
          <w:tab w:leader="none" w:pos="2140" w:val="left"/>
        </w:tabs>
        <w:rPr>
          <w:sz w:val="20"/>
          <w:szCs w:val="20"/>
          <w:color w:val="auto"/>
        </w:rPr>
      </w:pPr>
      <w:r>
        <w:rPr>
          <w:rFonts w:ascii="Times New Roman" w:cs="Times New Roman" w:eastAsia="Times New Roman" w:hAnsi="Times New Roman"/>
          <w:sz w:val="21"/>
          <w:szCs w:val="21"/>
          <w:color w:val="auto"/>
        </w:rPr>
        <w:t>Executed as of [</w:t>
      </w:r>
      <w:r>
        <w:rPr>
          <w:sz w:val="20"/>
          <w:szCs w:val="20"/>
          <w:color w:val="auto"/>
        </w:rPr>
        <w:tab/>
      </w:r>
      <w:r>
        <w:rPr>
          <w:rFonts w:ascii="Times New Roman" w:cs="Times New Roman" w:eastAsia="Times New Roman" w:hAnsi="Times New Roman"/>
          <w:sz w:val="20"/>
          <w:szCs w:val="20"/>
          <w:color w:val="auto"/>
        </w:rPr>
        <w:t>], 20[ ].</w:t>
      </w:r>
    </w:p>
    <w:p>
      <w:pPr>
        <w:spacing w:after="0" w:line="257" w:lineRule="exact"/>
        <w:rPr>
          <w:sz w:val="20"/>
          <w:szCs w:val="20"/>
          <w:color w:val="auto"/>
        </w:rPr>
      </w:pPr>
    </w:p>
    <w:p>
      <w:pPr>
        <w:ind w:left="3860"/>
        <w:spacing w:after="0"/>
        <w:tabs>
          <w:tab w:leader="none" w:pos="5320" w:val="left"/>
          <w:tab w:leader="none" w:pos="6840" w:val="left"/>
        </w:tabs>
        <w:rPr>
          <w:sz w:val="20"/>
          <w:szCs w:val="20"/>
          <w:color w:val="auto"/>
        </w:rPr>
      </w:pPr>
      <w:r>
        <w:rPr>
          <w:rFonts w:ascii="Times New Roman" w:cs="Times New Roman" w:eastAsia="Times New Roman" w:hAnsi="Times New Roman"/>
          <w:sz w:val="21"/>
          <w:szCs w:val="21"/>
          <w:color w:val="auto"/>
        </w:rPr>
        <w:t>BORROWER:</w:t>
      </w:r>
      <w:r>
        <w:rPr>
          <w:sz w:val="20"/>
          <w:szCs w:val="20"/>
          <w:color w:val="auto"/>
        </w:rPr>
        <w:tab/>
      </w:r>
      <w:r>
        <w:rPr>
          <w:rFonts w:ascii="Times New Roman" w:cs="Times New Roman" w:eastAsia="Times New Roman" w:hAnsi="Times New Roman"/>
          <w:sz w:val="21"/>
          <w:szCs w:val="21"/>
          <w:b w:val="1"/>
          <w:bCs w:val="1"/>
          <w:color w:val="auto"/>
        </w:rPr>
        <w:t>REPLIMUNE</w:t>
      </w:r>
      <w:r>
        <w:rPr>
          <w:sz w:val="20"/>
          <w:szCs w:val="20"/>
          <w:color w:val="auto"/>
        </w:rPr>
        <w:tab/>
      </w:r>
      <w:r>
        <w:rPr>
          <w:rFonts w:ascii="Times New Roman" w:cs="Times New Roman" w:eastAsia="Times New Roman" w:hAnsi="Times New Roman"/>
          <w:sz w:val="20"/>
          <w:szCs w:val="20"/>
          <w:b w:val="1"/>
          <w:bCs w:val="1"/>
          <w:color w:val="auto"/>
        </w:rPr>
        <w:t>GROUP,</w:t>
      </w:r>
    </w:p>
    <w:p>
      <w:pPr>
        <w:spacing w:after="0" w:line="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INC.</w:t>
      </w:r>
    </w:p>
    <w:p>
      <w:pPr>
        <w:spacing w:after="0" w:line="21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-13970</wp:posOffset>
            </wp:positionV>
            <wp:extent cx="1308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-20320</wp:posOffset>
            </wp:positionV>
            <wp:extent cx="1308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-20320</wp:posOffset>
            </wp:positionV>
            <wp:extent cx="1308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80"/>
          </w:cols>
          <w:pgMar w:left="320" w:top="1365" w:right="399" w:bottom="1440" w:gutter="0" w:footer="0" w:header="0"/>
        </w:sectPr>
      </w:pPr>
    </w:p>
    <w:bookmarkStart w:id="189" w:name="page190"/>
    <w:bookmarkEnd w:id="189"/>
    <w:p>
      <w:pPr>
        <w:jc w:val="center"/>
        <w:ind w:right="-139"/>
        <w:spacing w:after="0"/>
        <w:rPr>
          <w:sz w:val="20"/>
          <w:szCs w:val="20"/>
          <w:color w:val="auto"/>
        </w:rPr>
      </w:pPr>
      <w:r>
        <w:rPr>
          <w:rFonts w:ascii="Times New Roman" w:cs="Times New Roman" w:eastAsia="Times New Roman" w:hAnsi="Times New Roman"/>
          <w:sz w:val="21"/>
          <w:szCs w:val="21"/>
          <w:b w:val="1"/>
          <w:bCs w:val="1"/>
          <w:color w:val="auto"/>
        </w:rPr>
        <w:t>ATTACHMENT TO ADVANCE REQUEST</w:t>
      </w:r>
    </w:p>
    <w:p>
      <w:pPr>
        <w:spacing w:after="0" w:line="2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Dated: 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hereby represents and warrants to Agent that Borrower’s current name and organizational status is as follows:</w:t>
      </w:r>
    </w:p>
    <w:p>
      <w:pPr>
        <w:sectPr>
          <w:pgSz w:w="11900" w:h="16838" w:orient="portrait"/>
          <w:cols w:equalWidth="0" w:num="1">
            <w:col w:w="11120"/>
          </w:cols>
          <w:pgMar w:left="320" w:top="1361" w:right="459" w:bottom="1440" w:gutter="0" w:footer="0" w:header="0"/>
        </w:sectPr>
      </w:pP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Type of organization:</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State of organization:</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Organization file number: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Replimune Group,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6467082</w:t>
      </w:r>
    </w:p>
    <w:p>
      <w:pPr>
        <w:spacing w:after="0" w:line="200" w:lineRule="exact"/>
        <w:rPr>
          <w:sz w:val="20"/>
          <w:szCs w:val="20"/>
          <w:color w:val="auto"/>
        </w:rPr>
      </w:pPr>
    </w:p>
    <w:p>
      <w:pPr>
        <w:sectPr>
          <w:pgSz w:w="11900" w:h="16838" w:orient="portrait"/>
          <w:cols w:equalWidth="0" w:num="2">
            <w:col w:w="4400" w:space="720"/>
            <w:col w:w="6000"/>
          </w:cols>
          <w:pgMar w:left="320" w:top="1361" w:right="459" w:bottom="1440" w:gutter="0" w:footer="0" w:header="0"/>
          <w:type w:val="continuous"/>
        </w:sectPr>
      </w:pPr>
    </w:p>
    <w:p>
      <w:pPr>
        <w:spacing w:after="0" w:line="1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Borrower hereby represents and warrants to Agent that the street addresses, cities, states and postal codes of its current locations are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 Unicorn Park Dr., Suite 303, Woburn MA 01801</w:t>
      </w:r>
    </w:p>
    <w:p>
      <w:pPr>
        <w:spacing w:after="0" w:line="3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color w:val="auto"/>
        </w:rPr>
        <w:t>3</w:t>
      </w:r>
    </w:p>
    <w:p>
      <w:pPr>
        <w:spacing w:after="0" w:line="5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120"/>
          </w:cols>
          <w:pgMar w:left="320" w:top="1361" w:right="459" w:bottom="1440" w:gutter="0" w:footer="0" w:header="0"/>
          <w:type w:val="continuous"/>
        </w:sectPr>
      </w:pPr>
    </w:p>
    <w:bookmarkStart w:id="190" w:name="page191"/>
    <w:bookmarkEnd w:id="190"/>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NAME, LOCATIONS, AND OTHER INFORMATION FOR BORROWER</w:t>
      </w:r>
    </w:p>
    <w:p>
      <w:pPr>
        <w:spacing w:after="0" w:line="214" w:lineRule="exact"/>
        <w:rPr>
          <w:sz w:val="20"/>
          <w:szCs w:val="20"/>
          <w:color w:val="auto"/>
        </w:rPr>
      </w:pPr>
    </w:p>
    <w:p>
      <w:pPr>
        <w:ind w:firstLine="622"/>
        <w:spacing w:after="0" w:line="282" w:lineRule="auto"/>
        <w:tabs>
          <w:tab w:leader="none" w:pos="825"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represents and warrants to Agent that Borrower’s current name and organizational status as of the Closing Date is as follows:</w:t>
      </w:r>
    </w:p>
    <w:p>
      <w:pPr>
        <w:sectPr>
          <w:pgSz w:w="11900" w:h="16838" w:orient="portrait"/>
          <w:cols w:equalWidth="0" w:num="1">
            <w:col w:w="11040"/>
          </w:cols>
          <w:pgMar w:left="320" w:top="1361" w:right="539" w:bottom="1440" w:gutter="0" w:footer="0" w:header="0"/>
        </w:sectPr>
      </w:pPr>
    </w:p>
    <w:p>
      <w:pPr>
        <w:spacing w:after="0" w:line="1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Type of organization: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State of organization: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Organization file number: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Replimune Group,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6467082</w:t>
      </w:r>
    </w:p>
    <w:p>
      <w:pPr>
        <w:spacing w:after="0" w:line="200" w:lineRule="exact"/>
        <w:rPr>
          <w:sz w:val="20"/>
          <w:szCs w:val="20"/>
          <w:color w:val="auto"/>
        </w:rPr>
      </w:pPr>
    </w:p>
    <w:p>
      <w:pPr>
        <w:sectPr>
          <w:pgSz w:w="11900" w:h="16838" w:orient="portrait"/>
          <w:cols w:equalWidth="0" w:num="2">
            <w:col w:w="2960" w:space="720"/>
            <w:col w:w="7360"/>
          </w:cols>
          <w:pgMar w:left="320" w:top="1361" w:right="539" w:bottom="1440" w:gutter="0" w:footer="0" w:header="0"/>
          <w:type w:val="continuous"/>
        </w:sectPr>
      </w:pP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Type of organization: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State of organization:</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Organization file number: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Replimune, Inc.</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Delaware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5711367</w:t>
      </w:r>
    </w:p>
    <w:p>
      <w:pPr>
        <w:spacing w:after="0" w:line="200" w:lineRule="exact"/>
        <w:rPr>
          <w:sz w:val="20"/>
          <w:szCs w:val="20"/>
          <w:color w:val="auto"/>
        </w:rPr>
      </w:pPr>
    </w:p>
    <w:p>
      <w:pPr>
        <w:sectPr>
          <w:pgSz w:w="11900" w:h="16838" w:orient="portrait"/>
          <w:cols w:equalWidth="0" w:num="2">
            <w:col w:w="2960" w:space="720"/>
            <w:col w:w="7360"/>
          </w:cols>
          <w:pgMar w:left="320" w:top="1361" w:right="539" w:bottom="1440" w:gutter="0" w:footer="0" w:header="0"/>
          <w:type w:val="continuous"/>
        </w:sectPr>
      </w:pP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Type of organization: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State of organization: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Registered number: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Replimune Limited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England and Wales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9496393</w:t>
      </w:r>
    </w:p>
    <w:p>
      <w:pPr>
        <w:spacing w:after="0" w:line="200" w:lineRule="exact"/>
        <w:rPr>
          <w:sz w:val="20"/>
          <w:szCs w:val="20"/>
          <w:color w:val="auto"/>
        </w:rPr>
      </w:pPr>
    </w:p>
    <w:p>
      <w:pPr>
        <w:sectPr>
          <w:pgSz w:w="11900" w:h="16838" w:orient="portrait"/>
          <w:cols w:equalWidth="0" w:num="2">
            <w:col w:w="2960" w:space="720"/>
            <w:col w:w="7360"/>
          </w:cols>
          <w:pgMar w:left="320" w:top="1361" w:right="539" w:bottom="1440" w:gutter="0" w:footer="0" w:header="0"/>
          <w:type w:val="continuous"/>
        </w:sectPr>
      </w:pPr>
    </w:p>
    <w:p>
      <w:pPr>
        <w:spacing w:after="0" w:line="129" w:lineRule="exact"/>
        <w:rPr>
          <w:sz w:val="20"/>
          <w:szCs w:val="20"/>
          <w:color w:val="auto"/>
        </w:rPr>
      </w:pPr>
    </w:p>
    <w:p>
      <w:pPr>
        <w:ind w:right="220" w:firstLine="622"/>
        <w:spacing w:after="0" w:line="269" w:lineRule="auto"/>
        <w:tabs>
          <w:tab w:leader="none" w:pos="82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represents and warrants to Agent that for five (5) years prior to the Closing Date, Borrower did not do business under any other name or organization or form except the following:</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N/A</w:t>
      </w:r>
    </w:p>
    <w:p>
      <w:pPr>
        <w:spacing w:after="0" w:line="210" w:lineRule="exact"/>
        <w:rPr>
          <w:sz w:val="20"/>
          <w:szCs w:val="20"/>
          <w:color w:val="auto"/>
        </w:rPr>
      </w:pPr>
    </w:p>
    <w:p>
      <w:pPr>
        <w:ind w:right="3120" w:firstLine="622"/>
        <w:spacing w:after="0" w:line="454" w:lineRule="auto"/>
        <w:tabs>
          <w:tab w:leader="none" w:pos="82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represents and warrants to Agent that its chief executive office is located at: Parent and Replimune, Inc. - 500 Unicorn Park Dr., Suite 303, Woburn MA 01801</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Replimune UK - 69 Innovation Drive, Milton Park, Abingdon, Oxfordshire, United Kingdom, OX14 4RQ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040"/>
          </w:cols>
          <w:pgMar w:left="320" w:top="1361" w:right="539" w:bottom="1440" w:gutter="0" w:footer="0" w:header="0"/>
          <w:type w:val="continuous"/>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440" w:right="1440" w:bottom="1440" w:gutter="0" w:footer="0" w:header="0"/>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361" w:right="1440" w:bottom="1440" w:gutter="0" w:footer="0" w:header="0"/>
        </w:sectPr>
      </w:pPr>
    </w:p>
    <w:bookmarkStart w:id="193" w:name="page194"/>
    <w:bookmarkEnd w:id="193"/>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Deposit Accounts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40" w:type="dxa"/>
            <w:vAlign w:val="bottom"/>
            <w:tcBorders>
              <w:top w:val="single" w:sz="8" w:color="auto"/>
              <w:left w:val="single" w:sz="8" w:color="auto"/>
            </w:tcBorders>
          </w:tcPr>
          <w:p>
            <w:pPr>
              <w:spacing w:after="0"/>
              <w:rPr>
                <w:sz w:val="19"/>
                <w:szCs w:val="19"/>
                <w:color w:val="auto"/>
              </w:rPr>
            </w:pPr>
          </w:p>
        </w:tc>
        <w:tc>
          <w:tcPr>
            <w:tcW w:w="2120" w:type="dxa"/>
            <w:vAlign w:val="bottom"/>
            <w:tcBorders>
              <w:top w:val="single" w:sz="8" w:color="auto"/>
              <w:right w:val="single" w:sz="8" w:color="auto"/>
            </w:tcBorders>
            <w:gridSpan w:val="5"/>
          </w:tcPr>
          <w:p>
            <w:pPr>
              <w:spacing w:after="0" w:line="219" w:lineRule="exact"/>
              <w:rPr>
                <w:sz w:val="20"/>
                <w:szCs w:val="20"/>
                <w:color w:val="auto"/>
              </w:rPr>
            </w:pPr>
            <w:r>
              <w:rPr>
                <w:rFonts w:ascii="Times New Roman" w:cs="Times New Roman" w:eastAsia="Times New Roman" w:hAnsi="Times New Roman"/>
                <w:sz w:val="21"/>
                <w:szCs w:val="21"/>
                <w:color w:val="auto"/>
              </w:rPr>
              <w:t>Bank Name</w:t>
            </w:r>
          </w:p>
        </w:tc>
        <w:tc>
          <w:tcPr>
            <w:tcW w:w="2620" w:type="dxa"/>
            <w:vAlign w:val="bottom"/>
            <w:tcBorders>
              <w:top w:val="single" w:sz="8" w:color="auto"/>
              <w:right w:val="single" w:sz="8" w:color="auto"/>
            </w:tcBorders>
            <w:gridSpan w:val="6"/>
          </w:tcPr>
          <w:p>
            <w:pPr>
              <w:ind w:left="20"/>
              <w:spacing w:after="0" w:line="219" w:lineRule="exact"/>
              <w:rPr>
                <w:sz w:val="20"/>
                <w:szCs w:val="20"/>
                <w:color w:val="auto"/>
              </w:rPr>
            </w:pPr>
            <w:r>
              <w:rPr>
                <w:rFonts w:ascii="Times New Roman" w:cs="Times New Roman" w:eastAsia="Times New Roman" w:hAnsi="Times New Roman"/>
                <w:sz w:val="21"/>
                <w:szCs w:val="21"/>
                <w:color w:val="auto"/>
              </w:rPr>
              <w:t>Account Number</w:t>
            </w:r>
          </w:p>
        </w:tc>
        <w:tc>
          <w:tcPr>
            <w:tcW w:w="1640" w:type="dxa"/>
            <w:vAlign w:val="bottom"/>
            <w:tcBorders>
              <w:top w:val="single" w:sz="8" w:color="auto"/>
            </w:tcBorders>
            <w:gridSpan w:val="8"/>
          </w:tcPr>
          <w:p>
            <w:pPr>
              <w:ind w:left="20"/>
              <w:spacing w:after="0" w:line="219" w:lineRule="exact"/>
              <w:rPr>
                <w:sz w:val="20"/>
                <w:szCs w:val="20"/>
                <w:color w:val="auto"/>
              </w:rPr>
            </w:pPr>
            <w:r>
              <w:rPr>
                <w:rFonts w:ascii="Times New Roman" w:cs="Times New Roman" w:eastAsia="Times New Roman" w:hAnsi="Times New Roman"/>
                <w:sz w:val="21"/>
                <w:szCs w:val="21"/>
                <w:color w:val="auto"/>
              </w:rPr>
              <w:t>Branch Address</w:t>
            </w:r>
          </w:p>
        </w:tc>
        <w:tc>
          <w:tcPr>
            <w:tcW w:w="420" w:type="dxa"/>
            <w:vAlign w:val="bottom"/>
            <w:tcBorders>
              <w:top w:val="single" w:sz="8" w:color="auto"/>
              <w:right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spacing w:after="0" w:line="219" w:lineRule="exact"/>
              <w:rPr>
                <w:sz w:val="20"/>
                <w:szCs w:val="20"/>
                <w:color w:val="auto"/>
              </w:rPr>
            </w:pPr>
            <w:r>
              <w:rPr>
                <w:rFonts w:ascii="Times New Roman" w:cs="Times New Roman" w:eastAsia="Times New Roman" w:hAnsi="Times New Roman"/>
                <w:sz w:val="21"/>
                <w:szCs w:val="21"/>
                <w:color w:val="auto"/>
              </w:rPr>
              <w:t>Company/</w:t>
            </w:r>
          </w:p>
        </w:tc>
        <w:tc>
          <w:tcPr>
            <w:tcW w:w="90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tcBorders>
            <w:gridSpan w:val="7"/>
          </w:tcPr>
          <w:p>
            <w:pPr>
              <w:ind w:left="20"/>
              <w:spacing w:after="0" w:line="219" w:lineRule="exact"/>
              <w:rPr>
                <w:sz w:val="20"/>
                <w:szCs w:val="20"/>
                <w:color w:val="auto"/>
              </w:rPr>
            </w:pPr>
            <w:r>
              <w:rPr>
                <w:rFonts w:ascii="Times New Roman" w:cs="Times New Roman" w:eastAsia="Times New Roman" w:hAnsi="Times New Roman"/>
                <w:sz w:val="21"/>
                <w:szCs w:val="21"/>
                <w:color w:val="auto"/>
              </w:rPr>
              <w:t>Purpose of Account</w:t>
            </w:r>
          </w:p>
        </w:tc>
        <w:tc>
          <w:tcPr>
            <w:tcW w:w="620" w:type="dxa"/>
            <w:vAlign w:val="bottom"/>
            <w:tcBorders>
              <w:top w:val="single" w:sz="8" w:color="auto"/>
              <w:right w:val="single" w:sz="8" w:color="auto"/>
            </w:tcBorders>
          </w:tcPr>
          <w:p>
            <w:pPr>
              <w:spacing w:after="0"/>
              <w:rPr>
                <w:sz w:val="19"/>
                <w:szCs w:val="19"/>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spacing w:after="0" w:line="187" w:lineRule="exact"/>
              <w:rPr>
                <w:sz w:val="20"/>
                <w:szCs w:val="20"/>
                <w:color w:val="auto"/>
              </w:rPr>
            </w:pPr>
            <w:r>
              <w:rPr>
                <w:rFonts w:ascii="Times New Roman" w:cs="Times New Roman" w:eastAsia="Times New Roman" w:hAnsi="Times New Roman"/>
                <w:sz w:val="21"/>
                <w:szCs w:val="21"/>
                <w:color w:val="auto"/>
                <w:w w:val="93"/>
              </w:rPr>
              <w:t>Subsidiary</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32"/>
        </w:trPr>
        <w:tc>
          <w:tcPr>
            <w:tcW w:w="4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52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3005</w:t>
            </w:r>
          </w:p>
        </w:tc>
        <w:tc>
          <w:tcPr>
            <w:tcW w:w="1120" w:type="dxa"/>
            <w:vAlign w:val="bottom"/>
            <w:gridSpan w:val="5"/>
          </w:tcPr>
          <w:p>
            <w:pPr>
              <w:jc w:val="center"/>
              <w:ind w:right="40"/>
              <w:spacing w:after="0" w:line="187" w:lineRule="exact"/>
              <w:rPr>
                <w:sz w:val="20"/>
                <w:szCs w:val="20"/>
                <w:color w:val="auto"/>
              </w:rPr>
            </w:pPr>
            <w:r>
              <w:rPr>
                <w:rFonts w:ascii="Times New Roman" w:cs="Times New Roman" w:eastAsia="Times New Roman" w:hAnsi="Times New Roman"/>
                <w:sz w:val="21"/>
                <w:szCs w:val="21"/>
                <w:b w:val="1"/>
                <w:bCs w:val="1"/>
                <w:color w:val="auto"/>
                <w:w w:val="93"/>
              </w:rPr>
              <w:t>Tasman</w:t>
            </w:r>
          </w:p>
        </w:tc>
        <w:tc>
          <w:tcPr>
            <w:tcW w:w="420" w:type="dxa"/>
            <w:vAlign w:val="bottom"/>
            <w:tcBorders>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Dr,</w:t>
            </w:r>
          </w:p>
        </w:tc>
        <w:tc>
          <w:tcPr>
            <w:tcW w:w="20" w:type="dxa"/>
            <w:vAlign w:val="bottom"/>
          </w:tcPr>
          <w:p>
            <w:pPr>
              <w:spacing w:after="0"/>
              <w:rPr>
                <w:sz w:val="16"/>
                <w:szCs w:val="16"/>
                <w:color w:val="auto"/>
              </w:rPr>
            </w:pPr>
          </w:p>
        </w:tc>
        <w:tc>
          <w:tcPr>
            <w:tcW w:w="1980" w:type="dxa"/>
            <w:vAlign w:val="bottom"/>
            <w:tcBorders>
              <w:right w:val="single" w:sz="8" w:color="auto"/>
            </w:tcBorders>
            <w:gridSpan w:val="5"/>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 Inc. (US)</w:t>
            </w:r>
          </w:p>
        </w:tc>
        <w:tc>
          <w:tcPr>
            <w:tcW w:w="76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SVB</w:t>
            </w:r>
          </w:p>
        </w:tc>
        <w:tc>
          <w:tcPr>
            <w:tcW w:w="64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US</w:t>
            </w:r>
          </w:p>
        </w:tc>
        <w:tc>
          <w:tcPr>
            <w:tcW w:w="1020" w:type="dxa"/>
            <w:vAlign w:val="bottom"/>
            <w:tcBorders>
              <w:right w:val="single" w:sz="8" w:color="auto"/>
            </w:tcBorders>
            <w:gridSpan w:val="3"/>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w w:val="97"/>
              </w:rPr>
              <w:t>Operating</w:t>
            </w:r>
          </w:p>
        </w:tc>
      </w:tr>
      <w:tr>
        <w:trPr>
          <w:trHeight w:val="206"/>
        </w:trPr>
        <w:tc>
          <w:tcPr>
            <w:tcW w:w="4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2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w w:val="93"/>
              </w:rPr>
              <w:t>Santa</w:t>
            </w:r>
          </w:p>
        </w:tc>
        <w:tc>
          <w:tcPr>
            <w:tcW w:w="1120" w:type="dxa"/>
            <w:vAlign w:val="bottom"/>
            <w:gridSpan w:val="5"/>
          </w:tcPr>
          <w:p>
            <w:pPr>
              <w:ind w:left="300"/>
              <w:spacing w:after="0" w:line="207" w:lineRule="exact"/>
              <w:rPr>
                <w:sz w:val="20"/>
                <w:szCs w:val="20"/>
                <w:color w:val="auto"/>
              </w:rPr>
            </w:pPr>
            <w:r>
              <w:rPr>
                <w:rFonts w:ascii="Times New Roman" w:cs="Times New Roman" w:eastAsia="Times New Roman" w:hAnsi="Times New Roman"/>
                <w:sz w:val="21"/>
                <w:szCs w:val="21"/>
                <w:b w:val="1"/>
                <w:bCs w:val="1"/>
                <w:color w:val="auto"/>
              </w:rPr>
              <w:t>Clara,</w:t>
            </w:r>
          </w:p>
        </w:tc>
        <w:tc>
          <w:tcPr>
            <w:tcW w:w="42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CA</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6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w w:val="96"/>
              </w:rPr>
              <w:t>Account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1"/>
                <w:szCs w:val="21"/>
                <w:b w:val="1"/>
                <w:bCs w:val="1"/>
                <w:color w:val="auto"/>
              </w:rPr>
              <w:t>95054</w:t>
            </w: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080" w:type="dxa"/>
            <w:vAlign w:val="bottom"/>
            <w:gridSpan w:val="2"/>
          </w:tcPr>
          <w:p>
            <w:pPr>
              <w:ind w:left="260"/>
              <w:spacing w:after="0" w:line="187" w:lineRule="exact"/>
              <w:rPr>
                <w:sz w:val="20"/>
                <w:szCs w:val="20"/>
                <w:color w:val="auto"/>
              </w:rPr>
            </w:pPr>
            <w:r>
              <w:rPr>
                <w:rFonts w:ascii="Times New Roman" w:cs="Times New Roman" w:eastAsia="Times New Roman" w:hAnsi="Times New Roman"/>
                <w:sz w:val="21"/>
                <w:szCs w:val="21"/>
                <w:b w:val="1"/>
                <w:bCs w:val="1"/>
                <w:color w:val="auto"/>
              </w:rPr>
              <w:t>Citizens</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Borders>
              <w:right w:val="single" w:sz="8" w:color="auto"/>
            </w:tcBorders>
            <w:gridSpan w:val="3"/>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Plaza,</w:t>
            </w:r>
          </w:p>
        </w:tc>
        <w:tc>
          <w:tcPr>
            <w:tcW w:w="20" w:type="dxa"/>
            <w:vAlign w:val="bottom"/>
          </w:tcPr>
          <w:p>
            <w:pPr>
              <w:spacing w:after="0"/>
              <w:rPr>
                <w:sz w:val="16"/>
                <w:szCs w:val="16"/>
                <w:color w:val="auto"/>
              </w:rPr>
            </w:pPr>
          </w:p>
        </w:tc>
        <w:tc>
          <w:tcPr>
            <w:tcW w:w="1980" w:type="dxa"/>
            <w:vAlign w:val="bottom"/>
            <w:tcBorders>
              <w:right w:val="single" w:sz="8" w:color="auto"/>
            </w:tcBorders>
            <w:gridSpan w:val="5"/>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 Inc. (US)</w:t>
            </w:r>
          </w:p>
        </w:tc>
        <w:tc>
          <w:tcPr>
            <w:tcW w:w="1800" w:type="dxa"/>
            <w:vAlign w:val="bottom"/>
            <w:gridSpan w:val="7"/>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Operating Account</w:t>
            </w:r>
          </w:p>
        </w:tc>
        <w:tc>
          <w:tcPr>
            <w:tcW w:w="620" w:type="dxa"/>
            <w:vAlign w:val="bottom"/>
            <w:tcBorders>
              <w:right w:val="single" w:sz="8" w:color="auto"/>
            </w:tcBorders>
          </w:tcPr>
          <w:p>
            <w:pPr>
              <w:spacing w:after="0"/>
              <w:rPr>
                <w:sz w:val="16"/>
                <w:szCs w:val="16"/>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2060" w:type="dxa"/>
            <w:vAlign w:val="bottom"/>
            <w:tcBorders>
              <w:bottom w:val="single" w:sz="8" w:color="auto"/>
              <w:right w:val="single" w:sz="8" w:color="auto"/>
            </w:tcBorders>
            <w:gridSpan w:val="9"/>
          </w:tcPr>
          <w:p>
            <w:pPr>
              <w:ind w:left="20"/>
              <w:spacing w:after="0"/>
              <w:rPr>
                <w:sz w:val="20"/>
                <w:szCs w:val="20"/>
                <w:color w:val="auto"/>
              </w:rPr>
            </w:pPr>
            <w:r>
              <w:rPr>
                <w:rFonts w:ascii="Times New Roman" w:cs="Times New Roman" w:eastAsia="Times New Roman" w:hAnsi="Times New Roman"/>
                <w:sz w:val="21"/>
                <w:szCs w:val="21"/>
                <w:b w:val="1"/>
                <w:bCs w:val="1"/>
                <w:color w:val="auto"/>
              </w:rPr>
              <w:t>Providence, RI 02903</w:t>
            </w: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900" w:type="dxa"/>
            <w:vAlign w:val="bottom"/>
            <w:tcBorders>
              <w:right w:val="single" w:sz="8" w:color="auto"/>
            </w:tcBorders>
            <w:gridSpan w:val="7"/>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Post Office Square,</w:t>
            </w:r>
          </w:p>
        </w:tc>
        <w:tc>
          <w:tcPr>
            <w:tcW w:w="20" w:type="dxa"/>
            <w:vAlign w:val="bottom"/>
          </w:tcPr>
          <w:p>
            <w:pPr>
              <w:spacing w:after="0"/>
              <w:rPr>
                <w:sz w:val="16"/>
                <w:szCs w:val="16"/>
                <w:color w:val="auto"/>
              </w:rPr>
            </w:pPr>
          </w:p>
        </w:tc>
        <w:tc>
          <w:tcPr>
            <w:tcW w:w="1980" w:type="dxa"/>
            <w:vAlign w:val="bottom"/>
            <w:tcBorders>
              <w:right w:val="single" w:sz="8" w:color="auto"/>
            </w:tcBorders>
            <w:gridSpan w:val="5"/>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 Inc. (US)</w:t>
            </w:r>
          </w:p>
        </w:tc>
        <w:tc>
          <w:tcPr>
            <w:tcW w:w="2420" w:type="dxa"/>
            <w:vAlign w:val="bottom"/>
            <w:tcBorders>
              <w:right w:val="single" w:sz="8" w:color="auto"/>
            </w:tcBorders>
            <w:gridSpan w:val="8"/>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Demand Deposit Account</w:t>
            </w: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6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1"/>
                <w:szCs w:val="21"/>
                <w:b w:val="1"/>
                <w:bCs w:val="1"/>
                <w:color w:val="auto"/>
                <w:w w:val="96"/>
              </w:rPr>
              <w:t>Boston, MA 02109</w:t>
            </w: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900" w:type="dxa"/>
            <w:vAlign w:val="bottom"/>
            <w:tcBorders>
              <w:right w:val="single" w:sz="8" w:color="auto"/>
            </w:tcBorders>
            <w:gridSpan w:val="7"/>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Post Office Square,</w:t>
            </w:r>
          </w:p>
        </w:tc>
        <w:tc>
          <w:tcPr>
            <w:tcW w:w="20" w:type="dxa"/>
            <w:vAlign w:val="bottom"/>
          </w:tcPr>
          <w:p>
            <w:pPr>
              <w:spacing w:after="0"/>
              <w:rPr>
                <w:sz w:val="16"/>
                <w:szCs w:val="16"/>
                <w:color w:val="auto"/>
              </w:rPr>
            </w:pPr>
          </w:p>
        </w:tc>
        <w:tc>
          <w:tcPr>
            <w:tcW w:w="1980" w:type="dxa"/>
            <w:vAlign w:val="bottom"/>
            <w:tcBorders>
              <w:right w:val="single" w:sz="8" w:color="auto"/>
            </w:tcBorders>
            <w:gridSpan w:val="5"/>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 Inc. (US)</w:t>
            </w:r>
          </w:p>
        </w:tc>
        <w:tc>
          <w:tcPr>
            <w:tcW w:w="1400" w:type="dxa"/>
            <w:vAlign w:val="bottom"/>
            <w:gridSpan w:val="5"/>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Cash Receipts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6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1"/>
                <w:szCs w:val="21"/>
                <w:b w:val="1"/>
                <w:bCs w:val="1"/>
                <w:color w:val="auto"/>
                <w:w w:val="96"/>
              </w:rPr>
              <w:t>Boston, MA 02109</w:t>
            </w: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0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21"/>
                <w:szCs w:val="21"/>
                <w:b w:val="1"/>
                <w:bCs w:val="1"/>
                <w:color w:val="auto"/>
              </w:rPr>
              <w:t>Centenary</w:t>
            </w:r>
          </w:p>
        </w:tc>
        <w:tc>
          <w:tcPr>
            <w:tcW w:w="820" w:type="dxa"/>
            <w:vAlign w:val="bottom"/>
            <w:tcBorders>
              <w:right w:val="single" w:sz="8" w:color="auto"/>
            </w:tcBorders>
            <w:gridSpan w:val="5"/>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Square,</w:t>
            </w:r>
          </w:p>
        </w:tc>
        <w:tc>
          <w:tcPr>
            <w:tcW w:w="20" w:type="dxa"/>
            <w:vAlign w:val="bottom"/>
          </w:tcPr>
          <w:p>
            <w:pPr>
              <w:spacing w:after="0"/>
              <w:rPr>
                <w:sz w:val="16"/>
                <w:szCs w:val="16"/>
                <w:color w:val="auto"/>
              </w:rPr>
            </w:pPr>
          </w:p>
        </w:tc>
        <w:tc>
          <w:tcPr>
            <w:tcW w:w="1080" w:type="dxa"/>
            <w:vAlign w:val="bottom"/>
            <w:gridSpan w:val="4"/>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w:t>
            </w:r>
          </w:p>
        </w:tc>
        <w:tc>
          <w:tcPr>
            <w:tcW w:w="90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98"/>
              </w:rPr>
              <w:t>Limited</w:t>
            </w:r>
          </w:p>
        </w:tc>
        <w:tc>
          <w:tcPr>
            <w:tcW w:w="1400" w:type="dxa"/>
            <w:vAlign w:val="bottom"/>
            <w:gridSpan w:val="5"/>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USD Deposit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4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rPr>
              <w:t>Birmingham,</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B1</w:t>
            </w:r>
          </w:p>
        </w:tc>
        <w:tc>
          <w:tcPr>
            <w:tcW w:w="20" w:type="dxa"/>
            <w:vAlign w:val="bottom"/>
          </w:tcPr>
          <w:p>
            <w:pPr>
              <w:spacing w:after="0"/>
              <w:rPr>
                <w:sz w:val="17"/>
                <w:szCs w:val="17"/>
                <w:color w:val="auto"/>
              </w:rPr>
            </w:pPr>
          </w:p>
        </w:tc>
        <w:tc>
          <w:tcPr>
            <w:tcW w:w="1080" w:type="dxa"/>
            <w:vAlign w:val="bottom"/>
            <w:gridSpan w:val="4"/>
          </w:tcPr>
          <w:p>
            <w:pPr>
              <w:spacing w:after="0" w:line="207" w:lineRule="exact"/>
              <w:rPr>
                <w:sz w:val="20"/>
                <w:szCs w:val="20"/>
                <w:color w:val="auto"/>
              </w:rPr>
            </w:pPr>
            <w:r>
              <w:rPr>
                <w:rFonts w:ascii="Times New Roman" w:cs="Times New Roman" w:eastAsia="Times New Roman" w:hAnsi="Times New Roman"/>
                <w:sz w:val="21"/>
                <w:szCs w:val="21"/>
                <w:b w:val="1"/>
                <w:bCs w:val="1"/>
                <w:color w:val="auto"/>
              </w:rPr>
              <w:t>(UK)</w:t>
            </w:r>
          </w:p>
        </w:tc>
        <w:tc>
          <w:tcPr>
            <w:tcW w:w="9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1"/>
                <w:szCs w:val="21"/>
                <w:b w:val="1"/>
                <w:bCs w:val="1"/>
                <w:color w:val="auto"/>
              </w:rPr>
              <w:t>1HQ, UK</w:t>
            </w: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0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21"/>
                <w:szCs w:val="21"/>
                <w:b w:val="1"/>
                <w:bCs w:val="1"/>
                <w:color w:val="auto"/>
              </w:rPr>
              <w:t>Centenary</w:t>
            </w:r>
          </w:p>
        </w:tc>
        <w:tc>
          <w:tcPr>
            <w:tcW w:w="820" w:type="dxa"/>
            <w:vAlign w:val="bottom"/>
            <w:tcBorders>
              <w:right w:val="single" w:sz="8" w:color="auto"/>
            </w:tcBorders>
            <w:gridSpan w:val="5"/>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Square,</w:t>
            </w:r>
          </w:p>
        </w:tc>
        <w:tc>
          <w:tcPr>
            <w:tcW w:w="20" w:type="dxa"/>
            <w:vAlign w:val="bottom"/>
          </w:tcPr>
          <w:p>
            <w:pPr>
              <w:spacing w:after="0"/>
              <w:rPr>
                <w:sz w:val="16"/>
                <w:szCs w:val="16"/>
                <w:color w:val="auto"/>
              </w:rPr>
            </w:pPr>
          </w:p>
        </w:tc>
        <w:tc>
          <w:tcPr>
            <w:tcW w:w="1080" w:type="dxa"/>
            <w:vAlign w:val="bottom"/>
            <w:gridSpan w:val="4"/>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w:t>
            </w:r>
          </w:p>
        </w:tc>
        <w:tc>
          <w:tcPr>
            <w:tcW w:w="90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98"/>
              </w:rPr>
              <w:t>Limited</w:t>
            </w:r>
          </w:p>
        </w:tc>
        <w:tc>
          <w:tcPr>
            <w:tcW w:w="1400" w:type="dxa"/>
            <w:vAlign w:val="bottom"/>
            <w:gridSpan w:val="5"/>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GBP Deposit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4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rPr>
              <w:t>Birmingham,</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B1</w:t>
            </w:r>
          </w:p>
        </w:tc>
        <w:tc>
          <w:tcPr>
            <w:tcW w:w="20" w:type="dxa"/>
            <w:vAlign w:val="bottom"/>
          </w:tcPr>
          <w:p>
            <w:pPr>
              <w:spacing w:after="0"/>
              <w:rPr>
                <w:sz w:val="17"/>
                <w:szCs w:val="17"/>
                <w:color w:val="auto"/>
              </w:rPr>
            </w:pPr>
          </w:p>
        </w:tc>
        <w:tc>
          <w:tcPr>
            <w:tcW w:w="1080" w:type="dxa"/>
            <w:vAlign w:val="bottom"/>
            <w:gridSpan w:val="4"/>
          </w:tcPr>
          <w:p>
            <w:pPr>
              <w:spacing w:after="0" w:line="207" w:lineRule="exact"/>
              <w:rPr>
                <w:sz w:val="20"/>
                <w:szCs w:val="20"/>
                <w:color w:val="auto"/>
              </w:rPr>
            </w:pPr>
            <w:r>
              <w:rPr>
                <w:rFonts w:ascii="Times New Roman" w:cs="Times New Roman" w:eastAsia="Times New Roman" w:hAnsi="Times New Roman"/>
                <w:sz w:val="21"/>
                <w:szCs w:val="21"/>
                <w:b w:val="1"/>
                <w:bCs w:val="1"/>
                <w:color w:val="auto"/>
              </w:rPr>
              <w:t>(UK)</w:t>
            </w:r>
          </w:p>
        </w:tc>
        <w:tc>
          <w:tcPr>
            <w:tcW w:w="9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1"/>
                <w:szCs w:val="21"/>
                <w:b w:val="1"/>
                <w:bCs w:val="1"/>
                <w:color w:val="auto"/>
              </w:rPr>
              <w:t>1HQ, UK</w:t>
            </w: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0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21"/>
                <w:szCs w:val="21"/>
                <w:b w:val="1"/>
                <w:bCs w:val="1"/>
                <w:color w:val="auto"/>
              </w:rPr>
              <w:t>Centenary</w:t>
            </w:r>
          </w:p>
        </w:tc>
        <w:tc>
          <w:tcPr>
            <w:tcW w:w="820" w:type="dxa"/>
            <w:vAlign w:val="bottom"/>
            <w:tcBorders>
              <w:right w:val="single" w:sz="8" w:color="auto"/>
            </w:tcBorders>
            <w:gridSpan w:val="5"/>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Square,</w:t>
            </w:r>
          </w:p>
        </w:tc>
        <w:tc>
          <w:tcPr>
            <w:tcW w:w="20" w:type="dxa"/>
            <w:vAlign w:val="bottom"/>
          </w:tcPr>
          <w:p>
            <w:pPr>
              <w:spacing w:after="0"/>
              <w:rPr>
                <w:sz w:val="16"/>
                <w:szCs w:val="16"/>
                <w:color w:val="auto"/>
              </w:rPr>
            </w:pPr>
          </w:p>
        </w:tc>
        <w:tc>
          <w:tcPr>
            <w:tcW w:w="1080" w:type="dxa"/>
            <w:vAlign w:val="bottom"/>
            <w:gridSpan w:val="4"/>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w:t>
            </w:r>
          </w:p>
        </w:tc>
        <w:tc>
          <w:tcPr>
            <w:tcW w:w="90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98"/>
              </w:rPr>
              <w:t>Limited</w:t>
            </w:r>
          </w:p>
        </w:tc>
        <w:tc>
          <w:tcPr>
            <w:tcW w:w="1400" w:type="dxa"/>
            <w:vAlign w:val="bottom"/>
            <w:gridSpan w:val="5"/>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w w:val="96"/>
              </w:rPr>
              <w:t>GBP Operating</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4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rPr>
              <w:t>Birmingham,</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B1</w:t>
            </w:r>
          </w:p>
        </w:tc>
        <w:tc>
          <w:tcPr>
            <w:tcW w:w="20" w:type="dxa"/>
            <w:vAlign w:val="bottom"/>
          </w:tcPr>
          <w:p>
            <w:pPr>
              <w:spacing w:after="0"/>
              <w:rPr>
                <w:sz w:val="17"/>
                <w:szCs w:val="17"/>
                <w:color w:val="auto"/>
              </w:rPr>
            </w:pPr>
          </w:p>
        </w:tc>
        <w:tc>
          <w:tcPr>
            <w:tcW w:w="1080" w:type="dxa"/>
            <w:vAlign w:val="bottom"/>
            <w:gridSpan w:val="4"/>
          </w:tcPr>
          <w:p>
            <w:pPr>
              <w:spacing w:after="0" w:line="207" w:lineRule="exact"/>
              <w:rPr>
                <w:sz w:val="20"/>
                <w:szCs w:val="20"/>
                <w:color w:val="auto"/>
              </w:rPr>
            </w:pPr>
            <w:r>
              <w:rPr>
                <w:rFonts w:ascii="Times New Roman" w:cs="Times New Roman" w:eastAsia="Times New Roman" w:hAnsi="Times New Roman"/>
                <w:sz w:val="21"/>
                <w:szCs w:val="21"/>
                <w:b w:val="1"/>
                <w:bCs w:val="1"/>
                <w:color w:val="auto"/>
              </w:rPr>
              <w:t>(UK)</w:t>
            </w:r>
          </w:p>
        </w:tc>
        <w:tc>
          <w:tcPr>
            <w:tcW w:w="9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1"/>
                <w:szCs w:val="21"/>
                <w:b w:val="1"/>
                <w:bCs w:val="1"/>
                <w:color w:val="auto"/>
              </w:rPr>
              <w:t>1HQ, UK</w:t>
            </w: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186"/>
        </w:trPr>
        <w:tc>
          <w:tcPr>
            <w:tcW w:w="1020" w:type="dxa"/>
            <w:vAlign w:val="bottom"/>
            <w:tcBorders>
              <w:left w:val="single" w:sz="8" w:color="auto"/>
            </w:tcBorders>
            <w:gridSpan w:val="2"/>
          </w:tcPr>
          <w:p>
            <w:pPr>
              <w:ind w:left="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1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1</w:t>
            </w:r>
          </w:p>
        </w:tc>
        <w:tc>
          <w:tcPr>
            <w:tcW w:w="1080" w:type="dxa"/>
            <w:vAlign w:val="bottom"/>
            <w:gridSpan w:val="2"/>
          </w:tcPr>
          <w:p>
            <w:pPr>
              <w:ind w:left="80"/>
              <w:spacing w:after="0" w:line="187" w:lineRule="exact"/>
              <w:rPr>
                <w:sz w:val="20"/>
                <w:szCs w:val="20"/>
                <w:color w:val="auto"/>
              </w:rPr>
            </w:pPr>
            <w:r>
              <w:rPr>
                <w:rFonts w:ascii="Times New Roman" w:cs="Times New Roman" w:eastAsia="Times New Roman" w:hAnsi="Times New Roman"/>
                <w:sz w:val="21"/>
                <w:szCs w:val="21"/>
                <w:b w:val="1"/>
                <w:bCs w:val="1"/>
                <w:color w:val="auto"/>
              </w:rPr>
              <w:t>Centenary</w:t>
            </w:r>
          </w:p>
        </w:tc>
        <w:tc>
          <w:tcPr>
            <w:tcW w:w="820" w:type="dxa"/>
            <w:vAlign w:val="bottom"/>
            <w:tcBorders>
              <w:right w:val="single" w:sz="8" w:color="auto"/>
            </w:tcBorders>
            <w:gridSpan w:val="5"/>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Square,</w:t>
            </w:r>
          </w:p>
        </w:tc>
        <w:tc>
          <w:tcPr>
            <w:tcW w:w="20" w:type="dxa"/>
            <w:vAlign w:val="bottom"/>
          </w:tcPr>
          <w:p>
            <w:pPr>
              <w:spacing w:after="0"/>
              <w:rPr>
                <w:sz w:val="16"/>
                <w:szCs w:val="16"/>
                <w:color w:val="auto"/>
              </w:rPr>
            </w:pPr>
          </w:p>
        </w:tc>
        <w:tc>
          <w:tcPr>
            <w:tcW w:w="1080" w:type="dxa"/>
            <w:vAlign w:val="bottom"/>
            <w:gridSpan w:val="4"/>
          </w:tcPr>
          <w:p>
            <w:pPr>
              <w:spacing w:after="0" w:line="187" w:lineRule="exact"/>
              <w:rPr>
                <w:sz w:val="20"/>
                <w:szCs w:val="20"/>
                <w:color w:val="auto"/>
              </w:rPr>
            </w:pPr>
            <w:r>
              <w:rPr>
                <w:rFonts w:ascii="Times New Roman" w:cs="Times New Roman" w:eastAsia="Times New Roman" w:hAnsi="Times New Roman"/>
                <w:sz w:val="21"/>
                <w:szCs w:val="21"/>
                <w:b w:val="1"/>
                <w:bCs w:val="1"/>
                <w:color w:val="auto"/>
              </w:rPr>
              <w:t>Replimune</w:t>
            </w:r>
          </w:p>
        </w:tc>
        <w:tc>
          <w:tcPr>
            <w:tcW w:w="90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98"/>
              </w:rPr>
              <w:t>Limited</w:t>
            </w:r>
          </w:p>
        </w:tc>
        <w:tc>
          <w:tcPr>
            <w:tcW w:w="76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rPr>
              <w:t>31-day</w:t>
            </w:r>
          </w:p>
        </w:tc>
        <w:tc>
          <w:tcPr>
            <w:tcW w:w="1040" w:type="dxa"/>
            <w:vAlign w:val="bottom"/>
            <w:gridSpan w:val="4"/>
          </w:tcPr>
          <w:p>
            <w:pPr>
              <w:ind w:left="220"/>
              <w:spacing w:after="0" w:line="187" w:lineRule="exact"/>
              <w:rPr>
                <w:sz w:val="20"/>
                <w:szCs w:val="20"/>
                <w:color w:val="auto"/>
              </w:rPr>
            </w:pPr>
            <w:r>
              <w:rPr>
                <w:rFonts w:ascii="Times New Roman" w:cs="Times New Roman" w:eastAsia="Times New Roman" w:hAnsi="Times New Roman"/>
                <w:sz w:val="21"/>
                <w:szCs w:val="21"/>
                <w:b w:val="1"/>
                <w:bCs w:val="1"/>
                <w:color w:val="auto"/>
              </w:rPr>
              <w:t>Notice</w:t>
            </w:r>
          </w:p>
        </w:tc>
        <w:tc>
          <w:tcPr>
            <w:tcW w:w="620" w:type="dxa"/>
            <w:vAlign w:val="bottom"/>
            <w:tcBorders>
              <w:right w:val="single" w:sz="8" w:color="auto"/>
            </w:tcBorders>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rPr>
              <w:t>USD</w:t>
            </w:r>
          </w:p>
        </w:tc>
      </w:tr>
      <w:tr>
        <w:trPr>
          <w:trHeight w:val="206"/>
        </w:trPr>
        <w:tc>
          <w:tcPr>
            <w:tcW w:w="4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24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rPr>
              <w:t>Birmingham,</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B1</w:t>
            </w:r>
          </w:p>
        </w:tc>
        <w:tc>
          <w:tcPr>
            <w:tcW w:w="20" w:type="dxa"/>
            <w:vAlign w:val="bottom"/>
          </w:tcPr>
          <w:p>
            <w:pPr>
              <w:spacing w:after="0"/>
              <w:rPr>
                <w:sz w:val="17"/>
                <w:szCs w:val="17"/>
                <w:color w:val="auto"/>
              </w:rPr>
            </w:pPr>
          </w:p>
        </w:tc>
        <w:tc>
          <w:tcPr>
            <w:tcW w:w="1080" w:type="dxa"/>
            <w:vAlign w:val="bottom"/>
            <w:gridSpan w:val="4"/>
          </w:tcPr>
          <w:p>
            <w:pPr>
              <w:spacing w:after="0" w:line="207" w:lineRule="exact"/>
              <w:rPr>
                <w:sz w:val="20"/>
                <w:szCs w:val="20"/>
                <w:color w:val="auto"/>
              </w:rPr>
            </w:pPr>
            <w:r>
              <w:rPr>
                <w:rFonts w:ascii="Times New Roman" w:cs="Times New Roman" w:eastAsia="Times New Roman" w:hAnsi="Times New Roman"/>
                <w:sz w:val="21"/>
                <w:szCs w:val="21"/>
                <w:b w:val="1"/>
                <w:bCs w:val="1"/>
                <w:color w:val="auto"/>
              </w:rPr>
              <w:t>(UK)</w:t>
            </w:r>
          </w:p>
        </w:tc>
        <w:tc>
          <w:tcPr>
            <w:tcW w:w="900" w:type="dxa"/>
            <w:vAlign w:val="bottom"/>
            <w:tcBorders>
              <w:right w:val="single" w:sz="8" w:color="auto"/>
            </w:tcBorders>
          </w:tcPr>
          <w:p>
            <w:pPr>
              <w:spacing w:after="0"/>
              <w:rPr>
                <w:sz w:val="17"/>
                <w:szCs w:val="17"/>
                <w:color w:val="auto"/>
              </w:rPr>
            </w:pPr>
          </w:p>
        </w:tc>
        <w:tc>
          <w:tcPr>
            <w:tcW w:w="76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21"/>
                <w:szCs w:val="21"/>
                <w:b w:val="1"/>
                <w:bCs w:val="1"/>
                <w:color w:val="auto"/>
              </w:rPr>
              <w:t>Deposit</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r>
      <w:tr>
        <w:trPr>
          <w:trHeight w:val="271"/>
        </w:trPr>
        <w:tc>
          <w:tcPr>
            <w:tcW w:w="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40" w:type="dxa"/>
            <w:vAlign w:val="bottom"/>
            <w:tcBorders>
              <w:bottom w:val="single" w:sz="8" w:color="auto"/>
              <w:right w:val="single" w:sz="8" w:color="auto"/>
            </w:tcBorders>
          </w:tcPr>
          <w:p>
            <w:pPr>
              <w:spacing w:after="0"/>
              <w:rPr>
                <w:sz w:val="23"/>
                <w:szCs w:val="23"/>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21"/>
                <w:szCs w:val="21"/>
                <w:b w:val="1"/>
                <w:bCs w:val="1"/>
                <w:color w:val="auto"/>
              </w:rPr>
              <w:t>1HQ, UK</w:t>
            </w: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right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571"/>
        </w:trPr>
        <w:tc>
          <w:tcPr>
            <w:tcW w:w="4780" w:type="dxa"/>
            <w:vAlign w:val="bottom"/>
            <w:gridSpan w:val="12"/>
          </w:tcPr>
          <w:p>
            <w:pPr>
              <w:jc w:val="center"/>
              <w:ind w:right="1540"/>
              <w:spacing w:after="0"/>
              <w:rPr>
                <w:sz w:val="20"/>
                <w:szCs w:val="20"/>
                <w:color w:val="auto"/>
              </w:rPr>
            </w:pPr>
            <w:r>
              <w:rPr>
                <w:rFonts w:ascii="Times New Roman" w:cs="Times New Roman" w:eastAsia="Times New Roman" w:hAnsi="Times New Roman"/>
                <w:sz w:val="21"/>
                <w:szCs w:val="21"/>
                <w:color w:val="auto"/>
                <w:w w:val="98"/>
              </w:rPr>
              <w:t>Accounts Holding Investment Property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7"/>
        </w:trPr>
        <w:tc>
          <w:tcPr>
            <w:tcW w:w="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6"/>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Borders>
              <w:right w:val="single" w:sz="8" w:color="auto"/>
            </w:tcBorders>
            <w:gridSpan w:val="2"/>
          </w:tcPr>
          <w:p>
            <w:pPr>
              <w:jc w:val="center"/>
              <w:ind w:right="80"/>
              <w:spacing w:after="0" w:line="186" w:lineRule="exact"/>
              <w:rPr>
                <w:sz w:val="20"/>
                <w:szCs w:val="20"/>
                <w:color w:val="auto"/>
              </w:rPr>
            </w:pPr>
            <w:r>
              <w:rPr>
                <w:rFonts w:ascii="Times New Roman" w:cs="Times New Roman" w:eastAsia="Times New Roman" w:hAnsi="Times New Roman"/>
                <w:sz w:val="19"/>
                <w:szCs w:val="19"/>
                <w:color w:val="auto"/>
                <w:w w:val="99"/>
              </w:rPr>
              <w:t>Account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Borders>
              <w:right w:val="single" w:sz="8" w:color="auto"/>
            </w:tcBorders>
            <w:gridSpan w:val="3"/>
          </w:tcPr>
          <w:p>
            <w:pPr>
              <w:spacing w:after="0" w:line="186" w:lineRule="exact"/>
              <w:rPr>
                <w:sz w:val="20"/>
                <w:szCs w:val="20"/>
                <w:color w:val="auto"/>
              </w:rPr>
            </w:pPr>
            <w:r>
              <w:rPr>
                <w:rFonts w:ascii="Times New Roman" w:cs="Times New Roman" w:eastAsia="Times New Roman" w:hAnsi="Times New Roman"/>
                <w:sz w:val="19"/>
                <w:szCs w:val="19"/>
                <w:color w:val="auto"/>
              </w:rPr>
              <w:t>Identifier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gridSpan w:val="4"/>
          </w:tcPr>
          <w:p>
            <w:pPr>
              <w:spacing w:after="0" w:line="186" w:lineRule="exact"/>
              <w:rPr>
                <w:sz w:val="20"/>
                <w:szCs w:val="20"/>
                <w:color w:val="auto"/>
              </w:rPr>
            </w:pPr>
            <w:r>
              <w:rPr>
                <w:rFonts w:ascii="Times New Roman" w:cs="Times New Roman" w:eastAsia="Times New Roman" w:hAnsi="Times New Roman"/>
                <w:sz w:val="19"/>
                <w:szCs w:val="19"/>
                <w:color w:val="auto"/>
              </w:rPr>
              <w:t>Description</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80" w:type="dxa"/>
            <w:vAlign w:val="bottom"/>
            <w:gridSpan w:val="7"/>
          </w:tcPr>
          <w:p>
            <w:pPr>
              <w:jc w:val="center"/>
              <w:ind w:right="400"/>
              <w:spacing w:after="0" w:line="186" w:lineRule="exact"/>
              <w:rPr>
                <w:sz w:val="20"/>
                <w:szCs w:val="20"/>
                <w:color w:val="auto"/>
              </w:rPr>
            </w:pPr>
            <w:r>
              <w:rPr>
                <w:rFonts w:ascii="Times New Roman" w:cs="Times New Roman" w:eastAsia="Times New Roman" w:hAnsi="Times New Roman"/>
                <w:sz w:val="19"/>
                <w:szCs w:val="19"/>
                <w:color w:val="auto"/>
                <w:w w:val="98"/>
              </w:rPr>
              <w:t>Company/Subsidiary</w:t>
            </w:r>
          </w:p>
        </w:tc>
        <w:tc>
          <w:tcPr>
            <w:tcW w:w="4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2"/>
        </w:trPr>
        <w:tc>
          <w:tcPr>
            <w:tcW w:w="40" w:type="dxa"/>
            <w:vAlign w:val="bottom"/>
            <w:tcBorders>
              <w:left w:val="single" w:sz="8" w:color="auto"/>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74"/>
        </w:trPr>
        <w:tc>
          <w:tcPr>
            <w:tcW w:w="1920" w:type="dxa"/>
            <w:vAlign w:val="bottom"/>
            <w:tcBorders>
              <w:left w:val="single" w:sz="8" w:color="auto"/>
            </w:tcBorders>
            <w:gridSpan w:val="4"/>
          </w:tcPr>
          <w:p>
            <w:pPr>
              <w:ind w:left="1320"/>
              <w:spacing w:after="0" w:line="175"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4"/>
          </w:tcPr>
          <w:p>
            <w:pPr>
              <w:ind w:left="1140"/>
              <w:spacing w:after="0" w:line="175"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right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right w:val="single" w:sz="8" w:color="auto"/>
            </w:tcBorders>
            <w:gridSpan w:val="4"/>
          </w:tcPr>
          <w:p>
            <w:pPr>
              <w:jc w:val="center"/>
              <w:spacing w:after="0" w:line="174" w:lineRule="exact"/>
              <w:rPr>
                <w:sz w:val="20"/>
                <w:szCs w:val="20"/>
                <w:color w:val="auto"/>
              </w:rPr>
            </w:pPr>
            <w:r>
              <w:rPr>
                <w:rFonts w:ascii="Times New Roman" w:cs="Times New Roman" w:eastAsia="Times New Roman" w:hAnsi="Times New Roman"/>
                <w:sz w:val="19"/>
                <w:szCs w:val="19"/>
                <w:b w:val="1"/>
                <w:bCs w:val="1"/>
                <w:color w:val="auto"/>
                <w:w w:val="99"/>
              </w:rPr>
              <w:t>Investments</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80" w:type="dxa"/>
            <w:vAlign w:val="bottom"/>
            <w:gridSpan w:val="7"/>
          </w:tcPr>
          <w:p>
            <w:pPr>
              <w:ind w:left="40"/>
              <w:spacing w:after="0" w:line="174" w:lineRule="exact"/>
              <w:rPr>
                <w:sz w:val="20"/>
                <w:szCs w:val="20"/>
                <w:color w:val="auto"/>
              </w:rPr>
            </w:pPr>
            <w:r>
              <w:rPr>
                <w:rFonts w:ascii="Times New Roman" w:cs="Times New Roman" w:eastAsia="Times New Roman" w:hAnsi="Times New Roman"/>
                <w:sz w:val="19"/>
                <w:szCs w:val="19"/>
                <w:b w:val="1"/>
                <w:bCs w:val="1"/>
                <w:color w:val="auto"/>
              </w:rPr>
              <w:t>Replimune Securities</w:t>
            </w:r>
          </w:p>
        </w:tc>
        <w:tc>
          <w:tcPr>
            <w:tcW w:w="4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9"/>
                <w:szCs w:val="19"/>
                <w:b w:val="1"/>
                <w:bCs w:val="1"/>
                <w:color w:val="auto"/>
              </w:rPr>
              <w:t>Corporation</w:t>
            </w:r>
          </w:p>
        </w:tc>
        <w:tc>
          <w:tcPr>
            <w:tcW w:w="9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60"/>
          </w:cols>
          <w:pgMar w:left="320" w:top="1361" w:right="319" w:bottom="1440" w:gutter="0" w:footer="0" w:header="0"/>
        </w:sectPr>
      </w:pPr>
    </w:p>
    <w:bookmarkStart w:id="194" w:name="page195"/>
    <w:bookmarkEnd w:id="194"/>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EXHIBIT E</w:t>
      </w: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COMPLIANCE CERTIFICATE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Hercules Capital, Inc. (as “Agent”)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North B Street, Suite 2000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Mateo, CA 94401</w:t>
      </w:r>
    </w:p>
    <w:p>
      <w:pPr>
        <w:spacing w:after="0" w:line="188" w:lineRule="exact"/>
        <w:rPr>
          <w:sz w:val="20"/>
          <w:szCs w:val="20"/>
          <w:color w:val="auto"/>
        </w:rPr>
      </w:pPr>
    </w:p>
    <w:p>
      <w:pPr>
        <w:ind w:right="380" w:firstLine="619"/>
        <w:spacing w:after="0" w:line="251" w:lineRule="auto"/>
        <w:rPr>
          <w:sz w:val="20"/>
          <w:szCs w:val="20"/>
          <w:color w:val="auto"/>
        </w:rPr>
      </w:pPr>
      <w:r>
        <w:rPr>
          <w:rFonts w:ascii="Times New Roman" w:cs="Times New Roman" w:eastAsia="Times New Roman" w:hAnsi="Times New Roman"/>
          <w:sz w:val="21"/>
          <w:szCs w:val="21"/>
          <w:color w:val="auto"/>
        </w:rPr>
        <w:t>Reference is made to that certain Loan and Security Agreement dated October 6, 2022 and the Loan Documents (as defined therein) entered into in connection with such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Replimune Group, Inc., a Delaware corporation (the “Company”), and each other Borrower that is party thereto. All capitalized terms not defined herein shall have the same meaning as defined in the Loan Agreement.</w:t>
      </w:r>
    </w:p>
    <w:p>
      <w:pPr>
        <w:spacing w:after="0" w:line="174" w:lineRule="exact"/>
        <w:rPr>
          <w:sz w:val="20"/>
          <w:szCs w:val="20"/>
          <w:color w:val="auto"/>
        </w:rPr>
      </w:pPr>
    </w:p>
    <w:p>
      <w:pPr>
        <w:jc w:val="both"/>
        <w:ind w:right="220" w:firstLine="619"/>
        <w:spacing w:after="0" w:line="263" w:lineRule="auto"/>
        <w:rPr>
          <w:sz w:val="20"/>
          <w:szCs w:val="20"/>
          <w:color w:val="auto"/>
        </w:rPr>
      </w:pPr>
      <w:r>
        <w:rPr>
          <w:rFonts w:ascii="Times New Roman" w:cs="Times New Roman" w:eastAsia="Times New Roman" w:hAnsi="Times New Roman"/>
          <w:sz w:val="20"/>
          <w:szCs w:val="20"/>
          <w:color w:val="auto"/>
        </w:rPr>
        <w:t>The undersigned is an Officer of the Company, knowledgeable of all Company financial matters, and is authorized to provide certification of information regarding the Company; hereby certifies, in such capacity and not in any individual capacity, that, for the period ending ______________, no fact or condition exists that would (or would, with the passage of time, the giving or notice, or</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both) constitute a Default or an Event of Default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certifies that these are prepared in accordance with GAAP (except for the absence of footnotes with respect to unaudited financial statement and subject to normal year end adjustments) and are consistent from one period to the next except as explained below.</w:t>
      </w:r>
    </w:p>
    <w:p>
      <w:pPr>
        <w:sectPr>
          <w:pgSz w:w="11900" w:h="16838" w:orient="portrait"/>
          <w:cols w:equalWidth="0" w:num="1">
            <w:col w:w="11200"/>
          </w:cols>
          <w:pgMar w:left="320" w:top="1361" w:right="379" w:bottom="1440" w:gutter="0" w:footer="0" w:header="0"/>
        </w:sectPr>
      </w:pPr>
    </w:p>
    <w:p>
      <w:pPr>
        <w:spacing w:after="0" w:line="203" w:lineRule="exact"/>
        <w:rPr>
          <w:sz w:val="20"/>
          <w:szCs w:val="20"/>
          <w:color w:val="auto"/>
        </w:rPr>
      </w:pPr>
    </w:p>
    <w:p>
      <w:pPr>
        <w:ind w:left="20" w:right="920"/>
        <w:spacing w:after="0" w:line="282" w:lineRule="auto"/>
        <w:rPr>
          <w:sz w:val="20"/>
          <w:szCs w:val="20"/>
          <w:color w:val="auto"/>
        </w:rPr>
      </w:pPr>
      <w:r>
        <w:rPr>
          <w:rFonts w:ascii="Times New Roman" w:cs="Times New Roman" w:eastAsia="Times New Roman" w:hAnsi="Times New Roman"/>
          <w:sz w:val="20"/>
          <w:szCs w:val="20"/>
          <w:color w:val="auto"/>
        </w:rPr>
        <w:t>REPORTING REQUIREMENT Interim Financial Statements Interim Financial Statements Audited Financial Statements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REQUIRED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within 30 days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Quarterly within 45 days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FYE within 90 days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CHECK IF ATTACHED</w:t>
      </w:r>
    </w:p>
    <w:p>
      <w:pPr>
        <w:spacing w:after="0" w:line="1050" w:lineRule="exact"/>
        <w:rPr>
          <w:sz w:val="20"/>
          <w:szCs w:val="20"/>
          <w:color w:val="auto"/>
        </w:rPr>
      </w:pPr>
    </w:p>
    <w:p>
      <w:pPr>
        <w:sectPr>
          <w:pgSz w:w="11900" w:h="16838" w:orient="portrait"/>
          <w:cols w:equalWidth="0" w:num="3">
            <w:col w:w="3620" w:space="720"/>
            <w:col w:w="2460" w:space="720"/>
            <w:col w:w="3680"/>
          </w:cols>
          <w:pgMar w:left="320" w:top="1361" w:right="37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OF BORROWER AND ITS SUBSIDIARIES AND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00"/>
          </w:cols>
          <w:pgMar w:left="320" w:top="1361" w:right="379" w:bottom="1440" w:gutter="0" w:footer="0" w:header="0"/>
          <w:type w:val="continuous"/>
        </w:sectPr>
      </w:pPr>
    </w:p>
    <w:bookmarkStart w:id="195" w:name="page196"/>
    <w:bookmarkEnd w:id="195"/>
    <w:p>
      <w:pPr>
        <w:ind w:right="120"/>
        <w:spacing w:after="0" w:line="269" w:lineRule="auto"/>
        <w:rPr>
          <w:sz w:val="20"/>
          <w:szCs w:val="20"/>
          <w:color w:val="auto"/>
        </w:rPr>
      </w:pPr>
      <w:r>
        <w:rPr>
          <w:rFonts w:ascii="Times New Roman" w:cs="Times New Roman" w:eastAsia="Times New Roman" w:hAnsi="Times New Roman"/>
          <w:sz w:val="21"/>
          <w:szCs w:val="21"/>
          <w:color w:val="auto"/>
        </w:rPr>
        <w:t>The undersigned hereby also confirms the below disclosed accounts represent all depository accounts and securities accounts presently open in the name of each Borrower or Borrower Subsidiary/Affiliate, as applicable.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new account that has been opened since delivery of the previous Compliance Certificate is designated below with a “*”.</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Depository</w:t>
            </w:r>
          </w:p>
        </w:tc>
        <w:tc>
          <w:tcPr>
            <w:tcW w:w="196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5"/>
              </w:rPr>
              <w:t>Account Type</w:t>
            </w:r>
          </w:p>
        </w:tc>
        <w:tc>
          <w:tcPr>
            <w:tcW w:w="156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Last Month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Purpose of</w:t>
            </w:r>
          </w:p>
        </w:tc>
        <w:tc>
          <w:tcPr>
            <w:tcW w:w="0" w:type="dxa"/>
            <w:vAlign w:val="bottom"/>
          </w:tcPr>
          <w:p>
            <w:pPr>
              <w:spacing w:after="0"/>
              <w:rPr>
                <w:sz w:val="1"/>
                <w:szCs w:val="1"/>
                <w:color w:val="auto"/>
              </w:rPr>
            </w:pPr>
          </w:p>
        </w:tc>
      </w:tr>
      <w:tr>
        <w:trPr>
          <w:trHeight w:val="206"/>
        </w:trPr>
        <w:tc>
          <w:tcPr>
            <w:tcW w:w="2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960" w:type="dxa"/>
            <w:vAlign w:val="bottom"/>
            <w:vMerge w:val="restart"/>
          </w:tcPr>
          <w:p>
            <w:pPr>
              <w:ind w:left="60"/>
              <w:spacing w:after="0"/>
              <w:rPr>
                <w:sz w:val="20"/>
                <w:szCs w:val="20"/>
                <w:color w:val="auto"/>
              </w:rPr>
            </w:pPr>
            <w:r>
              <w:rPr>
                <w:rFonts w:ascii="Times New Roman" w:cs="Times New Roman" w:eastAsia="Times New Roman" w:hAnsi="Times New Roman"/>
                <w:sz w:val="21"/>
                <w:szCs w:val="21"/>
                <w:b w:val="1"/>
                <w:bCs w:val="1"/>
                <w:color w:val="auto"/>
              </w:rPr>
              <w:t>Financial Institution</w:t>
            </w:r>
          </w:p>
        </w:tc>
        <w:tc>
          <w:tcPr>
            <w:tcW w:w="1780" w:type="dxa"/>
            <w:vAlign w:val="bottom"/>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(Depository/</w:t>
            </w:r>
          </w:p>
        </w:tc>
        <w:tc>
          <w:tcPr>
            <w:tcW w:w="1560" w:type="dxa"/>
            <w:vAlign w:val="bottom"/>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9"/>
              </w:rPr>
              <w:t>Ending Account</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AC #</w:t>
            </w:r>
          </w:p>
        </w:tc>
        <w:tc>
          <w:tcPr>
            <w:tcW w:w="1960" w:type="dxa"/>
            <w:vAlign w:val="bottom"/>
            <w:tcBorders>
              <w:bottom w:val="single" w:sz="8" w:color="auto"/>
            </w:tcBorders>
            <w:vMerge w:val="continue"/>
          </w:tcPr>
          <w:p>
            <w:pPr>
              <w:spacing w:after="0"/>
              <w:rPr>
                <w:sz w:val="23"/>
                <w:szCs w:val="23"/>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Securities)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Balance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Account</w:t>
            </w:r>
          </w:p>
        </w:tc>
        <w:tc>
          <w:tcPr>
            <w:tcW w:w="0" w:type="dxa"/>
            <w:vAlign w:val="bottom"/>
          </w:tcPr>
          <w:p>
            <w:pPr>
              <w:spacing w:after="0"/>
              <w:rPr>
                <w:sz w:val="1"/>
                <w:szCs w:val="1"/>
                <w:color w:val="auto"/>
              </w:rPr>
            </w:pPr>
          </w:p>
        </w:tc>
      </w:tr>
      <w:tr>
        <w:trPr>
          <w:trHeight w:val="186"/>
        </w:trPr>
        <w:tc>
          <w:tcPr>
            <w:tcW w:w="2200" w:type="dxa"/>
            <w:vAlign w:val="bottom"/>
            <w:tcBorders>
              <w:right w:val="single" w:sz="8" w:color="auto"/>
            </w:tcBorders>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rPr>
              <w:t>BORROWER</w:t>
            </w:r>
          </w:p>
        </w:tc>
        <w:tc>
          <w:tcPr>
            <w:tcW w:w="5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2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Name/Address:</w:t>
            </w:r>
          </w:p>
        </w:tc>
        <w:tc>
          <w:tcPr>
            <w:tcW w:w="2480" w:type="dxa"/>
            <w:vAlign w:val="bottom"/>
            <w:tcBorders>
              <w:bottom w:val="single" w:sz="8" w:color="auto"/>
            </w:tcBorders>
            <w:gridSpan w:val="2"/>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200" w:type="dxa"/>
            <w:vAlign w:val="bottom"/>
            <w:tcBorders>
              <w:right w:val="single" w:sz="8" w:color="auto"/>
            </w:tcBorders>
          </w:tcPr>
          <w:p>
            <w:pPr>
              <w:spacing w:after="0"/>
              <w:rPr>
                <w:sz w:val="21"/>
                <w:szCs w:val="21"/>
                <w:color w:val="auto"/>
              </w:rPr>
            </w:pPr>
          </w:p>
        </w:tc>
        <w:tc>
          <w:tcPr>
            <w:tcW w:w="52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21"/>
                <w:szCs w:val="21"/>
                <w:color w:val="auto"/>
                <w:w w:val="94"/>
              </w:rPr>
              <w:t>1</w:t>
            </w:r>
          </w:p>
        </w:tc>
        <w:tc>
          <w:tcPr>
            <w:tcW w:w="196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2</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3</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4</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5</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2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6</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21"/>
                <w:szCs w:val="21"/>
                <w:color w:val="auto"/>
                <w:w w:val="94"/>
              </w:rPr>
              <w:t>7</w:t>
            </w:r>
          </w:p>
        </w:tc>
        <w:tc>
          <w:tcPr>
            <w:tcW w:w="196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-1906905</wp:posOffset>
            </wp:positionV>
            <wp:extent cx="7146925" cy="383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6925" cy="38309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0" w:type="dxa"/>
            <w:vAlign w:val="bottom"/>
            <w:tcBorders>
              <w:top w:val="single" w:sz="8" w:color="auto"/>
            </w:tcBorders>
          </w:tcPr>
          <w:p>
            <w:pPr>
              <w:ind w:left="40"/>
              <w:spacing w:after="0" w:line="207" w:lineRule="exact"/>
              <w:rPr>
                <w:sz w:val="20"/>
                <w:szCs w:val="20"/>
                <w:color w:val="auto"/>
              </w:rPr>
            </w:pPr>
            <w:r>
              <w:rPr>
                <w:rFonts w:ascii="Times New Roman" w:cs="Times New Roman" w:eastAsia="Times New Roman" w:hAnsi="Times New Roman"/>
                <w:sz w:val="21"/>
                <w:szCs w:val="21"/>
                <w:b w:val="1"/>
                <w:bCs w:val="1"/>
                <w:color w:val="auto"/>
              </w:rPr>
              <w:t>SUBSIDIARY</w:t>
            </w:r>
          </w:p>
        </w:tc>
        <w:tc>
          <w:tcPr>
            <w:tcW w:w="800" w:type="dxa"/>
            <w:vAlign w:val="bottom"/>
            <w:tcBorders>
              <w:top w:val="single" w:sz="8" w:color="auto"/>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b w:val="1"/>
                <w:bCs w:val="1"/>
                <w:color w:val="auto"/>
              </w:rPr>
              <w:t>/</w:t>
            </w:r>
          </w:p>
        </w:tc>
        <w:tc>
          <w:tcPr>
            <w:tcW w:w="5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06"/>
        </w:trPr>
        <w:tc>
          <w:tcPr>
            <w:tcW w:w="1400" w:type="dxa"/>
            <w:vAlign w:val="bottom"/>
          </w:tcPr>
          <w:p>
            <w:pPr>
              <w:ind w:left="40"/>
              <w:spacing w:after="0" w:line="207" w:lineRule="exact"/>
              <w:rPr>
                <w:sz w:val="20"/>
                <w:szCs w:val="20"/>
                <w:color w:val="auto"/>
              </w:rPr>
            </w:pPr>
            <w:r>
              <w:rPr>
                <w:rFonts w:ascii="Times New Roman" w:cs="Times New Roman" w:eastAsia="Times New Roman" w:hAnsi="Times New Roman"/>
                <w:sz w:val="21"/>
                <w:szCs w:val="21"/>
                <w:b w:val="1"/>
                <w:bCs w:val="1"/>
                <w:color w:val="auto"/>
              </w:rPr>
              <w:t>AFFILIATE</w:t>
            </w:r>
          </w:p>
        </w:tc>
        <w:tc>
          <w:tcPr>
            <w:tcW w:w="80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71"/>
        </w:trPr>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1"/>
                <w:szCs w:val="21"/>
                <w:b w:val="1"/>
                <w:bCs w:val="1"/>
                <w:color w:val="auto"/>
              </w:rPr>
              <w:t>Name/Address</w:t>
            </w:r>
          </w:p>
        </w:tc>
        <w:tc>
          <w:tcPr>
            <w:tcW w:w="800" w:type="dxa"/>
            <w:vAlign w:val="bottom"/>
            <w:tcBorders>
              <w:bottom w:val="single" w:sz="8" w:color="auto"/>
              <w:right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251"/>
        </w:trPr>
        <w:tc>
          <w:tcPr>
            <w:tcW w:w="140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520" w:type="dxa"/>
            <w:vAlign w:val="bottom"/>
            <w:tcBorders>
              <w:right w:val="single" w:sz="8" w:color="auto"/>
            </w:tcBorders>
          </w:tcPr>
          <w:p>
            <w:pPr>
              <w:jc w:val="right"/>
              <w:ind w:right="297"/>
              <w:spacing w:after="0"/>
              <w:rPr>
                <w:sz w:val="20"/>
                <w:szCs w:val="20"/>
                <w:color w:val="auto"/>
              </w:rPr>
            </w:pPr>
            <w:r>
              <w:rPr>
                <w:rFonts w:ascii="Times New Roman" w:cs="Times New Roman" w:eastAsia="Times New Roman" w:hAnsi="Times New Roman"/>
                <w:sz w:val="21"/>
                <w:szCs w:val="21"/>
                <w:color w:val="auto"/>
                <w:w w:val="94"/>
              </w:rPr>
              <w:t>1</w:t>
            </w:r>
          </w:p>
        </w:tc>
        <w:tc>
          <w:tcPr>
            <w:tcW w:w="196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8"/>
        </w:trPr>
        <w:tc>
          <w:tcPr>
            <w:tcW w:w="14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2</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3</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4</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5</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38"/>
        </w:trPr>
        <w:tc>
          <w:tcPr>
            <w:tcW w:w="14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jc w:val="right"/>
              <w:ind w:right="297"/>
              <w:spacing w:after="0" w:line="238" w:lineRule="exact"/>
              <w:rPr>
                <w:sz w:val="20"/>
                <w:szCs w:val="20"/>
                <w:color w:val="auto"/>
              </w:rPr>
            </w:pPr>
            <w:r>
              <w:rPr>
                <w:rFonts w:ascii="Times New Roman" w:cs="Times New Roman" w:eastAsia="Times New Roman" w:hAnsi="Times New Roman"/>
                <w:sz w:val="21"/>
                <w:szCs w:val="21"/>
                <w:color w:val="auto"/>
                <w:w w:val="94"/>
              </w:rPr>
              <w:t>6</w:t>
            </w:r>
          </w:p>
        </w:tc>
        <w:tc>
          <w:tcPr>
            <w:tcW w:w="196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49"/>
        </w:trPr>
        <w:tc>
          <w:tcPr>
            <w:tcW w:w="140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jc w:val="right"/>
              <w:ind w:right="297"/>
              <w:spacing w:after="0"/>
              <w:rPr>
                <w:sz w:val="20"/>
                <w:szCs w:val="20"/>
                <w:color w:val="auto"/>
              </w:rPr>
            </w:pPr>
            <w:r>
              <w:rPr>
                <w:rFonts w:ascii="Times New Roman" w:cs="Times New Roman" w:eastAsia="Times New Roman" w:hAnsi="Times New Roman"/>
                <w:sz w:val="21"/>
                <w:szCs w:val="21"/>
                <w:color w:val="auto"/>
                <w:w w:val="94"/>
              </w:rPr>
              <w:t>7</w:t>
            </w:r>
          </w:p>
        </w:tc>
        <w:tc>
          <w:tcPr>
            <w:tcW w:w="196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9"/>
        </w:trPr>
        <w:tc>
          <w:tcPr>
            <w:tcW w:w="1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558"/>
        </w:trPr>
        <w:tc>
          <w:tcPr>
            <w:tcW w:w="1126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FINANCIAL COVENANTS</w:t>
            </w:r>
          </w:p>
        </w:tc>
      </w:tr>
      <w:tr>
        <w:trPr>
          <w:trHeight w:val="928"/>
        </w:trPr>
        <w:tc>
          <w:tcPr>
            <w:tcW w:w="1400" w:type="dxa"/>
            <w:vAlign w:val="bottom"/>
          </w:tcPr>
          <w:p>
            <w:pPr>
              <w:spacing w:after="0"/>
              <w:rPr>
                <w:sz w:val="24"/>
                <w:szCs w:val="24"/>
                <w:color w:val="auto"/>
              </w:rPr>
            </w:pPr>
          </w:p>
        </w:tc>
        <w:tc>
          <w:tcPr>
            <w:tcW w:w="9860" w:type="dxa"/>
            <w:vAlign w:val="bottom"/>
            <w:gridSpan w:val="7"/>
          </w:tcPr>
          <w:p>
            <w:pPr>
              <w:jc w:val="center"/>
              <w:ind w:right="8440"/>
              <w:spacing w:after="0"/>
              <w:rPr>
                <w:sz w:val="20"/>
                <w:szCs w:val="20"/>
                <w:color w:val="auto"/>
              </w:rPr>
            </w:pPr>
            <w:r>
              <w:rPr>
                <w:rFonts w:ascii="Times New Roman" w:cs="Times New Roman" w:eastAsia="Times New Roman" w:hAnsi="Times New Roman"/>
                <w:sz w:val="21"/>
                <w:szCs w:val="21"/>
                <w:color w:val="auto"/>
                <w:w w:val="98"/>
              </w:rPr>
              <w:t>MF-365935886</w:t>
            </w:r>
          </w:p>
        </w:tc>
      </w:tr>
    </w:tbl>
    <w:p>
      <w:pPr>
        <w:sectPr>
          <w:pgSz w:w="11900" w:h="16838" w:orient="portrait"/>
          <w:cols w:equalWidth="0" w:num="1">
            <w:col w:w="11260"/>
          </w:cols>
          <w:pgMar w:left="320" w:top="1365" w:right="319" w:bottom="1440" w:gutter="0" w:footer="0" w:header="0"/>
        </w:sectPr>
      </w:pPr>
    </w:p>
    <w:bookmarkStart w:id="196" w:name="page197"/>
    <w:bookmarkEnd w:id="1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284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21"/>
                <w:szCs w:val="21"/>
                <w:b w:val="1"/>
                <w:bCs w:val="1"/>
                <w:color w:val="auto"/>
              </w:rPr>
              <w:t>Financial Covenant</w:t>
            </w:r>
          </w:p>
        </w:tc>
        <w:tc>
          <w:tcPr>
            <w:tcW w:w="280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1"/>
                <w:szCs w:val="21"/>
                <w:b w:val="1"/>
                <w:bCs w:val="1"/>
                <w:color w:val="auto"/>
              </w:rPr>
              <w:t>Required Level</w:t>
            </w:r>
          </w:p>
        </w:tc>
        <w:tc>
          <w:tcPr>
            <w:tcW w:w="282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1"/>
                <w:szCs w:val="21"/>
                <w:b w:val="1"/>
                <w:bCs w:val="1"/>
                <w:color w:val="auto"/>
              </w:rPr>
              <w:t>Actual Level</w:t>
            </w:r>
          </w:p>
        </w:tc>
        <w:tc>
          <w:tcPr>
            <w:tcW w:w="2800" w:type="dxa"/>
            <w:vAlign w:val="bottom"/>
            <w:tcBorders>
              <w:top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1"/>
                <w:szCs w:val="21"/>
                <w:b w:val="1"/>
                <w:bCs w:val="1"/>
                <w:color w:val="auto"/>
              </w:rPr>
              <w:t>In Compliance? (Y/N)</w:t>
            </w:r>
          </w:p>
        </w:tc>
      </w:tr>
      <w:tr>
        <w:trPr>
          <w:trHeight w:val="187"/>
        </w:trPr>
        <w:tc>
          <w:tcPr>
            <w:tcW w:w="2840" w:type="dxa"/>
            <w:vAlign w:val="bottom"/>
            <w:tcBorders>
              <w:left w:val="single" w:sz="8" w:color="auto"/>
              <w:right w:val="single" w:sz="8" w:color="auto"/>
            </w:tcBorders>
          </w:tcPr>
          <w:p>
            <w:pPr>
              <w:ind w:left="700"/>
              <w:spacing w:after="0" w:line="187" w:lineRule="exact"/>
              <w:rPr>
                <w:sz w:val="20"/>
                <w:szCs w:val="20"/>
                <w:color w:val="auto"/>
              </w:rPr>
            </w:pPr>
            <w:r>
              <w:rPr>
                <w:rFonts w:ascii="Times New Roman" w:cs="Times New Roman" w:eastAsia="Times New Roman" w:hAnsi="Times New Roman"/>
                <w:sz w:val="21"/>
                <w:szCs w:val="21"/>
                <w:color w:val="auto"/>
              </w:rPr>
              <w:t>Minimum Unrestricted</w:t>
            </w:r>
          </w:p>
        </w:tc>
        <w:tc>
          <w:tcPr>
            <w:tcW w:w="2800" w:type="dxa"/>
            <w:vAlign w:val="bottom"/>
            <w:tcBorders>
              <w:right w:val="single" w:sz="8" w:color="auto"/>
            </w:tcBorders>
          </w:tcPr>
          <w:p>
            <w:pPr>
              <w:ind w:left="680"/>
              <w:spacing w:after="0" w:line="187" w:lineRule="exact"/>
              <w:rPr>
                <w:sz w:val="20"/>
                <w:szCs w:val="20"/>
                <w:color w:val="auto"/>
              </w:rPr>
            </w:pPr>
            <w:r>
              <w:rPr>
                <w:rFonts w:ascii="Times New Roman" w:cs="Times New Roman" w:eastAsia="Times New Roman" w:hAnsi="Times New Roman"/>
                <w:sz w:val="21"/>
                <w:szCs w:val="21"/>
                <w:color w:val="auto"/>
              </w:rPr>
              <w:t>[_________]</w:t>
            </w:r>
          </w:p>
        </w:tc>
        <w:tc>
          <w:tcPr>
            <w:tcW w:w="2820" w:type="dxa"/>
            <w:vAlign w:val="bottom"/>
            <w:tcBorders>
              <w:right w:val="single" w:sz="8" w:color="auto"/>
            </w:tcBorders>
          </w:tcPr>
          <w:p>
            <w:pPr>
              <w:ind w:left="680"/>
              <w:spacing w:after="0" w:line="187" w:lineRule="exact"/>
              <w:rPr>
                <w:sz w:val="20"/>
                <w:szCs w:val="20"/>
                <w:color w:val="auto"/>
              </w:rPr>
            </w:pPr>
            <w:r>
              <w:rPr>
                <w:rFonts w:ascii="Times New Roman" w:cs="Times New Roman" w:eastAsia="Times New Roman" w:hAnsi="Times New Roman"/>
                <w:sz w:val="21"/>
                <w:szCs w:val="21"/>
                <w:color w:val="auto"/>
              </w:rPr>
              <w:t>$_____________</w:t>
            </w:r>
          </w:p>
        </w:tc>
        <w:tc>
          <w:tcPr>
            <w:tcW w:w="2800" w:type="dxa"/>
            <w:vAlign w:val="bottom"/>
            <w:tcBorders>
              <w:right w:val="single" w:sz="8" w:color="auto"/>
            </w:tcBorders>
          </w:tcPr>
          <w:p>
            <w:pPr>
              <w:spacing w:after="0"/>
              <w:rPr>
                <w:sz w:val="16"/>
                <w:szCs w:val="16"/>
                <w:color w:val="auto"/>
              </w:rPr>
            </w:pPr>
          </w:p>
        </w:tc>
      </w:tr>
      <w:tr>
        <w:trPr>
          <w:trHeight w:val="269"/>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Cash Covenant</w:t>
            </w:r>
          </w:p>
        </w:tc>
        <w:tc>
          <w:tcPr>
            <w:tcW w:w="2800" w:type="dxa"/>
            <w:vAlign w:val="bottom"/>
            <w:tcBorders>
              <w:bottom w:val="single" w:sz="8" w:color="auto"/>
              <w:right w:val="single" w:sz="8" w:color="auto"/>
            </w:tcBorders>
          </w:tcPr>
          <w:p>
            <w:pPr>
              <w:spacing w:after="0"/>
              <w:rPr>
                <w:sz w:val="23"/>
                <w:szCs w:val="23"/>
                <w:color w:val="auto"/>
              </w:rPr>
            </w:pPr>
          </w:p>
        </w:tc>
        <w:tc>
          <w:tcPr>
            <w:tcW w:w="282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r>
      <w:tr>
        <w:trPr>
          <w:trHeight w:val="188"/>
        </w:trPr>
        <w:tc>
          <w:tcPr>
            <w:tcW w:w="2840" w:type="dxa"/>
            <w:vAlign w:val="bottom"/>
            <w:tcBorders>
              <w:left w:val="single" w:sz="8" w:color="auto"/>
              <w:right w:val="single" w:sz="8" w:color="auto"/>
            </w:tcBorders>
          </w:tcPr>
          <w:p>
            <w:pPr>
              <w:ind w:left="700"/>
              <w:spacing w:after="0" w:line="188" w:lineRule="exact"/>
              <w:rPr>
                <w:sz w:val="20"/>
                <w:szCs w:val="20"/>
                <w:color w:val="auto"/>
              </w:rPr>
            </w:pPr>
            <w:r>
              <w:rPr>
                <w:rFonts w:ascii="Times New Roman" w:cs="Times New Roman" w:eastAsia="Times New Roman" w:hAnsi="Times New Roman"/>
                <w:sz w:val="21"/>
                <w:szCs w:val="21"/>
                <w:color w:val="auto"/>
                <w:w w:val="99"/>
              </w:rPr>
              <w:t>Conditional Performance</w:t>
            </w:r>
          </w:p>
        </w:tc>
        <w:tc>
          <w:tcPr>
            <w:tcW w:w="2800" w:type="dxa"/>
            <w:vAlign w:val="bottom"/>
            <w:tcBorders>
              <w:right w:val="single" w:sz="8" w:color="auto"/>
            </w:tcBorders>
          </w:tcPr>
          <w:p>
            <w:pPr>
              <w:jc w:val="right"/>
              <w:ind w:right="897"/>
              <w:spacing w:after="0" w:line="188" w:lineRule="exact"/>
              <w:rPr>
                <w:sz w:val="20"/>
                <w:szCs w:val="20"/>
                <w:color w:val="auto"/>
              </w:rPr>
            </w:pPr>
            <w:r>
              <w:rPr>
                <w:rFonts w:ascii="Times New Roman" w:cs="Times New Roman" w:eastAsia="Times New Roman" w:hAnsi="Times New Roman"/>
                <w:sz w:val="21"/>
                <w:szCs w:val="21"/>
                <w:color w:val="auto"/>
              </w:rPr>
              <w:t>[__________]</w:t>
            </w:r>
          </w:p>
        </w:tc>
        <w:tc>
          <w:tcPr>
            <w:tcW w:w="282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r>
      <w:tr>
        <w:trPr>
          <w:trHeight w:val="30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Covenant</w:t>
            </w:r>
          </w:p>
        </w:tc>
        <w:tc>
          <w:tcPr>
            <w:tcW w:w="280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jc w:val="right"/>
              <w:ind w:right="2097"/>
              <w:spacing w:after="0"/>
              <w:rPr>
                <w:sz w:val="20"/>
                <w:szCs w:val="20"/>
                <w:color w:val="auto"/>
              </w:rPr>
            </w:pPr>
            <w:r>
              <w:rPr>
                <w:rFonts w:ascii="Times New Roman" w:cs="Times New Roman" w:eastAsia="Times New Roman" w:hAnsi="Times New Roman"/>
                <w:sz w:val="21"/>
                <w:szCs w:val="21"/>
                <w:color w:val="auto"/>
              </w:rPr>
              <w:t>[____]</w:t>
            </w:r>
          </w:p>
        </w:tc>
        <w:tc>
          <w:tcPr>
            <w:tcW w:w="2800" w:type="dxa"/>
            <w:vAlign w:val="bottom"/>
            <w:tcBorders>
              <w:right w:val="single" w:sz="8" w:color="auto"/>
            </w:tcBorders>
          </w:tcPr>
          <w:p>
            <w:pPr>
              <w:spacing w:after="0"/>
              <w:rPr>
                <w:sz w:val="24"/>
                <w:szCs w:val="24"/>
                <w:color w:val="auto"/>
              </w:rPr>
            </w:pPr>
          </w:p>
        </w:tc>
      </w:tr>
      <w:tr>
        <w:trPr>
          <w:trHeight w:val="28"/>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INSURANCE POLICIES OF BORROWER AND ITS SUBSIDIARIES</w:t>
      </w:r>
    </w:p>
    <w:p>
      <w:pPr>
        <w:spacing w:after="0" w:line="23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1"/>
          <w:szCs w:val="21"/>
          <w:color w:val="auto"/>
        </w:rPr>
        <w:t>[The undersigned hereby also confirms that since delivery of the previous Compliance Certificate, neither Borrower nor any of its Subsidiaries has entered into or amended any insurance policy required pursuant to Section 6.1 of the Loan Agreement.]</w:t>
      </w:r>
      <w:r>
        <w:rPr>
          <w:rFonts w:ascii="Times New Roman" w:cs="Times New Roman" w:eastAsia="Times New Roman" w:hAnsi="Times New Roman"/>
          <w:sz w:val="26"/>
          <w:szCs w:val="26"/>
          <w:color w:val="auto"/>
          <w:vertAlign w:val="superscript"/>
        </w:rPr>
        <w:t>1</w:t>
      </w:r>
    </w:p>
    <w:p>
      <w:pPr>
        <w:spacing w:after="0" w:line="8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[Since delivery of the previous Compliance Certificate, Borrower and/or one or more of its Subsidiaries have entered into new, or amended existing, insurance policies required pursuant to Section 6.1 of the Loan Agreement. Attached hereto are copies of such new or amended insurance policies and updated insurance certificates with respect to such policies, as required to be delivered pursuant to Section 6.2 of the Loan Agreement.]</w:t>
      </w:r>
      <w:r>
        <w:rPr>
          <w:rFonts w:ascii="Times New Roman" w:cs="Times New Roman" w:eastAsia="Times New Roman" w:hAnsi="Times New Roman"/>
          <w:sz w:val="26"/>
          <w:szCs w:val="26"/>
          <w:color w:val="auto"/>
          <w:vertAlign w:val="superscript"/>
        </w:rPr>
        <w:t>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[Current Company IP]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Company IP was registered after the Third Amendment Closing Date (if no registrations, state “None”)]</w:t>
      </w:r>
      <w:r>
        <w:rPr>
          <w:rFonts w:ascii="Times New Roman" w:cs="Times New Roman" w:eastAsia="Times New Roman" w:hAnsi="Times New Roman"/>
          <w:sz w:val="26"/>
          <w:szCs w:val="26"/>
          <w:color w:val="auto"/>
          <w:vertAlign w:val="superscript"/>
        </w:rPr>
        <w:t>3</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following claim(s) have been made to Borrower in writing that material part(s) of the Current Company IP infringes or violates the rights of a third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6"/>
          <w:szCs w:val="26"/>
          <w:color w:val="auto"/>
          <w:vertAlign w:val="superscript"/>
        </w:rPr>
        <w:t>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Specified Dispute(s) have been alleged or threatened in writing to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5716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46" w:lineRule="exact"/>
        <w:rPr>
          <w:sz w:val="20"/>
          <w:szCs w:val="20"/>
          <w:color w:val="auto"/>
        </w:rPr>
      </w:pPr>
    </w:p>
    <w:p>
      <w:pPr>
        <w:ind w:right="20" w:firstLine="3"/>
        <w:spacing w:after="0" w:line="223" w:lineRule="auto"/>
        <w:tabs>
          <w:tab w:leader="none" w:pos="147" w:val="left"/>
        </w:tabs>
        <w:numPr>
          <w:ilvl w:val="0"/>
          <w:numId w:val="1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 if neither Borrower nor any of its Subsidiaries has entered into or amended any insurance policies since delivery of the previous Compliance Certificate.</w:t>
      </w:r>
    </w:p>
    <w:p>
      <w:pPr>
        <w:spacing w:after="0" w:line="1" w:lineRule="exact"/>
        <w:rPr>
          <w:rFonts w:ascii="Times New Roman" w:cs="Times New Roman" w:eastAsia="Times New Roman" w:hAnsi="Times New Roman"/>
          <w:sz w:val="25"/>
          <w:szCs w:val="25"/>
          <w:color w:val="auto"/>
          <w:vertAlign w:val="superscript"/>
        </w:rPr>
      </w:pPr>
    </w:p>
    <w:p>
      <w:pPr>
        <w:ind w:right="20"/>
        <w:spacing w:after="0" w:line="21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Include if Borrower or any of its Subsidiaries has entered into or amended any insurance policies since delivery of the previous Compliance Certificate.</w:t>
      </w:r>
    </w:p>
    <w:p>
      <w:pPr>
        <w:ind w:right="20"/>
        <w:spacing w:after="0" w:line="221"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9"/>
          <w:szCs w:val="19"/>
          <w:color w:val="auto"/>
        </w:rPr>
        <w:t xml:space="preserve"> Include such information only in connection with Compliance Certificates delivered for each month-end that also coincides with the end of a fiscal quarter.</w:t>
      </w:r>
    </w:p>
    <w:p>
      <w:pPr>
        <w:spacing w:after="0" w:line="1" w:lineRule="exact"/>
        <w:rPr>
          <w:rFonts w:ascii="Times New Roman" w:cs="Times New Roman" w:eastAsia="Times New Roman" w:hAnsi="Times New Roman"/>
          <w:sz w:val="25"/>
          <w:szCs w:val="25"/>
          <w:color w:val="auto"/>
          <w:vertAlign w:val="superscript"/>
        </w:rPr>
      </w:pPr>
    </w:p>
    <w:p>
      <w:pPr>
        <w:ind w:right="20"/>
        <w:spacing w:after="0" w:line="219"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9"/>
          <w:szCs w:val="19"/>
          <w:color w:val="auto"/>
        </w:rPr>
        <w:t xml:space="preserve"> Include if any claim(s) have been made to any Borrower in writing that any material part of the Current Company IP violates the rights of any third party.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60"/>
          </w:cols>
          <w:pgMar w:left="320" w:top="1383"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6"/>
          <w:szCs w:val="26"/>
          <w:color w:val="auto"/>
          <w:vertAlign w:val="superscript"/>
        </w:rPr>
        <w:t>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EXCLUDED SUBSIDIARIES</w:t>
      </w:r>
    </w:p>
    <w:p>
      <w:pPr>
        <w:spacing w:after="0" w:line="23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21"/>
          <w:szCs w:val="21"/>
          <w:color w:val="auto"/>
        </w:rPr>
        <w:t>The undersigned hereby also confirms the above disclosed accounts represent all cash and cash equivalents held by each Excluded Subsidiary, as applicable.</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Does any single Excluded Subsidiary hold cash and cash equivalents greater than $1,000,000 in the aggregate? ____ Yes (not in</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compliance) ____ No (in compliance)</w:t>
      </w:r>
    </w:p>
    <w:p>
      <w:pPr>
        <w:spacing w:after="0" w:line="18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If yes: Please list such Subsidiaries and indicate whether a Joinder will be provided for such Subsidiary: [ ● ]</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Is the aggregate amount of cash and cash equivalents held by all Excluded Subsidiaries less than or equal to $1,500,000? ____</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Yes (in compliance) ____ No ( not in compliance)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20" w:type="dxa"/>
            <w:vAlign w:val="bottom"/>
          </w:tcPr>
          <w:p>
            <w:pPr>
              <w:spacing w:after="0"/>
              <w:rPr>
                <w:sz w:val="20"/>
                <w:szCs w:val="20"/>
                <w:color w:val="auto"/>
              </w:rPr>
            </w:pPr>
            <w:r>
              <w:rPr>
                <w:rFonts w:ascii="Times New Roman" w:cs="Times New Roman" w:eastAsia="Times New Roman" w:hAnsi="Times New Roman"/>
                <w:sz w:val="21"/>
                <w:szCs w:val="21"/>
                <w:color w:val="auto"/>
              </w:rPr>
              <w:t>[MSC SUBSIDIARY AND MSC INVESTMENT CONDITIONS</w:t>
            </w:r>
          </w:p>
        </w:tc>
        <w:tc>
          <w:tcPr>
            <w:tcW w:w="3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60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Does the MSC Subsidiary have any assets or liabilities?</w:t>
            </w:r>
          </w:p>
        </w:tc>
        <w:tc>
          <w:tcPr>
            <w:tcW w:w="360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____ Yes</w:t>
            </w:r>
          </w:p>
        </w:tc>
        <w:tc>
          <w:tcPr>
            <w:tcW w:w="0" w:type="dxa"/>
            <w:vAlign w:val="bottom"/>
          </w:tcPr>
          <w:p>
            <w:pPr>
              <w:spacing w:after="0"/>
              <w:rPr>
                <w:sz w:val="1"/>
                <w:szCs w:val="1"/>
                <w:color w:val="auto"/>
              </w:rPr>
            </w:pPr>
          </w:p>
        </w:tc>
      </w:tr>
      <w:tr>
        <w:trPr>
          <w:trHeight w:val="258"/>
        </w:trPr>
        <w:tc>
          <w:tcPr>
            <w:tcW w:w="6020" w:type="dxa"/>
            <w:vAlign w:val="bottom"/>
          </w:tcPr>
          <w:p>
            <w:pPr>
              <w:spacing w:after="0"/>
              <w:rPr>
                <w:sz w:val="22"/>
                <w:szCs w:val="22"/>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____ No</w:t>
            </w:r>
          </w:p>
        </w:tc>
        <w:tc>
          <w:tcPr>
            <w:tcW w:w="0" w:type="dxa"/>
            <w:vAlign w:val="bottom"/>
          </w:tcPr>
          <w:p>
            <w:pPr>
              <w:spacing w:after="0"/>
              <w:rPr>
                <w:sz w:val="1"/>
                <w:szCs w:val="1"/>
                <w:color w:val="auto"/>
              </w:rPr>
            </w:pPr>
          </w:p>
        </w:tc>
      </w:tr>
      <w:tr>
        <w:trPr>
          <w:trHeight w:val="206"/>
        </w:trPr>
        <w:tc>
          <w:tcPr>
            <w:tcW w:w="6020" w:type="dxa"/>
            <w:vAlign w:val="bottom"/>
          </w:tcPr>
          <w:p>
            <w:pPr>
              <w:ind w:left="60"/>
              <w:spacing w:after="0" w:line="207" w:lineRule="exact"/>
              <w:rPr>
                <w:sz w:val="20"/>
                <w:szCs w:val="20"/>
                <w:color w:val="auto"/>
              </w:rPr>
            </w:pPr>
            <w:r>
              <w:rPr>
                <w:rFonts w:ascii="Times New Roman" w:cs="Times New Roman" w:eastAsia="Times New Roman" w:hAnsi="Times New Roman"/>
                <w:sz w:val="21"/>
                <w:szCs w:val="21"/>
                <w:color w:val="auto"/>
              </w:rPr>
              <w:t>Is the aggregate amount of the consolidated cash of Borrower and its</w:t>
            </w:r>
          </w:p>
        </w:tc>
        <w:tc>
          <w:tcPr>
            <w:tcW w:w="3600" w:type="dxa"/>
            <w:vAlign w:val="bottom"/>
          </w:tcPr>
          <w:p>
            <w:pPr>
              <w:ind w:left="320"/>
              <w:spacing w:after="0" w:line="207" w:lineRule="exact"/>
              <w:rPr>
                <w:sz w:val="20"/>
                <w:szCs w:val="20"/>
                <w:color w:val="auto"/>
              </w:rPr>
            </w:pPr>
            <w:r>
              <w:rPr>
                <w:rFonts w:ascii="Times New Roman" w:cs="Times New Roman" w:eastAsia="Times New Roman" w:hAnsi="Times New Roman"/>
                <w:sz w:val="21"/>
                <w:szCs w:val="21"/>
                <w:color w:val="auto"/>
                <w:w w:val="96"/>
              </w:rPr>
              <w:t>____ Yes (please complete below chart)</w:t>
            </w:r>
          </w:p>
        </w:tc>
        <w:tc>
          <w:tcPr>
            <w:tcW w:w="0" w:type="dxa"/>
            <w:vAlign w:val="bottom"/>
          </w:tcPr>
          <w:p>
            <w:pPr>
              <w:spacing w:after="0"/>
              <w:rPr>
                <w:sz w:val="1"/>
                <w:szCs w:val="1"/>
                <w:color w:val="auto"/>
              </w:rPr>
            </w:pPr>
          </w:p>
        </w:tc>
      </w:tr>
      <w:tr>
        <w:trPr>
          <w:trHeight w:val="268"/>
        </w:trPr>
        <w:tc>
          <w:tcPr>
            <w:tcW w:w="602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Subsidiaries equal to or less than $150,000,000?</w:t>
            </w:r>
          </w:p>
        </w:tc>
        <w:tc>
          <w:tcPr>
            <w:tcW w:w="360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____ No</w:t>
            </w:r>
          </w:p>
        </w:tc>
        <w:tc>
          <w:tcPr>
            <w:tcW w:w="0" w:type="dxa"/>
            <w:vAlign w:val="bottom"/>
          </w:tcPr>
          <w:p>
            <w:pPr>
              <w:spacing w:after="0"/>
              <w:rPr>
                <w:sz w:val="1"/>
                <w:szCs w:val="1"/>
                <w:color w:val="auto"/>
              </w:rPr>
            </w:pPr>
          </w:p>
        </w:tc>
      </w:tr>
      <w:tr>
        <w:trPr>
          <w:trHeight w:val="258"/>
        </w:trPr>
        <w:tc>
          <w:tcPr>
            <w:tcW w:w="6020" w:type="dxa"/>
            <w:vAlign w:val="bottom"/>
          </w:tcPr>
          <w:p>
            <w:pPr>
              <w:spacing w:after="0"/>
              <w:rPr>
                <w:sz w:val="22"/>
                <w:szCs w:val="22"/>
                <w:color w:val="auto"/>
              </w:rPr>
            </w:pPr>
          </w:p>
        </w:tc>
        <w:tc>
          <w:tcPr>
            <w:tcW w:w="3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476250</wp:posOffset>
            </wp:positionV>
            <wp:extent cx="1571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3"/>
        <w:spacing w:after="0" w:line="219" w:lineRule="auto"/>
        <w:tabs>
          <w:tab w:leader="none" w:pos="129" w:val="left"/>
        </w:tabs>
        <w:numPr>
          <w:ilvl w:val="0"/>
          <w:numId w:val="1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 if any Specified Dispute(s) have been alleged or threatened in writing, in each case challenging the legality, validity, enforceability or ownership of any Current Company IP, in each case that would have a material adverse effect on the Products.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0" w:right="339" w:bottom="1440" w:gutter="0" w:footer="0" w:header="0"/>
        </w:sectPr>
      </w:pPr>
    </w:p>
    <w:bookmarkStart w:id="198" w:name="page199"/>
    <w:bookmarkEnd w:id="198"/>
    <w:p>
      <w:pPr>
        <w:jc w:val="right"/>
        <w:ind w:right="2879"/>
        <w:spacing w:after="0"/>
        <w:rPr>
          <w:sz w:val="20"/>
          <w:szCs w:val="20"/>
          <w:color w:val="auto"/>
        </w:rPr>
      </w:pPr>
      <w:r>
        <w:rPr>
          <w:rFonts w:ascii="Times New Roman" w:cs="Times New Roman" w:eastAsia="Times New Roman" w:hAnsi="Times New Roman"/>
          <w:sz w:val="21"/>
          <w:szCs w:val="21"/>
          <w:b w:val="1"/>
          <w:bCs w:val="1"/>
          <w:color w:val="auto"/>
        </w:rPr>
        <w:t>MSC INVESTMENT CONDITIONS</w:t>
      </w:r>
    </w:p>
    <w:p>
      <w:pPr>
        <w:spacing w:after="0" w:line="240" w:lineRule="exact"/>
        <w:rPr>
          <w:sz w:val="20"/>
          <w:szCs w:val="20"/>
          <w:color w:val="auto"/>
        </w:rPr>
      </w:pPr>
    </w:p>
    <w:p>
      <w:pPr>
        <w:ind w:right="3699"/>
        <w:spacing w:after="0" w:line="235" w:lineRule="auto"/>
        <w:tabs>
          <w:tab w:leader="none" w:pos="29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of Borrower’s cash and cash equivalents held in $[ ● ] accounts subject to an Account Control Agreement:</w:t>
      </w:r>
    </w:p>
    <w:p>
      <w:pPr>
        <w:spacing w:after="0" w:line="1" w:lineRule="exact"/>
        <w:rPr>
          <w:rFonts w:ascii="Times New Roman" w:cs="Times New Roman" w:eastAsia="Times New Roman" w:hAnsi="Times New Roman"/>
          <w:sz w:val="21"/>
          <w:szCs w:val="21"/>
          <w:color w:val="auto"/>
        </w:rPr>
      </w:pPr>
    </w:p>
    <w:p>
      <w:pPr>
        <w:ind w:right="3699"/>
        <w:spacing w:after="0" w:line="222" w:lineRule="auto"/>
        <w:tabs>
          <w:tab w:leader="none" w:pos="316"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of outstanding Secured Obligations (including $[ ● ] any Prepayment Charge and End of Term Charge if outstanding Term Loan Advances were prepaid at this time):</w:t>
      </w:r>
    </w:p>
    <w:p>
      <w:pPr>
        <w:ind w:right="3699"/>
        <w:spacing w:after="0" w:line="230" w:lineRule="auto"/>
        <w:tabs>
          <w:tab w:leader="none" w:pos="321"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of the consolidated Cash of Borrower and its $[ ● ] Subsidiaries (other than Cash held in Excluded Accounts):</w:t>
      </w:r>
    </w:p>
    <w:p>
      <w:pPr>
        <w:sectPr>
          <w:pgSz w:w="11900" w:h="16838" w:orient="portrait"/>
          <w:cols w:equalWidth="0" w:num="1">
            <w:col w:w="10119"/>
          </w:cols>
          <w:pgMar w:left="340" w:top="1361" w:right="1440" w:bottom="1440" w:gutter="0" w:footer="0" w:header="0"/>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 Amount of the lesser of line (2) and line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 ]</w:t>
      </w:r>
    </w:p>
    <w:p>
      <w:pPr>
        <w:spacing w:after="0" w:line="16" w:lineRule="exact"/>
        <w:rPr>
          <w:sz w:val="20"/>
          <w:szCs w:val="20"/>
          <w:color w:val="auto"/>
        </w:rPr>
      </w:pPr>
    </w:p>
    <w:p>
      <w:pPr>
        <w:sectPr>
          <w:pgSz w:w="11900" w:h="16838" w:orient="portrait"/>
          <w:cols w:equalWidth="0" w:num="2">
            <w:col w:w="5220" w:space="720"/>
            <w:col w:w="4179"/>
          </w:cols>
          <w:pgMar w:left="340" w:top="136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Is line (1) equal to or greater than line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_____ Yes (in compliance)</w:t>
      </w:r>
    </w:p>
    <w:p>
      <w:pPr>
        <w:spacing w:after="0" w:line="28" w:lineRule="exact"/>
        <w:rPr>
          <w:sz w:val="20"/>
          <w:szCs w:val="20"/>
          <w:color w:val="auto"/>
        </w:rPr>
      </w:pPr>
    </w:p>
    <w:p>
      <w:pPr>
        <w:sectPr>
          <w:pgSz w:w="11900" w:h="16838" w:orient="portrait"/>
          <w:cols w:equalWidth="0" w:num="2">
            <w:col w:w="5220" w:space="720"/>
            <w:col w:w="4179"/>
          </w:cols>
          <w:pgMar w:left="340" w:top="1361" w:right="1440" w:bottom="1440" w:gutter="0" w:footer="0" w:header="0"/>
          <w:type w:val="continuous"/>
        </w:sectPr>
      </w:pPr>
    </w:p>
    <w:p>
      <w:pPr>
        <w:ind w:left="5940"/>
        <w:spacing w:after="0"/>
        <w:rPr>
          <w:sz w:val="20"/>
          <w:szCs w:val="20"/>
          <w:color w:val="auto"/>
        </w:rPr>
      </w:pPr>
      <w:r>
        <w:rPr>
          <w:rFonts w:ascii="Times New Roman" w:cs="Times New Roman" w:eastAsia="Times New Roman" w:hAnsi="Times New Roman"/>
          <w:sz w:val="20"/>
          <w:szCs w:val="20"/>
          <w:color w:val="auto"/>
        </w:rPr>
        <w:t>_____ No ( not in compliance)]</w:t>
      </w:r>
    </w:p>
    <w:p>
      <w:pPr>
        <w:sectPr>
          <w:pgSz w:w="11900" w:h="16838" w:orient="portrait"/>
          <w:cols w:equalWidth="0" w:num="1">
            <w:col w:w="10119"/>
          </w:cols>
          <w:pgMar w:left="340" w:top="1361" w:right="1440" w:bottom="1440" w:gutter="0" w:footer="0" w:header="0"/>
          <w:type w:val="continuous"/>
        </w:sectPr>
      </w:pPr>
    </w:p>
    <w:p>
      <w:pPr>
        <w:spacing w:after="0" w:line="36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REPLIMUNE GROUP, INC.</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-20320</wp:posOffset>
            </wp:positionV>
            <wp:extent cx="1308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-13970</wp:posOffset>
            </wp:positionV>
            <wp:extent cx="1308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9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2933700</wp:posOffset>
            </wp:positionH>
            <wp:positionV relativeFrom="paragraph">
              <wp:posOffset>-13970</wp:posOffset>
            </wp:positionV>
            <wp:extent cx="1308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19"/>
          </w:cols>
          <w:pgMar w:left="340" w:top="1361" w:right="1440" w:bottom="1440" w:gutter="0" w:footer="0" w:header="0"/>
          <w:type w:val="continuous"/>
        </w:sectPr>
      </w:pPr>
    </w:p>
    <w:bookmarkStart w:id="199" w:name="page200"/>
    <w:bookmarkEnd w:id="199"/>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F</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OF JOINDER AGREEMENT</w:t>
      </w:r>
    </w:p>
    <w:p>
      <w:pPr>
        <w:spacing w:after="0" w:line="214" w:lineRule="exact"/>
        <w:rPr>
          <w:sz w:val="20"/>
          <w:szCs w:val="20"/>
          <w:color w:val="auto"/>
        </w:rPr>
      </w:pPr>
    </w:p>
    <w:p>
      <w:pPr>
        <w:jc w:val="center"/>
        <w:ind w:right="-199"/>
        <w:spacing w:after="0"/>
        <w:tabs>
          <w:tab w:leader="none" w:pos="240" w:val="left"/>
        </w:tabs>
        <w:rPr>
          <w:sz w:val="20"/>
          <w:szCs w:val="20"/>
          <w:color w:val="auto"/>
        </w:rPr>
      </w:pPr>
      <w:r>
        <w:rPr>
          <w:rFonts w:ascii="Times New Roman" w:cs="Times New Roman" w:eastAsia="Times New Roman" w:hAnsi="Times New Roman"/>
          <w:sz w:val="21"/>
          <w:szCs w:val="21"/>
          <w:color w:val="auto"/>
        </w:rPr>
        <w:t>This Joinder Agreement (the “Joinder Agreement”) is made and dated as of [</w:t>
        <w:tab/>
        <w:t>], 20[ ], and is entered into by and between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 a _____________ [corporation] (“Subsidiary”), and HERCULES CAPITAL, INC., a Maryland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“Agent”).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14" w:lineRule="exact"/>
        <w:rPr>
          <w:sz w:val="20"/>
          <w:szCs w:val="20"/>
          <w:color w:val="auto"/>
        </w:rPr>
      </w:pPr>
    </w:p>
    <w:p>
      <w:pPr>
        <w:ind w:right="20" w:firstLine="622"/>
        <w:spacing w:after="0" w:line="256" w:lineRule="auto"/>
        <w:tabs>
          <w:tab w:leader="none" w:pos="102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Subsidiary’s Affiliate, Replimune Group, Inc., a Delaware corporation (“Company”), has entered into that certain Loan and Security Agreement dated October 6, 2022, with the several banks and other financial institutions or entities from time to time party thereto as lender (collectively, the “Lenders”), each other Borrower that is party thereto, and the Agent, as such agreement may be amended (the “Loan Agreement”), together with the other agreements executed and delivered in connection therewith;</w:t>
      </w:r>
    </w:p>
    <w:p>
      <w:pPr>
        <w:spacing w:after="0" w:line="168" w:lineRule="exact"/>
        <w:rPr>
          <w:rFonts w:ascii="Times New Roman" w:cs="Times New Roman" w:eastAsia="Times New Roman" w:hAnsi="Times New Roman"/>
          <w:sz w:val="21"/>
          <w:szCs w:val="21"/>
          <w:color w:val="auto"/>
        </w:rPr>
      </w:pPr>
    </w:p>
    <w:p>
      <w:pPr>
        <w:ind w:right="80" w:firstLine="622"/>
        <w:spacing w:after="0" w:line="269" w:lineRule="auto"/>
        <w:tabs>
          <w:tab w:leader="none" w:pos="1014"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acknowledges and agrees that it will benefit both directly and indirectly from Company’s execution of the Loan Agreement and the other agreements executed and delivered in connection therewith;</w:t>
      </w:r>
    </w:p>
    <w:p>
      <w:pPr>
        <w:spacing w:after="0" w:line="15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Subsidiary and Agent agree as follows:</w:t>
      </w:r>
    </w:p>
    <w:p>
      <w:pPr>
        <w:spacing w:after="0" w:line="223" w:lineRule="exact"/>
        <w:rPr>
          <w:sz w:val="20"/>
          <w:szCs w:val="20"/>
          <w:color w:val="auto"/>
        </w:rPr>
      </w:pPr>
    </w:p>
    <w:p>
      <w:pPr>
        <w:ind w:left="620" w:right="340" w:hanging="617"/>
        <w:spacing w:after="0" w:line="269" w:lineRule="auto"/>
        <w:tabs>
          <w:tab w:leader="none" w:pos="358"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recitals set forth above are incorporated into and made part of this Joinder Agreement. Capitalized terms not defined herein shall have the meaning provided in the Loan Agreement.</w:t>
      </w:r>
    </w:p>
    <w:p>
      <w:pPr>
        <w:spacing w:after="0" w:line="154" w:lineRule="exact"/>
        <w:rPr>
          <w:rFonts w:ascii="Times New Roman" w:cs="Times New Roman" w:eastAsia="Times New Roman" w:hAnsi="Times New Roman"/>
          <w:sz w:val="21"/>
          <w:szCs w:val="21"/>
          <w:color w:val="auto"/>
        </w:rPr>
      </w:pPr>
    </w:p>
    <w:p>
      <w:pPr>
        <w:ind w:left="620" w:hanging="617"/>
        <w:spacing w:after="0" w:line="262" w:lineRule="auto"/>
        <w:tabs>
          <w:tab w:leader="none" w:pos="36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this Joinder Agreement, Subsidiary shall be bound by the terms and conditions of the Loan Agreement the same as if it were a Borrower (as defined in the Loan Agreement) under the Loan Agreement, mutatis mutandis, provided however, that (a) with respect to (i) Section 5.1 of the Loan Agreement, Subsidiary represents that it is an entity duly 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440" w:right="339" w:bottom="1440" w:gutter="0" w:footer="0" w:header="0"/>
        </w:sectPr>
      </w:pPr>
    </w:p>
    <w:bookmarkStart w:id="200" w:name="page201"/>
    <w:bookmarkEnd w:id="200"/>
    <w:p>
      <w:pPr>
        <w:ind w:left="620"/>
        <w:spacing w:after="0" w:line="256" w:lineRule="auto"/>
        <w:rPr>
          <w:sz w:val="20"/>
          <w:szCs w:val="20"/>
          <w:color w:val="auto"/>
        </w:rPr>
      </w:pPr>
      <w:r>
        <w:rPr>
          <w:rFonts w:ascii="Times New Roman" w:cs="Times New Roman" w:eastAsia="Times New Roman" w:hAnsi="Times New Roman"/>
          <w:sz w:val="21"/>
          <w:szCs w:val="21"/>
          <w:color w:val="auto"/>
        </w:rPr>
        <w:t>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181" w:lineRule="exact"/>
        <w:rPr>
          <w:sz w:val="20"/>
          <w:szCs w:val="20"/>
          <w:color w:val="auto"/>
        </w:rPr>
      </w:pPr>
    </w:p>
    <w:p>
      <w:pPr>
        <w:ind w:left="620" w:right="80" w:hanging="617"/>
        <w:spacing w:after="0" w:line="302" w:lineRule="auto"/>
        <w:tabs>
          <w:tab w:leader="none" w:pos="36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r>
        <w:rPr>
          <w:rFonts w:ascii="Times New Roman" w:cs="Times New Roman" w:eastAsia="Times New Roman" w:hAnsi="Times New Roman"/>
          <w:sz w:val="25"/>
          <w:szCs w:val="25"/>
          <w:color w:val="auto"/>
          <w:vertAlign w:val="superscript"/>
        </w:rPr>
        <w:t>6</w:t>
      </w:r>
    </w:p>
    <w:p>
      <w:pPr>
        <w:spacing w:after="0" w:line="45" w:lineRule="exact"/>
        <w:rPr>
          <w:rFonts w:ascii="Times New Roman" w:cs="Times New Roman" w:eastAsia="Times New Roman" w:hAnsi="Times New Roman"/>
          <w:sz w:val="20"/>
          <w:szCs w:val="20"/>
          <w:color w:val="auto"/>
        </w:rPr>
      </w:pPr>
    </w:p>
    <w:p>
      <w:pPr>
        <w:ind w:left="620" w:right="20" w:hanging="617"/>
        <w:spacing w:after="0" w:line="251" w:lineRule="auto"/>
        <w:tabs>
          <w:tab w:leader="none" w:pos="362"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173" w:lineRule="exact"/>
        <w:rPr>
          <w:rFonts w:ascii="Times New Roman" w:cs="Times New Roman" w:eastAsia="Times New Roman" w:hAnsi="Times New Roman"/>
          <w:sz w:val="21"/>
          <w:szCs w:val="21"/>
          <w:color w:val="auto"/>
        </w:rPr>
      </w:pPr>
    </w:p>
    <w:p>
      <w:pPr>
        <w:ind w:left="620" w:right="220" w:hanging="617"/>
        <w:spacing w:after="0" w:line="256" w:lineRule="auto"/>
        <w:tabs>
          <w:tab w:leader="none" w:pos="35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SUBSIDIARY: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w:t>
      </w:r>
    </w:p>
    <w:p>
      <w:pPr>
        <w:spacing w:after="0" w:line="18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By:</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Name:</w:t>
      </w:r>
    </w:p>
    <w:p>
      <w:pPr>
        <w:spacing w:after="0" w:line="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Title:</w:t>
      </w:r>
    </w:p>
    <w:p>
      <w:pPr>
        <w:spacing w:after="0" w:line="9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Address:</w:t>
      </w:r>
    </w:p>
    <w:p>
      <w:pPr>
        <w:spacing w:after="0" w:line="1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Telephone: __________</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email: ________</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HERCULES CAPITAL, INC.</w:t>
      </w:r>
    </w:p>
    <w:p>
      <w:pPr>
        <w:spacing w:after="0" w:line="22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By: __________________________</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Name: ________________________</w:t>
      </w:r>
    </w:p>
    <w:p>
      <w:pPr>
        <w:spacing w:after="0" w:line="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Title: _________________________</w:t>
      </w:r>
    </w:p>
    <w:p>
      <w:pPr>
        <w:spacing w:after="0" w:line="18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Address:</w:t>
      </w:r>
    </w:p>
    <w:p>
      <w:pPr>
        <w:spacing w:after="0" w:line="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1 North B Street, Suite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15716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81" w:lineRule="exact"/>
        <w:rPr>
          <w:sz w:val="20"/>
          <w:szCs w:val="20"/>
          <w:color w:val="auto"/>
        </w:rPr>
      </w:pPr>
    </w:p>
    <w:p>
      <w:pPr>
        <w:ind w:left="120" w:hanging="117"/>
        <w:spacing w:after="0"/>
        <w:tabs>
          <w:tab w:leader="none" w:pos="120" w:val="left"/>
        </w:tabs>
        <w:numPr>
          <w:ilvl w:val="0"/>
          <w:numId w:val="14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Only include if Subsidiary’s equity interests are not certificated as of the joinder date.</w:t>
      </w:r>
    </w:p>
    <w:p>
      <w:pPr>
        <w:spacing w:after="0" w:line="200" w:lineRule="exact"/>
        <w:rPr>
          <w:rFonts w:ascii="Times New Roman" w:cs="Times New Roman" w:eastAsia="Times New Roman" w:hAnsi="Times New Roman"/>
          <w:sz w:val="25"/>
          <w:szCs w:val="25"/>
          <w:color w:val="auto"/>
          <w:vertAlign w:val="superscript"/>
        </w:rPr>
      </w:pPr>
    </w:p>
    <w:p>
      <w:pPr>
        <w:spacing w:after="0" w:line="200" w:lineRule="exact"/>
        <w:rPr>
          <w:rFonts w:ascii="Times New Roman" w:cs="Times New Roman" w:eastAsia="Times New Roman" w:hAnsi="Times New Roman"/>
          <w:sz w:val="25"/>
          <w:szCs w:val="25"/>
          <w:color w:val="auto"/>
          <w:vertAlign w:val="superscript"/>
        </w:rPr>
      </w:pPr>
    </w:p>
    <w:p>
      <w:pPr>
        <w:spacing w:after="0" w:line="266" w:lineRule="exact"/>
        <w:rPr>
          <w:rFonts w:ascii="Times New Roman" w:cs="Times New Roman" w:eastAsia="Times New Roman" w:hAnsi="Times New Roman"/>
          <w:sz w:val="25"/>
          <w:szCs w:val="25"/>
          <w:color w:val="auto"/>
          <w:vertAlign w:val="superscript"/>
        </w:rPr>
      </w:pPr>
    </w:p>
    <w:p>
      <w:pPr>
        <w:ind w:left="146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1"/>
          <w:szCs w:val="21"/>
          <w:color w:val="auto"/>
        </w:rPr>
        <w:t>MF-365935886</w:t>
      </w:r>
    </w:p>
    <w:p>
      <w:pPr>
        <w:sectPr>
          <w:pgSz w:w="11900" w:h="16838" w:orient="portrait"/>
          <w:cols w:equalWidth="0" w:num="1">
            <w:col w:w="11140"/>
          </w:cols>
          <w:pgMar w:left="320" w:top="1365" w:right="439" w:bottom="1440" w:gutter="0" w:footer="0" w:header="0"/>
        </w:sectPr>
      </w:pPr>
    </w:p>
    <w:bookmarkStart w:id="201" w:name="page202"/>
    <w:bookmarkEnd w:id="201"/>
    <w:p>
      <w:pPr>
        <w:ind w:left="740"/>
        <w:spacing w:after="0"/>
        <w:rPr>
          <w:sz w:val="20"/>
          <w:szCs w:val="20"/>
          <w:color w:val="auto"/>
        </w:rPr>
      </w:pPr>
      <w:r>
        <w:rPr>
          <w:rFonts w:ascii="Times New Roman" w:cs="Times New Roman" w:eastAsia="Times New Roman" w:hAnsi="Times New Roman"/>
          <w:sz w:val="21"/>
          <w:szCs w:val="21"/>
          <w:color w:val="auto"/>
        </w:rPr>
        <w:t>San Mateo, CA 94401</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email: legal@htgc.com</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 xml:space="preserve">Telephone: </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019"/>
          </w:cols>
          <w:pgMar w:left="1440" w:top="1365" w:right="1440" w:bottom="1440" w:gutter="0" w:footer="0" w:header="0"/>
        </w:sectPr>
      </w:pPr>
    </w:p>
    <w:bookmarkStart w:id="202" w:name="page203"/>
    <w:bookmarkEnd w:id="202"/>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ACH DEBIT AUTHORIZATION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[Hercules Capital,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 North B Street, Suite 2000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Mateo, CA 94401</w:t>
      </w:r>
    </w:p>
    <w:p>
      <w:pPr>
        <w:spacing w:after="0" w:line="214" w:lineRule="exact"/>
        <w:rPr>
          <w:sz w:val="20"/>
          <w:szCs w:val="20"/>
          <w:color w:val="auto"/>
        </w:rPr>
      </w:pPr>
    </w:p>
    <w:p>
      <w:pPr>
        <w:ind w:left="620" w:right="140"/>
        <w:spacing w:after="0" w:line="262" w:lineRule="auto"/>
        <w:rPr>
          <w:sz w:val="20"/>
          <w:szCs w:val="20"/>
          <w:color w:val="auto"/>
        </w:rPr>
      </w:pPr>
      <w:r>
        <w:rPr>
          <w:rFonts w:ascii="Times New Roman" w:cs="Times New Roman" w:eastAsia="Times New Roman" w:hAnsi="Times New Roman"/>
          <w:sz w:val="21"/>
          <w:szCs w:val="21"/>
          <w:color w:val="auto"/>
        </w:rPr>
        <w:t>Re: Loan and Security Agreement dated October 6, 2022 (the “Agreement”) by and among Replimune Group, Inc., a Delaware corporation (“Borrower”), and certain of its Subsidiaries party thereto as a borrower, Hercules Capital, Inc., as agent (“Company”), and the lenders party thereto (collectively, the “Lenders”)</w:t>
      </w:r>
    </w:p>
    <w:p>
      <w:pPr>
        <w:spacing w:after="0" w:line="16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1"/>
          <w:szCs w:val="21"/>
          <w:color w:val="auto"/>
        </w:rPr>
        <w:t>In connection with the above referenced Agreement, Borrower hereby authorizes the Company to initiate debit entries for (i) the periodic payments due under the Agreement and (ii) out-of-pocket legal fees and costs incurred by Agent or the Lenders pursuant to Section 11.12 of the Agreement to Borrower’s account indicated below. Borrower authorizes the depository institution named below to debit to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FILED PUBLICLY, ACCOUNT INFO REDACTED FOR SECURITY PURPOSES]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DEPOSITORY NAME</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BRANCH</w:t>
            </w:r>
          </w:p>
        </w:tc>
      </w:tr>
      <w:tr>
        <w:trPr>
          <w:trHeight w:val="2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CITY</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STATE AND ZIP CODE</w:t>
            </w:r>
          </w:p>
        </w:tc>
      </w:tr>
      <w:tr>
        <w:trPr>
          <w:trHeight w:val="251"/>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TRANSIT/ABA NUMBER</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ACCOUNT NUMBER</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authority will remain in full force and effect so long as any amounts are due under the Agreement.</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b w:val="1"/>
          <w:bCs w:val="1"/>
          <w:color w:val="auto"/>
        </w:rPr>
        <w:t>REPLIMUNE GROUP,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-20320</wp:posOffset>
            </wp:positionV>
            <wp:extent cx="1308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-13970</wp:posOffset>
            </wp:positionV>
            <wp:extent cx="1308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-13970</wp:posOffset>
            </wp:positionV>
            <wp:extent cx="1308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60"/>
          </w:cols>
          <w:pgMar w:left="320" w:top="1440" w:right="319" w:bottom="1440" w:gutter="0" w:footer="0" w:header="0"/>
        </w:sectPr>
      </w:pPr>
    </w:p>
    <w:bookmarkStart w:id="203" w:name="page204"/>
    <w:bookmarkEnd w:id="203"/>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H-1</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U.S. TAX COMPLIANCE CERTIFICATE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 Foreign Lenders That Are Not Partnerships For U.S. Federal Income Tax Purposes)</w:t>
      </w:r>
    </w:p>
    <w:p>
      <w:pPr>
        <w:spacing w:after="0" w:line="227" w:lineRule="exact"/>
        <w:rPr>
          <w:sz w:val="20"/>
          <w:szCs w:val="20"/>
          <w:color w:val="auto"/>
        </w:rPr>
      </w:pPr>
    </w:p>
    <w:p>
      <w:pPr>
        <w:ind w:right="340" w:firstLine="619"/>
        <w:spacing w:after="0" w:line="26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October 6, 2022 (as amended, supplemented or otherwise modified from time to time, the “Loan Agreement”) by and among Replimune Group, Inc., a Delaware corporation, and certain of its Subsidiaries party thereto as a borrower (collectively, “Borrower”), the several banks and other financial institutions or entities from time to time parties thereto (collectively, referred to as the “Lenders”), and HERCULES CAPITAL, INC., a Maryland corporation, in its capacity as administrative agent and collateral agent for itself and the Lenders (in such capacity, the “Agent”).</w:t>
      </w:r>
    </w:p>
    <w:p>
      <w:pPr>
        <w:spacing w:after="0" w:line="174"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1"/>
          <w:szCs w:val="21"/>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78"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1"/>
          <w:szCs w:val="21"/>
          <w:color w:val="auto"/>
        </w:rPr>
        <w:t>The undersigned has furnished the Agent and Borrower with a certificate of its non-U.S. Person status on IRS Form W-8BEN or IRS Form W-8BEN-E. By executing this certificate, the undersigned agrees that (1) if the information provided in this certificate changes, the undersigned shall promptly so inform Borrower and the Agent, and (2) the undersigned shall have at all times furnished Borrower and the Agent with a properly completed and currently effective certificate in either the calendar year in which each payment is to be made to the undersigned, or in either of the two calendar years preceding such payments.</w:t>
      </w:r>
    </w:p>
    <w:p>
      <w:pPr>
        <w:spacing w:after="0" w:line="171" w:lineRule="exact"/>
        <w:rPr>
          <w:sz w:val="20"/>
          <w:szCs w:val="20"/>
          <w:color w:val="auto"/>
        </w:rPr>
      </w:pPr>
    </w:p>
    <w:p>
      <w:pPr>
        <w:ind w:firstLine="619"/>
        <w:spacing w:after="0" w:line="282" w:lineRule="auto"/>
        <w:rPr>
          <w:sz w:val="20"/>
          <w:szCs w:val="20"/>
          <w:color w:val="auto"/>
        </w:rPr>
      </w:pPr>
      <w:r>
        <w:rPr>
          <w:rFonts w:ascii="Times New Roman" w:cs="Times New Roman" w:eastAsia="Times New Roman" w:hAnsi="Times New Roman"/>
          <w:sz w:val="21"/>
          <w:szCs w:val="21"/>
          <w:color w:val="auto"/>
        </w:rPr>
        <w:t>Unless otherwise defined herein, terms defined in the Loan Agreement and used herein shall have the meanings given to them in the Loan Agreement.</w:t>
      </w:r>
    </w:p>
    <w:p>
      <w:pPr>
        <w:spacing w:after="0" w:line="167" w:lineRule="exact"/>
        <w:rPr>
          <w:sz w:val="20"/>
          <w:szCs w:val="20"/>
          <w:color w:val="auto"/>
        </w:rPr>
      </w:pPr>
    </w:p>
    <w:p>
      <w:pPr>
        <w:ind w:left="20"/>
        <w:spacing w:after="0"/>
        <w:tabs>
          <w:tab w:leader="none" w:pos="5160" w:val="left"/>
        </w:tabs>
        <w:rPr>
          <w:sz w:val="20"/>
          <w:szCs w:val="20"/>
          <w:color w:val="auto"/>
        </w:rPr>
      </w:pPr>
      <w:r>
        <w:rPr>
          <w:rFonts w:ascii="Times New Roman" w:cs="Times New Roman" w:eastAsia="Times New Roman" w:hAnsi="Times New Roman"/>
          <w:sz w:val="21"/>
          <w:szCs w:val="21"/>
          <w:color w:val="auto"/>
        </w:rPr>
        <w:t>Date: ___________, 20___</w:t>
      </w:r>
      <w:r>
        <w:rPr>
          <w:sz w:val="20"/>
          <w:szCs w:val="20"/>
          <w:color w:val="auto"/>
        </w:rPr>
        <w:tab/>
      </w:r>
      <w:r>
        <w:rPr>
          <w:rFonts w:ascii="Times New Roman" w:cs="Times New Roman" w:eastAsia="Times New Roman" w:hAnsi="Times New Roman"/>
          <w:sz w:val="20"/>
          <w:szCs w:val="20"/>
          <w:color w:val="auto"/>
        </w:rPr>
        <w:t>[NAME OF LENDER]</w:t>
      </w:r>
    </w:p>
    <w:p>
      <w:pPr>
        <w:spacing w:after="0" w:line="26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-13970</wp:posOffset>
            </wp:positionV>
            <wp:extent cx="130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-20320</wp:posOffset>
            </wp:positionV>
            <wp:extent cx="1308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jc w:val="center"/>
        <w:ind w:right="56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-20320</wp:posOffset>
            </wp:positionV>
            <wp:extent cx="1308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MF-365935886</w:t>
      </w:r>
    </w:p>
    <w:p>
      <w:pPr>
        <w:sectPr>
          <w:pgSz w:w="11900" w:h="16838" w:orient="portrait"/>
          <w:cols w:equalWidth="0" w:num="1">
            <w:col w:w="9019"/>
          </w:cols>
          <w:pgMar w:left="1440" w:top="1440" w:right="1440" w:bottom="1440" w:gutter="0" w:footer="0" w:header="0"/>
        </w:sectPr>
      </w:pPr>
    </w:p>
    <w:bookmarkStart w:id="205" w:name="page206"/>
    <w:bookmarkEnd w:id="205"/>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H-2</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U.S. TAX COMPLIANCE CERTIFICATE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 Foreign Participants That Are Not Partnerships For U.S. Federal Income Tax Purposes)</w:t>
      </w:r>
    </w:p>
    <w:p>
      <w:pPr>
        <w:spacing w:after="0" w:line="227" w:lineRule="exact"/>
        <w:rPr>
          <w:sz w:val="20"/>
          <w:szCs w:val="20"/>
          <w:color w:val="auto"/>
        </w:rPr>
      </w:pPr>
    </w:p>
    <w:p>
      <w:pPr>
        <w:ind w:right="340" w:firstLine="619"/>
        <w:spacing w:after="0" w:line="26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October 6, 2022 (as amended, supplemented or otherwise modified from time to time, the “Loan Agreement”) by and among Replimune Group, Inc., a Delaware corporation, and certain of its Subsidiaries party thereto as a borrower (collectively, “Borrower”), the several banks and other financial institutions or entities from time to time parties thereto (collectively, referred to as the “Lenders”), and HERCULES CAPITAL, INC., a Maryland corporation, in its capacity as administrative agent and collateral agent for itself and the Lenders (in such capacity, the “Agent”).</w:t>
      </w:r>
    </w:p>
    <w:p>
      <w:pPr>
        <w:spacing w:after="0" w:line="174" w:lineRule="exact"/>
        <w:rPr>
          <w:sz w:val="20"/>
          <w:szCs w:val="20"/>
          <w:color w:val="auto"/>
        </w:rPr>
      </w:pPr>
    </w:p>
    <w:p>
      <w:pPr>
        <w:jc w:val="both"/>
        <w:ind w:right="160" w:firstLine="619"/>
        <w:spacing w:after="0" w:line="268" w:lineRule="auto"/>
        <w:rPr>
          <w:sz w:val="20"/>
          <w:szCs w:val="20"/>
          <w:color w:val="auto"/>
        </w:rPr>
      </w:pPr>
      <w:r>
        <w:rPr>
          <w:rFonts w:ascii="Times New Roman" w:cs="Times New Roman" w:eastAsia="Times New Roman" w:hAnsi="Times New Roman"/>
          <w:sz w:val="20"/>
          <w:szCs w:val="20"/>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159"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21"/>
          <w:szCs w:val="21"/>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1"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Unless otherwise defined herein, terms defined in the Loan Agreement and used herein shall have the meanings given to them in the Loan Agreement.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3680" w:type="dxa"/>
            <w:vAlign w:val="bottom"/>
          </w:tcPr>
          <w:p>
            <w:pPr>
              <w:spacing w:after="0"/>
              <w:rPr>
                <w:sz w:val="20"/>
                <w:szCs w:val="20"/>
                <w:color w:val="auto"/>
              </w:rPr>
            </w:pPr>
            <w:r>
              <w:rPr>
                <w:rFonts w:ascii="Times New Roman" w:cs="Times New Roman" w:eastAsia="Times New Roman" w:hAnsi="Times New Roman"/>
                <w:sz w:val="21"/>
                <w:szCs w:val="21"/>
                <w:color w:val="auto"/>
              </w:rPr>
              <w:t>Date: ___________, 20___</w:t>
            </w:r>
          </w:p>
        </w:tc>
        <w:tc>
          <w:tcPr>
            <w:tcW w:w="3820" w:type="dxa"/>
            <w:vAlign w:val="bottom"/>
            <w:gridSpan w:val="3"/>
          </w:tcPr>
          <w:p>
            <w:pPr>
              <w:ind w:left="1420"/>
              <w:spacing w:after="0"/>
              <w:rPr>
                <w:sz w:val="20"/>
                <w:szCs w:val="20"/>
                <w:color w:val="auto"/>
              </w:rPr>
            </w:pPr>
            <w:r>
              <w:rPr>
                <w:rFonts w:ascii="Times New Roman" w:cs="Times New Roman" w:eastAsia="Times New Roman" w:hAnsi="Times New Roman"/>
                <w:sz w:val="21"/>
                <w:szCs w:val="21"/>
                <w:color w:val="auto"/>
                <w:w w:val="95"/>
              </w:rPr>
              <w:t>[NAME OF PARTICIPANT]</w:t>
            </w:r>
          </w:p>
        </w:tc>
      </w:tr>
      <w:tr>
        <w:trPr>
          <w:trHeight w:val="219"/>
        </w:trPr>
        <w:tc>
          <w:tcPr>
            <w:tcW w:w="3680" w:type="dxa"/>
            <w:vAlign w:val="bottom"/>
          </w:tcPr>
          <w:p>
            <w:pPr>
              <w:spacing w:after="0"/>
              <w:rPr>
                <w:sz w:val="19"/>
                <w:szCs w:val="19"/>
                <w:color w:val="auto"/>
              </w:rPr>
            </w:pPr>
          </w:p>
        </w:tc>
        <w:tc>
          <w:tcPr>
            <w:tcW w:w="2740" w:type="dxa"/>
            <w:vAlign w:val="bottom"/>
          </w:tcPr>
          <w:p>
            <w:pPr>
              <w:ind w:left="1420"/>
              <w:spacing w:after="0" w:line="219" w:lineRule="exact"/>
              <w:rPr>
                <w:sz w:val="20"/>
                <w:szCs w:val="20"/>
                <w:color w:val="auto"/>
              </w:rPr>
            </w:pPr>
            <w:r>
              <w:rPr>
                <w:rFonts w:ascii="Times New Roman" w:cs="Times New Roman" w:eastAsia="Times New Roman" w:hAnsi="Times New Roman"/>
                <w:sz w:val="21"/>
                <w:szCs w:val="21"/>
                <w:color w:val="auto"/>
              </w:rPr>
              <w:t>By:</w:t>
            </w:r>
          </w:p>
        </w:tc>
        <w:tc>
          <w:tcPr>
            <w:tcW w:w="2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3680" w:type="dxa"/>
            <w:vAlign w:val="bottom"/>
          </w:tcPr>
          <w:p>
            <w:pPr>
              <w:spacing w:after="0"/>
              <w:rPr>
                <w:sz w:val="20"/>
                <w:szCs w:val="20"/>
                <w:color w:val="auto"/>
              </w:rPr>
            </w:pPr>
          </w:p>
        </w:tc>
        <w:tc>
          <w:tcPr>
            <w:tcW w:w="2740" w:type="dxa"/>
            <w:vAlign w:val="bottom"/>
          </w:tcPr>
          <w:p>
            <w:pPr>
              <w:ind w:left="1420"/>
              <w:spacing w:after="0" w:line="238" w:lineRule="exact"/>
              <w:rPr>
                <w:sz w:val="20"/>
                <w:szCs w:val="20"/>
                <w:color w:val="auto"/>
              </w:rPr>
            </w:pPr>
            <w:r>
              <w:rPr>
                <w:rFonts w:ascii="Times New Roman" w:cs="Times New Roman" w:eastAsia="Times New Roman" w:hAnsi="Times New Roman"/>
                <w:sz w:val="21"/>
                <w:szCs w:val="21"/>
                <w:color w:val="auto"/>
              </w:rPr>
              <w:t>Name:</w:t>
            </w:r>
          </w:p>
        </w:tc>
        <w:tc>
          <w:tcPr>
            <w:tcW w:w="2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r>
        <w:trPr>
          <w:trHeight w:val="238"/>
        </w:trPr>
        <w:tc>
          <w:tcPr>
            <w:tcW w:w="3680" w:type="dxa"/>
            <w:vAlign w:val="bottom"/>
          </w:tcPr>
          <w:p>
            <w:pPr>
              <w:spacing w:after="0"/>
              <w:rPr>
                <w:sz w:val="20"/>
                <w:szCs w:val="20"/>
                <w:color w:val="auto"/>
              </w:rPr>
            </w:pPr>
          </w:p>
        </w:tc>
        <w:tc>
          <w:tcPr>
            <w:tcW w:w="2740" w:type="dxa"/>
            <w:vAlign w:val="bottom"/>
          </w:tcPr>
          <w:p>
            <w:pPr>
              <w:ind w:left="1420"/>
              <w:spacing w:after="0" w:line="238" w:lineRule="exact"/>
              <w:rPr>
                <w:sz w:val="20"/>
                <w:szCs w:val="20"/>
                <w:color w:val="auto"/>
              </w:rPr>
            </w:pPr>
            <w:r>
              <w:rPr>
                <w:rFonts w:ascii="Times New Roman" w:cs="Times New Roman" w:eastAsia="Times New Roman" w:hAnsi="Times New Roman"/>
                <w:sz w:val="21"/>
                <w:szCs w:val="21"/>
                <w:color w:val="auto"/>
              </w:rPr>
              <w:t>Title:</w:t>
            </w:r>
          </w:p>
        </w:tc>
        <w:tc>
          <w:tcPr>
            <w:tcW w:w="2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H-3</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U.S. TAX COMPLIANCE CERTIFICATE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 Foreign Participants That Are Partnerships For U.S. Federal Income Tax Purposes)</w:t>
      </w:r>
    </w:p>
    <w:p>
      <w:pPr>
        <w:spacing w:after="0" w:line="227" w:lineRule="exact"/>
        <w:rPr>
          <w:sz w:val="20"/>
          <w:szCs w:val="20"/>
          <w:color w:val="auto"/>
        </w:rPr>
      </w:pPr>
    </w:p>
    <w:p>
      <w:pPr>
        <w:ind w:right="340" w:firstLine="619"/>
        <w:spacing w:after="0" w:line="26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October 6, 2022 (as amended, supplemented or otherwise modified from time to time, the “Loan Agreement”) by and among Replimune Group, Inc., a Delaware corporation, and certain of its Subsidiaries party thereto as a borrower (collectively, “Borrower”), the several banks and other financial institutions or entities from time to time parties thereto (collectively, referred to as the “Lenders”), and HERCULES CAPITAL, INC., a Maryland corporation, in its capacity as administrative agent and collateral agent for itself and the Lenders (in such capacity, the “Agent”).</w:t>
      </w:r>
    </w:p>
    <w:p>
      <w:pPr>
        <w:spacing w:after="0" w:line="174"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1"/>
          <w:szCs w:val="21"/>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80" w:lineRule="exact"/>
        <w:rPr>
          <w:sz w:val="20"/>
          <w:szCs w:val="20"/>
          <w:color w:val="auto"/>
        </w:rPr>
      </w:pPr>
    </w:p>
    <w:p>
      <w:pPr>
        <w:ind w:right="20" w:firstLine="619"/>
        <w:spacing w:after="0" w:line="264" w:lineRule="auto"/>
        <w:rPr>
          <w:sz w:val="20"/>
          <w:szCs w:val="20"/>
          <w:color w:val="auto"/>
        </w:rPr>
      </w:pPr>
      <w:r>
        <w:rPr>
          <w:rFonts w:ascii="Times New Roman" w:cs="Times New Roman" w:eastAsia="Times New Roman" w:hAnsi="Times New Roman"/>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3"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440" w:right="3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58"/>
        </w:trPr>
        <w:tc>
          <w:tcPr>
            <w:tcW w:w="3680" w:type="dxa"/>
            <w:vAlign w:val="bottom"/>
          </w:tcPr>
          <w:p>
            <w:pPr>
              <w:spacing w:after="0"/>
              <w:rPr>
                <w:sz w:val="20"/>
                <w:szCs w:val="20"/>
                <w:color w:val="auto"/>
              </w:rPr>
            </w:pPr>
            <w:r>
              <w:rPr>
                <w:rFonts w:ascii="Times New Roman" w:cs="Times New Roman" w:eastAsia="Times New Roman" w:hAnsi="Times New Roman"/>
                <w:sz w:val="21"/>
                <w:szCs w:val="21"/>
                <w:color w:val="auto"/>
              </w:rPr>
              <w:t>Date: ___________, 20___</w:t>
            </w:r>
          </w:p>
        </w:tc>
        <w:tc>
          <w:tcPr>
            <w:tcW w:w="3820" w:type="dxa"/>
            <w:vAlign w:val="bottom"/>
            <w:gridSpan w:val="3"/>
          </w:tcPr>
          <w:p>
            <w:pPr>
              <w:ind w:left="1420"/>
              <w:spacing w:after="0"/>
              <w:rPr>
                <w:sz w:val="20"/>
                <w:szCs w:val="20"/>
                <w:color w:val="auto"/>
              </w:rPr>
            </w:pPr>
            <w:r>
              <w:rPr>
                <w:rFonts w:ascii="Times New Roman" w:cs="Times New Roman" w:eastAsia="Times New Roman" w:hAnsi="Times New Roman"/>
                <w:sz w:val="21"/>
                <w:szCs w:val="21"/>
                <w:color w:val="auto"/>
                <w:w w:val="95"/>
              </w:rPr>
              <w:t>[NAME OF PARTICIPANT]</w:t>
            </w:r>
          </w:p>
        </w:tc>
      </w:tr>
      <w:tr>
        <w:trPr>
          <w:trHeight w:val="219"/>
        </w:trPr>
        <w:tc>
          <w:tcPr>
            <w:tcW w:w="3680" w:type="dxa"/>
            <w:vAlign w:val="bottom"/>
          </w:tcPr>
          <w:p>
            <w:pPr>
              <w:spacing w:after="0"/>
              <w:rPr>
                <w:sz w:val="19"/>
                <w:szCs w:val="19"/>
                <w:color w:val="auto"/>
              </w:rPr>
            </w:pPr>
          </w:p>
        </w:tc>
        <w:tc>
          <w:tcPr>
            <w:tcW w:w="2740" w:type="dxa"/>
            <w:vAlign w:val="bottom"/>
          </w:tcPr>
          <w:p>
            <w:pPr>
              <w:ind w:left="1420"/>
              <w:spacing w:after="0" w:line="219" w:lineRule="exact"/>
              <w:rPr>
                <w:sz w:val="20"/>
                <w:szCs w:val="20"/>
                <w:color w:val="auto"/>
              </w:rPr>
            </w:pPr>
            <w:r>
              <w:rPr>
                <w:rFonts w:ascii="Times New Roman" w:cs="Times New Roman" w:eastAsia="Times New Roman" w:hAnsi="Times New Roman"/>
                <w:sz w:val="21"/>
                <w:szCs w:val="21"/>
                <w:color w:val="auto"/>
              </w:rPr>
              <w:t>By:</w:t>
            </w:r>
          </w:p>
        </w:tc>
        <w:tc>
          <w:tcPr>
            <w:tcW w:w="2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r>
      <w:tr>
        <w:trPr>
          <w:trHeight w:val="238"/>
        </w:trPr>
        <w:tc>
          <w:tcPr>
            <w:tcW w:w="3680" w:type="dxa"/>
            <w:vAlign w:val="bottom"/>
          </w:tcPr>
          <w:p>
            <w:pPr>
              <w:spacing w:after="0"/>
              <w:rPr>
                <w:sz w:val="20"/>
                <w:szCs w:val="20"/>
                <w:color w:val="auto"/>
              </w:rPr>
            </w:pPr>
          </w:p>
        </w:tc>
        <w:tc>
          <w:tcPr>
            <w:tcW w:w="2740" w:type="dxa"/>
            <w:vAlign w:val="bottom"/>
          </w:tcPr>
          <w:p>
            <w:pPr>
              <w:ind w:left="1420"/>
              <w:spacing w:after="0" w:line="238" w:lineRule="exact"/>
              <w:rPr>
                <w:sz w:val="20"/>
                <w:szCs w:val="20"/>
                <w:color w:val="auto"/>
              </w:rPr>
            </w:pPr>
            <w:r>
              <w:rPr>
                <w:rFonts w:ascii="Times New Roman" w:cs="Times New Roman" w:eastAsia="Times New Roman" w:hAnsi="Times New Roman"/>
                <w:sz w:val="21"/>
                <w:szCs w:val="21"/>
                <w:color w:val="auto"/>
              </w:rPr>
              <w:t>Name:</w:t>
            </w:r>
          </w:p>
        </w:tc>
        <w:tc>
          <w:tcPr>
            <w:tcW w:w="2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r>
        <w:trPr>
          <w:trHeight w:val="238"/>
        </w:trPr>
        <w:tc>
          <w:tcPr>
            <w:tcW w:w="3680" w:type="dxa"/>
            <w:vAlign w:val="bottom"/>
          </w:tcPr>
          <w:p>
            <w:pPr>
              <w:spacing w:after="0"/>
              <w:rPr>
                <w:sz w:val="20"/>
                <w:szCs w:val="20"/>
                <w:color w:val="auto"/>
              </w:rPr>
            </w:pPr>
          </w:p>
        </w:tc>
        <w:tc>
          <w:tcPr>
            <w:tcW w:w="2740" w:type="dxa"/>
            <w:vAlign w:val="bottom"/>
          </w:tcPr>
          <w:p>
            <w:pPr>
              <w:ind w:left="1420"/>
              <w:spacing w:after="0" w:line="238" w:lineRule="exact"/>
              <w:rPr>
                <w:sz w:val="20"/>
                <w:szCs w:val="20"/>
                <w:color w:val="auto"/>
              </w:rPr>
            </w:pPr>
            <w:r>
              <w:rPr>
                <w:rFonts w:ascii="Times New Roman" w:cs="Times New Roman" w:eastAsia="Times New Roman" w:hAnsi="Times New Roman"/>
                <w:sz w:val="21"/>
                <w:szCs w:val="21"/>
                <w:color w:val="auto"/>
              </w:rPr>
              <w:t>Title:</w:t>
            </w:r>
          </w:p>
        </w:tc>
        <w:tc>
          <w:tcPr>
            <w:tcW w:w="2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19"/>
          </w:cols>
          <w:pgMar w:left="340" w:top="1390" w:right="1440"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H-4</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U.S. TAX COMPLIANCE CERTIFICATE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 Foreign Lenders That Are Partnerships For U.S. Federal Income Tax Purposes)</w:t>
      </w:r>
    </w:p>
    <w:p>
      <w:pPr>
        <w:spacing w:after="0" w:line="227" w:lineRule="exact"/>
        <w:rPr>
          <w:sz w:val="20"/>
          <w:szCs w:val="20"/>
          <w:color w:val="auto"/>
        </w:rPr>
      </w:pPr>
    </w:p>
    <w:p>
      <w:pPr>
        <w:ind w:right="340" w:firstLine="619"/>
        <w:spacing w:after="0" w:line="265" w:lineRule="auto"/>
        <w:rPr>
          <w:sz w:val="20"/>
          <w:szCs w:val="20"/>
          <w:color w:val="auto"/>
        </w:rPr>
      </w:pPr>
      <w:r>
        <w:rPr>
          <w:rFonts w:ascii="Times New Roman" w:cs="Times New Roman" w:eastAsia="Times New Roman" w:hAnsi="Times New Roman"/>
          <w:sz w:val="20"/>
          <w:szCs w:val="20"/>
          <w:color w:val="auto"/>
        </w:rPr>
        <w:t>Reference is hereby made to the Loan and Security Agreement dated as of October 6, 2022 (as amended, supplemented or otherwise modified from time to time, the “Loan Agreement”) by and among Replimune Group, Inc., a Delaware corporation, and certain of its Subsidiaries party thereto as a borrower (collectively, “Borrower”), the several banks and other financial institutions or entities from time to time parties thereto (collectively, referred to as the “Lenders”), and HERCULES CAPITAL, INC., a Maryland corporation, in its capacity as administrative agent and collateral agent for itself and the Lenders (in such capacity, the “Agent”).</w:t>
      </w:r>
    </w:p>
    <w:p>
      <w:pPr>
        <w:spacing w:after="0" w:line="174" w:lineRule="exact"/>
        <w:rPr>
          <w:sz w:val="20"/>
          <w:szCs w:val="20"/>
          <w:color w:val="auto"/>
        </w:rPr>
      </w:pPr>
    </w:p>
    <w:p>
      <w:pPr>
        <w:ind w:right="60" w:firstLine="619"/>
        <w:spacing w:after="0" w:line="248" w:lineRule="auto"/>
        <w:rPr>
          <w:sz w:val="20"/>
          <w:szCs w:val="20"/>
          <w:color w:val="auto"/>
        </w:rPr>
      </w:pPr>
      <w:r>
        <w:rPr>
          <w:rFonts w:ascii="Times New Roman" w:cs="Times New Roman" w:eastAsia="Times New Roman" w:hAnsi="Times New Roman"/>
          <w:sz w:val="21"/>
          <w:szCs w:val="21"/>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178" w:lineRule="exact"/>
        <w:rPr>
          <w:sz w:val="20"/>
          <w:szCs w:val="20"/>
          <w:color w:val="auto"/>
        </w:rPr>
      </w:pPr>
    </w:p>
    <w:p>
      <w:pPr>
        <w:ind w:right="80" w:firstLine="619"/>
        <w:spacing w:after="0" w:line="250" w:lineRule="auto"/>
        <w:rPr>
          <w:sz w:val="20"/>
          <w:szCs w:val="20"/>
          <w:color w:val="auto"/>
        </w:rPr>
      </w:pPr>
      <w:r>
        <w:rPr>
          <w:rFonts w:ascii="Times New Roman" w:cs="Times New Roman" w:eastAsia="Times New Roman" w:hAnsi="Times New Roman"/>
          <w:sz w:val="21"/>
          <w:szCs w:val="21"/>
          <w:color w:val="auto"/>
        </w:rPr>
        <w:t>The undersigned has furnished the Agent and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Borrower and the Agent, and (2) the undersigned shall have at all times furnished Borrower and the Agent with a properly completed and currently effective certificate in either the calendar year in which each payment is to be made to the undersigned, or in either of the two calendar years preceding such payments.</w:t>
      </w:r>
    </w:p>
    <w:p>
      <w:pPr>
        <w:spacing w:after="0" w:line="179"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21"/>
          <w:szCs w:val="21"/>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40"/>
          </w:cols>
          <w:pgMar w:left="320" w:top="1361" w:right="3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58"/>
        </w:trPr>
        <w:tc>
          <w:tcPr>
            <w:tcW w:w="3680" w:type="dxa"/>
            <w:vAlign w:val="bottom"/>
          </w:tcPr>
          <w:p>
            <w:pPr>
              <w:spacing w:after="0"/>
              <w:rPr>
                <w:sz w:val="20"/>
                <w:szCs w:val="20"/>
                <w:color w:val="auto"/>
              </w:rPr>
            </w:pPr>
            <w:r>
              <w:rPr>
                <w:rFonts w:ascii="Times New Roman" w:cs="Times New Roman" w:eastAsia="Times New Roman" w:hAnsi="Times New Roman"/>
                <w:sz w:val="21"/>
                <w:szCs w:val="21"/>
                <w:color w:val="auto"/>
              </w:rPr>
              <w:t>Date: ___________, 20___</w:t>
            </w:r>
          </w:p>
        </w:tc>
        <w:tc>
          <w:tcPr>
            <w:tcW w:w="3360" w:type="dxa"/>
            <w:vAlign w:val="bottom"/>
            <w:gridSpan w:val="3"/>
          </w:tcPr>
          <w:p>
            <w:pPr>
              <w:ind w:left="1420"/>
              <w:spacing w:after="0"/>
              <w:rPr>
                <w:sz w:val="20"/>
                <w:szCs w:val="20"/>
                <w:color w:val="auto"/>
              </w:rPr>
            </w:pPr>
            <w:r>
              <w:rPr>
                <w:rFonts w:ascii="Times New Roman" w:cs="Times New Roman" w:eastAsia="Times New Roman" w:hAnsi="Times New Roman"/>
                <w:sz w:val="21"/>
                <w:szCs w:val="21"/>
                <w:color w:val="auto"/>
                <w:w w:val="97"/>
              </w:rPr>
              <w:t>[NAME OF LENDER]</w:t>
            </w:r>
          </w:p>
        </w:tc>
      </w:tr>
      <w:tr>
        <w:trPr>
          <w:trHeight w:val="219"/>
        </w:trPr>
        <w:tc>
          <w:tcPr>
            <w:tcW w:w="3680" w:type="dxa"/>
            <w:vAlign w:val="bottom"/>
          </w:tcPr>
          <w:p>
            <w:pPr>
              <w:spacing w:after="0"/>
              <w:rPr>
                <w:sz w:val="19"/>
                <w:szCs w:val="19"/>
                <w:color w:val="auto"/>
              </w:rPr>
            </w:pPr>
          </w:p>
        </w:tc>
        <w:tc>
          <w:tcPr>
            <w:tcW w:w="2740" w:type="dxa"/>
            <w:vAlign w:val="bottom"/>
          </w:tcPr>
          <w:p>
            <w:pPr>
              <w:ind w:left="1420"/>
              <w:spacing w:after="0" w:line="219" w:lineRule="exact"/>
              <w:rPr>
                <w:sz w:val="20"/>
                <w:szCs w:val="20"/>
                <w:color w:val="auto"/>
              </w:rPr>
            </w:pPr>
            <w:r>
              <w:rPr>
                <w:rFonts w:ascii="Times New Roman" w:cs="Times New Roman" w:eastAsia="Times New Roman" w:hAnsi="Times New Roman"/>
                <w:sz w:val="21"/>
                <w:szCs w:val="21"/>
                <w:color w:val="auto"/>
              </w:rPr>
              <w:t>By:</w:t>
            </w:r>
          </w:p>
        </w:tc>
        <w:tc>
          <w:tcPr>
            <w:tcW w:w="2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r>
      <w:tr>
        <w:trPr>
          <w:trHeight w:val="238"/>
        </w:trPr>
        <w:tc>
          <w:tcPr>
            <w:tcW w:w="3680" w:type="dxa"/>
            <w:vAlign w:val="bottom"/>
          </w:tcPr>
          <w:p>
            <w:pPr>
              <w:spacing w:after="0"/>
              <w:rPr>
                <w:sz w:val="20"/>
                <w:szCs w:val="20"/>
                <w:color w:val="auto"/>
              </w:rPr>
            </w:pPr>
          </w:p>
        </w:tc>
        <w:tc>
          <w:tcPr>
            <w:tcW w:w="2740" w:type="dxa"/>
            <w:vAlign w:val="bottom"/>
          </w:tcPr>
          <w:p>
            <w:pPr>
              <w:ind w:left="1420"/>
              <w:spacing w:after="0" w:line="238" w:lineRule="exact"/>
              <w:rPr>
                <w:sz w:val="20"/>
                <w:szCs w:val="20"/>
                <w:color w:val="auto"/>
              </w:rPr>
            </w:pPr>
            <w:r>
              <w:rPr>
                <w:rFonts w:ascii="Times New Roman" w:cs="Times New Roman" w:eastAsia="Times New Roman" w:hAnsi="Times New Roman"/>
                <w:sz w:val="21"/>
                <w:szCs w:val="21"/>
                <w:color w:val="auto"/>
              </w:rPr>
              <w:t>Name:</w:t>
            </w:r>
          </w:p>
        </w:tc>
        <w:tc>
          <w:tcPr>
            <w:tcW w:w="2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38"/>
        </w:trPr>
        <w:tc>
          <w:tcPr>
            <w:tcW w:w="3680" w:type="dxa"/>
            <w:vAlign w:val="bottom"/>
          </w:tcPr>
          <w:p>
            <w:pPr>
              <w:spacing w:after="0"/>
              <w:rPr>
                <w:sz w:val="20"/>
                <w:szCs w:val="20"/>
                <w:color w:val="auto"/>
              </w:rPr>
            </w:pPr>
          </w:p>
        </w:tc>
        <w:tc>
          <w:tcPr>
            <w:tcW w:w="2740" w:type="dxa"/>
            <w:vAlign w:val="bottom"/>
          </w:tcPr>
          <w:p>
            <w:pPr>
              <w:ind w:left="1420"/>
              <w:spacing w:after="0" w:line="238" w:lineRule="exact"/>
              <w:rPr>
                <w:sz w:val="20"/>
                <w:szCs w:val="20"/>
                <w:color w:val="auto"/>
              </w:rPr>
            </w:pPr>
            <w:r>
              <w:rPr>
                <w:rFonts w:ascii="Times New Roman" w:cs="Times New Roman" w:eastAsia="Times New Roman" w:hAnsi="Times New Roman"/>
                <w:sz w:val="21"/>
                <w:szCs w:val="21"/>
                <w:color w:val="auto"/>
              </w:rPr>
              <w:t>Title:</w:t>
            </w:r>
          </w:p>
        </w:tc>
        <w:tc>
          <w:tcPr>
            <w:tcW w:w="2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0119"/>
          </w:cols>
          <w:pgMar w:left="340" w:top="1390" w:right="1440" w:bottom="1440" w:gutter="0" w:footer="0" w:header="0"/>
        </w:sectPr>
      </w:pPr>
    </w:p>
    <w:bookmarkStart w:id="210" w:name="page211"/>
    <w:bookmarkEnd w:id="210"/>
    <w:p>
      <w:pPr>
        <w:jc w:val="center"/>
        <w:ind w:right="-300"/>
        <w:spacing w:after="0"/>
        <w:rPr>
          <w:sz w:val="20"/>
          <w:szCs w:val="20"/>
          <w:color w:val="auto"/>
        </w:rPr>
      </w:pPr>
      <w:r>
        <w:rPr>
          <w:rFonts w:ascii="Times New Roman" w:cs="Times New Roman" w:eastAsia="Times New Roman" w:hAnsi="Times New Roman"/>
          <w:sz w:val="21"/>
          <w:szCs w:val="21"/>
          <w:b w:val="1"/>
          <w:bCs w:val="1"/>
          <w:u w:val="single" w:color="auto"/>
          <w:color w:val="auto"/>
        </w:rPr>
        <w:t>SCHEDULE 1.1</w:t>
      </w:r>
    </w:p>
    <w:p>
      <w:pPr>
        <w:spacing w:after="0" w:line="21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339"/>
          </w:cols>
          <w:pgMar w:left="1120" w:top="1051" w:right="1440" w:bottom="1440" w:gutter="0" w:footer="0" w:header="0"/>
        </w:sectPr>
      </w:pPr>
    </w:p>
    <w:bookmarkStart w:id="211" w:name="page212"/>
    <w:bookmarkEnd w:id="211"/>
    <w:tbl>
      <w:tblPr>
        <w:tblLayout w:type="fixed"/>
        <w:tblInd w:w="10" w:type="dxa"/>
        <w:tblCellMar>
          <w:top w:w="0" w:type="dxa"/>
          <w:left w:w="0" w:type="dxa"/>
          <w:bottom w:w="0" w:type="dxa"/>
          <w:right w:w="0" w:type="dxa"/>
        </w:tblCellMar>
      </w:tblPr>
      <w:tr>
        <w:trPr>
          <w:trHeight w:val="225"/>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LENDERS</w:t>
            </w:r>
          </w:p>
        </w:tc>
        <w:tc>
          <w:tcPr>
            <w:tcW w:w="12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TRANCHE 1</w:t>
            </w:r>
          </w:p>
        </w:tc>
        <w:tc>
          <w:tcPr>
            <w:tcW w:w="188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TRANCHE 2</w:t>
            </w:r>
          </w:p>
        </w:tc>
        <w:tc>
          <w:tcPr>
            <w:tcW w:w="146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TRANCHE 3</w:t>
            </w:r>
          </w:p>
        </w:tc>
        <w:tc>
          <w:tcPr>
            <w:tcW w:w="148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TRANCHE 4</w:t>
            </w:r>
          </w:p>
        </w:tc>
        <w:tc>
          <w:tcPr>
            <w:tcW w:w="1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TRANCHE 5</w:t>
            </w:r>
          </w:p>
        </w:tc>
        <w:tc>
          <w:tcPr>
            <w:tcW w:w="132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TRANCHE 6*</w:t>
            </w:r>
          </w:p>
        </w:tc>
        <w:tc>
          <w:tcPr>
            <w:tcW w:w="1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27"/>
        </w:trPr>
        <w:tc>
          <w:tcPr>
            <w:tcW w:w="1140" w:type="dxa"/>
            <w:vAlign w:val="bottom"/>
            <w:tcBorders>
              <w:left w:val="single" w:sz="8" w:color="auto"/>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COMMITMENTS</w:t>
            </w:r>
          </w:p>
        </w:tc>
      </w:tr>
      <w:tr>
        <w:trPr>
          <w:trHeight w:val="245"/>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r>
      <w:tr>
        <w:trPr>
          <w:trHeight w:val="20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Hercules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$20,700,000.00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$10,350,000.00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$24,500,000.00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$21,000,000.00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$35,000,000.00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$40,000,000.00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$151,550,000.00</w:t>
            </w: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Capital, Inc.</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45"/>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r>
      <w:tr>
        <w:trPr>
          <w:trHeight w:val="20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Hercules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$5,400,000.00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$2,700,000.00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$5,250,000.00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$4,500,000.00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$7,500,000.00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$25,350,000.00</w:t>
            </w: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Private Credit</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Fund 1 L.P.</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32"/>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r>
        <w:trPr>
          <w:trHeight w:val="20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Hercules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$3,900,000.00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$1,950,000.00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$5,850,000.00</w:t>
            </w: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Private</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06"/>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Global</w:t>
            </w:r>
          </w:p>
        </w:tc>
        <w:tc>
          <w:tcPr>
            <w:tcW w:w="12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Venture</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06"/>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Growth Fund</w:t>
            </w:r>
          </w:p>
        </w:tc>
        <w:tc>
          <w:tcPr>
            <w:tcW w:w="12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I L.P.</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32"/>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r>
        <w:trPr>
          <w:trHeight w:val="20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Hercules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Venture</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06"/>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Growth</w:t>
            </w:r>
          </w:p>
        </w:tc>
        <w:tc>
          <w:tcPr>
            <w:tcW w:w="12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Credit</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06"/>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Opportunities</w:t>
            </w:r>
          </w:p>
        </w:tc>
        <w:tc>
          <w:tcPr>
            <w:tcW w:w="12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Fund 1 L.P.</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32"/>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r>
        <w:trPr>
          <w:trHeight w:val="20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Hercules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$2,625,000.00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$2,250,000.00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$3,750,000.00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$8,625,000.00</w:t>
            </w: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Growth</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06"/>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Lending</w:t>
            </w:r>
          </w:p>
        </w:tc>
        <w:tc>
          <w:tcPr>
            <w:tcW w:w="122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Fund IV LP</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45"/>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r>
      <w:tr>
        <w:trPr>
          <w:trHeight w:val="20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Hercules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$2,625,000.00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$2,250,000.00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$3,750,000.00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$8,625,000.00</w:t>
            </w:r>
          </w:p>
        </w:tc>
      </w:tr>
      <w:tr>
        <w:trPr>
          <w:trHeight w:val="219"/>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Evergreen</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23"/>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Fund LP</w:t>
            </w:r>
          </w:p>
        </w:tc>
        <w:tc>
          <w:tcPr>
            <w:tcW w:w="122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r>
      <w:tr>
        <w:trPr>
          <w:trHeight w:val="232"/>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r>
        <w:trPr>
          <w:trHeight w:val="225"/>
        </w:trPr>
        <w:tc>
          <w:tcPr>
            <w:tcW w:w="1140" w:type="dxa"/>
            <w:vAlign w:val="bottom"/>
            <w:tcBorders>
              <w:left w:val="single" w:sz="8" w:color="auto"/>
              <w:right w:val="single" w:sz="8" w:color="auto"/>
            </w:tcBorders>
          </w:tcPr>
          <w:p>
            <w:pPr>
              <w:spacing w:after="0"/>
              <w:rPr>
                <w:sz w:val="19"/>
                <w:szCs w:val="19"/>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$30,000,000.00</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$15,000,000.00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$35,000,000.00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$30,000,000.00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$50,000,000.00</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$40,000,000.00*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$200,000,000.00</w:t>
            </w:r>
          </w:p>
        </w:tc>
      </w:tr>
      <w:tr>
        <w:trPr>
          <w:trHeight w:val="232"/>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*Funding of Tranche 6 is conditioned on approval by Lender’s investment committee in its sole and unfettered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11260"/>
          </w:cols>
          <w:pgMar w:left="320" w:top="1074" w:right="319" w:bottom="1440" w:gutter="0" w:footer="0" w:header="0"/>
        </w:sectPr>
      </w:pPr>
    </w:p>
    <w:bookmarkStart w:id="212" w:name="page213"/>
    <w:bookmarkEnd w:id="212"/>
    <w:tbl>
      <w:tblPr>
        <w:tblLayout w:type="fixed"/>
        <w:tblInd w:w="390" w:type="dxa"/>
        <w:tblCellMar>
          <w:top w:w="0" w:type="dxa"/>
          <w:left w:w="0" w:type="dxa"/>
          <w:bottom w:w="0" w:type="dxa"/>
          <w:right w:w="0" w:type="dxa"/>
        </w:tblCellMar>
      </w:tblPr>
      <w:tr>
        <w:trPr>
          <w:trHeight w:val="180"/>
        </w:trPr>
        <w:tc>
          <w:tcPr>
            <w:tcW w:w="3660" w:type="dxa"/>
            <w:vAlign w:val="bottom"/>
            <w:tcBorders>
              <w:top w:val="single" w:sz="8" w:color="auto"/>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w w:val="99"/>
              </w:rPr>
              <w:t>LENDERS</w:t>
            </w:r>
          </w:p>
        </w:tc>
        <w:tc>
          <w:tcPr>
            <w:tcW w:w="4300" w:type="dxa"/>
            <w:vAlign w:val="bottom"/>
            <w:tcBorders>
              <w:top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Treaty Passport scheme reference number and</w:t>
            </w:r>
          </w:p>
        </w:tc>
      </w:tr>
      <w:tr>
        <w:trPr>
          <w:trHeight w:val="230"/>
        </w:trPr>
        <w:tc>
          <w:tcPr>
            <w:tcW w:w="3660" w:type="dxa"/>
            <w:vAlign w:val="bottom"/>
            <w:tcBorders>
              <w:left w:val="single" w:sz="8" w:color="auto"/>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tax residence (if applicable)</w:t>
            </w:r>
          </w:p>
        </w:tc>
      </w:tr>
      <w:tr>
        <w:trPr>
          <w:trHeight w:val="21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Hercules Capital, Inc.</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60"/>
        </w:trPr>
        <w:tc>
          <w:tcPr>
            <w:tcW w:w="3660" w:type="dxa"/>
            <w:vAlign w:val="bottom"/>
            <w:tcBorders>
              <w:left w:val="single" w:sz="8" w:color="auto"/>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Hercules Private Global Venture Growth Fund I</w:t>
            </w:r>
          </w:p>
        </w:tc>
        <w:tc>
          <w:tcPr>
            <w:tcW w:w="4300" w:type="dxa"/>
            <w:vAlign w:val="bottom"/>
            <w:tcBorders>
              <w:right w:val="single" w:sz="8" w:color="auto"/>
            </w:tcBorders>
          </w:tcPr>
          <w:p>
            <w:pPr>
              <w:jc w:val="center"/>
              <w:spacing w:after="0" w:line="161" w:lineRule="exact"/>
              <w:rPr>
                <w:sz w:val="20"/>
                <w:szCs w:val="20"/>
                <w:color w:val="auto"/>
              </w:rPr>
            </w:pPr>
            <w:r>
              <w:rPr>
                <w:rFonts w:ascii="Times New Roman" w:cs="Times New Roman" w:eastAsia="Times New Roman" w:hAnsi="Times New Roman"/>
                <w:sz w:val="17"/>
                <w:szCs w:val="17"/>
                <w:color w:val="auto"/>
              </w:rPr>
              <w:t>[*****]</w:t>
            </w:r>
          </w:p>
        </w:tc>
      </w:tr>
      <w:tr>
        <w:trPr>
          <w:trHeight w:val="228"/>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L.P.</w:t>
            </w:r>
          </w:p>
        </w:tc>
        <w:tc>
          <w:tcPr>
            <w:tcW w:w="4300" w:type="dxa"/>
            <w:vAlign w:val="bottom"/>
            <w:tcBorders>
              <w:bottom w:val="single" w:sz="8" w:color="auto"/>
              <w:right w:val="single" w:sz="8" w:color="auto"/>
            </w:tcBorders>
          </w:tcPr>
          <w:p>
            <w:pPr>
              <w:spacing w:after="0"/>
              <w:rPr>
                <w:sz w:val="19"/>
                <w:szCs w:val="19"/>
                <w:color w:val="auto"/>
              </w:rPr>
            </w:pPr>
          </w:p>
        </w:tc>
      </w:tr>
      <w:tr>
        <w:trPr>
          <w:trHeight w:val="217"/>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Hercules Private Fund One LLC</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MF-365935886</w:t>
      </w:r>
    </w:p>
    <w:p>
      <w:pPr>
        <w:sectPr>
          <w:pgSz w:w="11900" w:h="16838" w:orient="portrait"/>
          <w:cols w:equalWidth="0" w:num="1">
            <w:col w:w="9339"/>
          </w:cols>
          <w:pgMar w:left="1120" w:top="1073" w:right="1440" w:bottom="1440" w:gutter="0" w:footer="0" w:header="0"/>
        </w:sectPr>
      </w:pPr>
    </w:p>
    <w:bookmarkStart w:id="213" w:name="page214"/>
    <w:bookmarkEnd w:id="213"/>
    <w:p>
      <w:pPr>
        <w:jc w:val="center"/>
        <w:ind w:right="-16"/>
        <w:spacing w:after="0"/>
        <w:rPr>
          <w:sz w:val="20"/>
          <w:szCs w:val="20"/>
          <w:color w:val="auto"/>
        </w:rPr>
      </w:pPr>
      <w:r>
        <w:rPr>
          <w:rFonts w:ascii="Times New Roman" w:cs="Times New Roman" w:eastAsia="Times New Roman" w:hAnsi="Times New Roman"/>
          <w:sz w:val="21"/>
          <w:szCs w:val="21"/>
          <w:color w:val="auto"/>
        </w:rPr>
        <w:t>SCHEDULE 4.4</w:t>
      </w:r>
    </w:p>
    <w:p>
      <w:pPr>
        <w:spacing w:after="0" w:line="21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1"/>
          <w:szCs w:val="21"/>
          <w:color w:val="auto"/>
        </w:rPr>
        <w:t>POST-CLOSING DELIVERABLES</w:t>
      </w:r>
    </w:p>
    <w:p>
      <w:pPr>
        <w:spacing w:after="0" w:line="210" w:lineRule="exact"/>
        <w:rPr>
          <w:sz w:val="20"/>
          <w:szCs w:val="20"/>
          <w:color w:val="auto"/>
        </w:rPr>
      </w:pPr>
    </w:p>
    <w:p>
      <w:pPr>
        <w:ind w:left="317" w:right="180" w:hanging="317"/>
        <w:spacing w:after="0" w:line="282" w:lineRule="auto"/>
        <w:tabs>
          <w:tab w:leader="none" w:pos="3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of the Closing Date (or such later date to which the Agent may agree in its sole discretion), Borrower shall deliver to Agent insurance endorsements in accordance with the requirements of Section 6.2 of this Agreement.</w:t>
      </w:r>
    </w:p>
    <w:p>
      <w:pPr>
        <w:spacing w:after="0" w:line="141" w:lineRule="exact"/>
        <w:rPr>
          <w:rFonts w:ascii="Times New Roman" w:cs="Times New Roman" w:eastAsia="Times New Roman" w:hAnsi="Times New Roman"/>
          <w:sz w:val="21"/>
          <w:szCs w:val="21"/>
          <w:color w:val="auto"/>
        </w:rPr>
      </w:pPr>
    </w:p>
    <w:p>
      <w:pPr>
        <w:ind w:left="317" w:right="180" w:hanging="317"/>
        <w:spacing w:after="0" w:line="270" w:lineRule="auto"/>
        <w:tabs>
          <w:tab w:leader="none" w:pos="3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of the Closing Date (or such later date to which the Agent may agree in its sole discretion), Borrower shall obtain a duly executed and delivered landlord waiver agreement, in form and substance reasonably satisfactory to Agent, for Borrower’s leased property located at 500 Unicorn Park Dr.,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1"/>
          <w:szCs w:val="21"/>
          <w:color w:val="auto"/>
        </w:rPr>
        <w:t xml:space="preserve"> Floor, Woburn, MA 01801.</w:t>
      </w:r>
    </w:p>
    <w:p>
      <w:pPr>
        <w:spacing w:after="0" w:line="61" w:lineRule="exact"/>
        <w:rPr>
          <w:rFonts w:ascii="Times New Roman" w:cs="Times New Roman" w:eastAsia="Times New Roman" w:hAnsi="Times New Roman"/>
          <w:sz w:val="21"/>
          <w:szCs w:val="21"/>
          <w:color w:val="auto"/>
        </w:rPr>
      </w:pPr>
    </w:p>
    <w:p>
      <w:pPr>
        <w:ind w:left="317" w:right="180" w:hanging="317"/>
        <w:spacing w:after="0" w:line="262" w:lineRule="auto"/>
        <w:tabs>
          <w:tab w:leader="none" w:pos="3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of the Closing Date (or such later date to which the Agent may agree in its sole discretion), Borrower shall obtain a duly executed and delivered landlord waiver agreement, in form and substance reasonably satisfactory to Agent, for Borrower’s leased property located at 33 NY Avenue, Framingham, MA 01701.</w:t>
      </w:r>
    </w:p>
    <w:p>
      <w:pPr>
        <w:spacing w:after="0" w:line="163" w:lineRule="exact"/>
        <w:rPr>
          <w:rFonts w:ascii="Times New Roman" w:cs="Times New Roman" w:eastAsia="Times New Roman" w:hAnsi="Times New Roman"/>
          <w:sz w:val="21"/>
          <w:szCs w:val="21"/>
          <w:color w:val="auto"/>
        </w:rPr>
      </w:pPr>
    </w:p>
    <w:p>
      <w:pPr>
        <w:ind w:left="317" w:hanging="317"/>
        <w:spacing w:after="0" w:line="252" w:lineRule="auto"/>
        <w:tabs>
          <w:tab w:leader="none" w:pos="31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no later than one (1) Business Day after the Closing Date (or such later date to which the Agent may agree in its sole discretion), Borrower shall have delivered to Agent (i) duly executed Account Control Agreements, in form and substance reasonably satisfactory to Agent, in respect of the Borrower’s Deposit Accounts set forth in Exhibit D hereto (other than Excluded Accounts) and (ii) a legal opinion of Borrower’s U.S. counsel in form and substance reasonably acceptable to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7"/>
          <w:szCs w:val="17"/>
          <w:color w:val="auto"/>
        </w:rPr>
        <w:t>ny-2659054</w:t>
      </w:r>
    </w:p>
    <w:p>
      <w:pPr>
        <w:sectPr>
          <w:pgSz w:w="11900" w:h="16838" w:orient="portrait"/>
          <w:cols w:equalWidth="0" w:num="1">
            <w:col w:w="11217"/>
          </w:cols>
          <w:pgMar w:left="323" w:top="1365" w:right="35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ind w:left="340" w:right="1960"/>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PURSUANT TO RULES 13a-14(a) AND 15d-14(a) UNDER THE SECURITIES EXCHANGE ACT OF 1934, AS ADOPTED PURSUANT TO 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Sushil Patel, certify that:</w:t>
      </w:r>
    </w:p>
    <w:p>
      <w:pPr>
        <w:spacing w:after="0" w:line="217" w:lineRule="exact"/>
        <w:rPr>
          <w:sz w:val="20"/>
          <w:szCs w:val="20"/>
          <w:color w:val="auto"/>
        </w:rPr>
      </w:pPr>
    </w:p>
    <w:p>
      <w:pPr>
        <w:ind w:left="1240" w:hanging="618"/>
        <w:spacing w:after="0"/>
        <w:tabs>
          <w:tab w:leader="none" w:pos="124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Replimune Group, Inc.;</w:t>
      </w:r>
    </w:p>
    <w:p>
      <w:pPr>
        <w:spacing w:after="0" w:line="217" w:lineRule="exact"/>
        <w:rPr>
          <w:rFonts w:ascii="Times New Roman" w:cs="Times New Roman" w:eastAsia="Times New Roman" w:hAnsi="Times New Roman"/>
          <w:sz w:val="17"/>
          <w:szCs w:val="17"/>
          <w:color w:val="auto"/>
        </w:rPr>
      </w:pPr>
    </w:p>
    <w:p>
      <w:pPr>
        <w:ind w:firstLine="622"/>
        <w:spacing w:after="0" w:line="287" w:lineRule="auto"/>
        <w:tabs>
          <w:tab w:leader="none" w:pos="1237"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220" w:firstLine="622"/>
        <w:spacing w:after="0" w:line="287" w:lineRule="auto"/>
        <w:tabs>
          <w:tab w:leader="none" w:pos="1237"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180" w:firstLine="622"/>
        <w:spacing w:after="0" w:line="270" w:lineRule="auto"/>
        <w:tabs>
          <w:tab w:leader="none" w:pos="1237"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300" w:firstLine="775"/>
        <w:spacing w:after="0" w:line="270" w:lineRule="auto"/>
        <w:tabs>
          <w:tab w:leader="none" w:pos="185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 w:firstLine="775"/>
        <w:spacing w:after="0" w:line="270" w:lineRule="auto"/>
        <w:tabs>
          <w:tab w:leader="none" w:pos="1852"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120" w:firstLine="775"/>
        <w:spacing w:after="0" w:line="287" w:lineRule="auto"/>
        <w:tabs>
          <w:tab w:leader="none" w:pos="185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right="100" w:firstLine="775"/>
        <w:spacing w:after="0" w:line="270" w:lineRule="auto"/>
        <w:tabs>
          <w:tab w:leader="none" w:pos="1852"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220" w:firstLine="622"/>
        <w:spacing w:after="0" w:line="287" w:lineRule="auto"/>
        <w:tabs>
          <w:tab w:leader="none" w:pos="916"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320" w:firstLine="775"/>
        <w:spacing w:after="0" w:line="287" w:lineRule="auto"/>
        <w:tabs>
          <w:tab w:leader="none" w:pos="1855"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 w:firstLine="775"/>
        <w:spacing w:after="0" w:line="287" w:lineRule="auto"/>
        <w:tabs>
          <w:tab w:leader="none" w:pos="1852"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060" w:right="33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3, 2026</w:t>
            </w:r>
          </w:p>
        </w:tc>
        <w:tc>
          <w:tcPr>
            <w:tcW w:w="246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Sushil Patel</w:t>
            </w:r>
          </w:p>
        </w:tc>
      </w:tr>
      <w:tr>
        <w:trPr>
          <w:trHeight w:val="205"/>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Sushil Patel</w:t>
            </w:r>
          </w:p>
        </w:tc>
      </w:tr>
      <w:tr>
        <w:trPr>
          <w:trHeight w:val="219"/>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27"/>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20"/>
          </w:cols>
          <w:pgMar w:left="340" w:top="987"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ind w:left="340" w:right="1960"/>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PURSUANT TO RULES 13a-14(a) AND 15d-14(a) UNDER THE SECURITIES EXCHANGE ACT OF 1934, 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Emily Hill, certify that:</w:t>
      </w:r>
    </w:p>
    <w:p>
      <w:pPr>
        <w:spacing w:after="0" w:line="217" w:lineRule="exact"/>
        <w:rPr>
          <w:sz w:val="20"/>
          <w:szCs w:val="20"/>
          <w:color w:val="auto"/>
        </w:rPr>
      </w:pPr>
    </w:p>
    <w:p>
      <w:pPr>
        <w:ind w:left="1240" w:hanging="618"/>
        <w:spacing w:after="0"/>
        <w:tabs>
          <w:tab w:leader="none" w:pos="12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Replimune Group, Inc.;</w:t>
      </w:r>
    </w:p>
    <w:p>
      <w:pPr>
        <w:spacing w:after="0" w:line="217" w:lineRule="exact"/>
        <w:rPr>
          <w:rFonts w:ascii="Times New Roman" w:cs="Times New Roman" w:eastAsia="Times New Roman" w:hAnsi="Times New Roman"/>
          <w:sz w:val="17"/>
          <w:szCs w:val="17"/>
          <w:color w:val="auto"/>
        </w:rPr>
      </w:pPr>
    </w:p>
    <w:p>
      <w:pPr>
        <w:ind w:firstLine="622"/>
        <w:spacing w:after="0" w:line="287" w:lineRule="auto"/>
        <w:tabs>
          <w:tab w:leader="none" w:pos="123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220" w:firstLine="622"/>
        <w:spacing w:after="0" w:line="287" w:lineRule="auto"/>
        <w:tabs>
          <w:tab w:leader="none" w:pos="123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180" w:firstLine="622"/>
        <w:spacing w:after="0" w:line="270" w:lineRule="auto"/>
        <w:tabs>
          <w:tab w:leader="none" w:pos="123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620" w:right="300" w:firstLine="775"/>
        <w:spacing w:after="0" w:line="270" w:lineRule="auto"/>
        <w:tabs>
          <w:tab w:leader="none" w:pos="1855"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left="620" w:right="20" w:firstLine="775"/>
        <w:spacing w:after="0" w:line="270" w:lineRule="auto"/>
        <w:tabs>
          <w:tab w:leader="none" w:pos="1852"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right="120" w:firstLine="775"/>
        <w:spacing w:after="0" w:line="287" w:lineRule="auto"/>
        <w:tabs>
          <w:tab w:leader="none" w:pos="1855"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right="100" w:firstLine="775"/>
        <w:spacing w:after="0" w:line="270" w:lineRule="auto"/>
        <w:tabs>
          <w:tab w:leader="none" w:pos="1852"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right="140" w:firstLine="622"/>
        <w:spacing w:after="0" w:line="287" w:lineRule="auto"/>
        <w:tabs>
          <w:tab w:leader="none" w:pos="1237"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right="320" w:firstLine="775"/>
        <w:spacing w:after="0" w:line="287" w:lineRule="auto"/>
        <w:tabs>
          <w:tab w:leader="none" w:pos="1855"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620" w:right="40" w:firstLine="775"/>
        <w:spacing w:after="0" w:line="287" w:lineRule="auto"/>
        <w:tabs>
          <w:tab w:leader="none" w:pos="1852"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3, 2026</w:t>
            </w:r>
          </w:p>
        </w:tc>
        <w:tc>
          <w:tcPr>
            <w:tcW w:w="2400" w:type="dxa"/>
            <w:vAlign w:val="bottom"/>
          </w:tcPr>
          <w:p>
            <w:pPr>
              <w:ind w:left="1880"/>
              <w:spacing w:after="0"/>
              <w:rPr>
                <w:sz w:val="20"/>
                <w:szCs w:val="20"/>
                <w:color w:val="auto"/>
              </w:rPr>
            </w:pPr>
            <w:r>
              <w:rPr>
                <w:rFonts w:ascii="Times New Roman" w:cs="Times New Roman" w:eastAsia="Times New Roman" w:hAnsi="Times New Roman"/>
                <w:sz w:val="17"/>
                <w:szCs w:val="17"/>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Emily Hill</w:t>
            </w:r>
          </w:p>
        </w:tc>
      </w:tr>
      <w:tr>
        <w:trPr>
          <w:trHeight w:val="209"/>
        </w:trPr>
        <w:tc>
          <w:tcPr>
            <w:tcW w:w="3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Emily Hill</w:t>
            </w:r>
          </w:p>
        </w:tc>
      </w:tr>
      <w:tr>
        <w:trPr>
          <w:trHeight w:val="219"/>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ectPr>
          <w:pgSz w:w="11900" w:h="16838" w:orient="portrait"/>
          <w:cols w:equalWidth="0" w:num="1">
            <w:col w:w="11240"/>
          </w:cols>
          <w:pgMar w:left="320" w:top="1060"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ind w:right="22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Replimune Group, Inc. (the “Company”) for the quarter ended December 31, 2025, as filed with the Securities and Exchange Commission on the date hereof (the “Report”), the undersigned, Sushil Patel, Chief Executive Officer of the Company, hereby certifies, pursuant to 18 U.S.C. Section 1350, as adopted pursuant to Section 906 of the Sarbanes-Oxley Act of 2002, that to the best of his knowledge:</w:t>
      </w:r>
    </w:p>
    <w:p>
      <w:pPr>
        <w:spacing w:after="0" w:line="165" w:lineRule="exact"/>
        <w:rPr>
          <w:sz w:val="20"/>
          <w:szCs w:val="20"/>
          <w:color w:val="auto"/>
        </w:rPr>
      </w:pPr>
    </w:p>
    <w:p>
      <w:pPr>
        <w:ind w:left="1080" w:hanging="458"/>
        <w:spacing w:after="0"/>
        <w:tabs>
          <w:tab w:leader="none" w:pos="10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3, 2026</w:t>
            </w:r>
          </w:p>
        </w:tc>
        <w:tc>
          <w:tcPr>
            <w:tcW w:w="248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Sushil Patel</w:t>
            </w:r>
          </w:p>
        </w:tc>
      </w:tr>
      <w:tr>
        <w:trPr>
          <w:trHeight w:val="205"/>
        </w:trPr>
        <w:tc>
          <w:tcPr>
            <w:tcW w:w="34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Sushil Patel</w:t>
            </w:r>
          </w:p>
        </w:tc>
      </w:tr>
      <w:tr>
        <w:trPr>
          <w:trHeight w:val="219"/>
        </w:trPr>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27"/>
        </w:trPr>
        <w:tc>
          <w:tcPr>
            <w:tcW w:w="34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40"/>
          </w:cols>
          <w:pgMar w:left="320" w:top="1060"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ind w:right="340"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Replimune Group, Inc. (the “Company”) for the quarter ended December 31, 2025, as filed with the Securities and Exchange Commission on the date hereof (the “Report”), the undersigned, Emily Hill, Chief Financial Officer of the Company, hereby certifies, pursuant to 18 U.S.C. Section 1350, as adopted pursuant to Section 906 of the Sarbanes-Oxley Act of 2002, that to the best of her knowledge:</w:t>
      </w:r>
    </w:p>
    <w:p>
      <w:pPr>
        <w:spacing w:after="0" w:line="165" w:lineRule="exact"/>
        <w:rPr>
          <w:sz w:val="20"/>
          <w:szCs w:val="20"/>
          <w:color w:val="auto"/>
        </w:rPr>
      </w:pPr>
    </w:p>
    <w:p>
      <w:pPr>
        <w:ind w:left="1080" w:hanging="458"/>
        <w:spacing w:after="0"/>
        <w:tabs>
          <w:tab w:leader="none" w:pos="10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3, 2026</w:t>
            </w:r>
          </w:p>
        </w:tc>
        <w:tc>
          <w:tcPr>
            <w:tcW w:w="24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By:</w:t>
            </w:r>
          </w:p>
        </w:tc>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Emily Hill</w:t>
            </w:r>
          </w:p>
        </w:tc>
      </w:tr>
      <w:tr>
        <w:trPr>
          <w:trHeight w:val="205"/>
        </w:trPr>
        <w:tc>
          <w:tcPr>
            <w:tcW w:w="3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Emily Hill</w:t>
            </w:r>
          </w:p>
        </w:tc>
      </w:tr>
      <w:tr>
        <w:trPr>
          <w:trHeight w:val="219"/>
        </w:trPr>
        <w:tc>
          <w:tcPr>
            <w:tcW w:w="3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r>
        <w:trPr>
          <w:trHeight w:val="227"/>
        </w:trPr>
        <w:tc>
          <w:tcPr>
            <w:tcW w:w="3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1."/>
      <w:numFmt w:val="decimal"/>
      <w:start w:val="1"/>
    </w:lvl>
  </w:abstractNum>
  <w:abstractNum w:abstractNumId="3">
    <w:nsid w:val="8F2B15E"/>
    <w:multiLevelType w:val="hybridMultilevel"/>
    <w:lvl w:ilvl="0">
      <w:lvlJc w:val="left"/>
      <w:lvlText w:val="%1."/>
      <w:numFmt w:val="decimal"/>
      <w:start w:val="2"/>
    </w:lvl>
  </w:abstractNum>
  <w:abstractNum w:abstractNumId="4">
    <w:nsid w:val="1A32234B"/>
    <w:multiLevelType w:val="hybridMultilevel"/>
    <w:lvl w:ilvl="0">
      <w:lvlJc w:val="left"/>
      <w:lvlText w:val="%1."/>
      <w:numFmt w:val="decimal"/>
      <w:start w:val="3"/>
    </w:lvl>
  </w:abstractNum>
  <w:abstractNum w:abstractNumId="5">
    <w:nsid w:val="3B0FD379"/>
    <w:multiLevelType w:val="hybridMultilevel"/>
    <w:lvl w:ilvl="0">
      <w:lvlJc w:val="left"/>
      <w:lvlText w:val="%1."/>
      <w:numFmt w:val="decimal"/>
      <w:start w:val="4"/>
    </w:lvl>
  </w:abstractNum>
  <w:abstractNum w:abstractNumId="6">
    <w:nsid w:val="68EB2F63"/>
    <w:multiLevelType w:val="hybridMultilevel"/>
    <w:lvl w:ilvl="0">
      <w:lvlJc w:val="left"/>
      <w:lvlText w:val="7"/>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1)"/>
      <w:numFmt w:val="decimal"/>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1."/>
      <w:numFmt w:val="decimal"/>
      <w:start w:val="1"/>
    </w:lvl>
    <w:lvl w:ilvl="1">
      <w:lvlJc w:val="left"/>
      <w:lvlText w:val="(%2)"/>
      <w:numFmt w:val="lowerLetter"/>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1"/>
      <w:numFmt w:val="decimal"/>
      <w:start w:val="1"/>
    </w:lvl>
    <w:lvl w:ilvl="1">
      <w:lvlJc w:val="left"/>
      <w:lvlText w:val="(%2)"/>
      <w:numFmt w:val="lowerLetter"/>
      <w:start w:val="2"/>
    </w:lvl>
  </w:abstractNum>
  <w:abstractNum w:abstractNumId="46">
    <w:nsid w:val="6A5F7029"/>
    <w:multiLevelType w:val="hybridMultilevel"/>
    <w:lvl w:ilvl="0">
      <w:lvlJc w:val="left"/>
      <w:lvlText w:val="%1."/>
      <w:numFmt w:val="decimal"/>
      <w:start w:val="4"/>
    </w:lvl>
    <w:lvl w:ilvl="1">
      <w:lvlJc w:val="left"/>
      <w:lvlText w:val="(%2)"/>
      <w:numFmt w:val="lowerLetter"/>
      <w:start w:val="1"/>
    </w:lvl>
  </w:abstractNum>
  <w:abstractNum w:abstractNumId="47">
    <w:nsid w:val="7D5E18F8"/>
    <w:multiLevelType w:val="hybridMultilevel"/>
    <w:lvl w:ilvl="0">
      <w:lvlJc w:val="left"/>
      <w:lvlText w:val="(%1)"/>
      <w:numFmt w:val="lowerLetter"/>
      <w:start w:val="2"/>
    </w:lvl>
  </w:abstractNum>
  <w:abstractNum w:abstractNumId="48">
    <w:nsid w:val="5F3534A4"/>
    <w:multiLevelType w:val="hybridMultilevel"/>
    <w:lvl w:ilvl="0">
      <w:lvlJc w:val="left"/>
      <w:lvlText w:val="%1."/>
      <w:numFmt w:val="decimal"/>
      <w:start w:val="6"/>
    </w:lvl>
  </w:abstractNum>
  <w:abstractNum w:abstractNumId="49">
    <w:nsid w:val="73A1821B"/>
    <w:multiLevelType w:val="hybridMultilevel"/>
    <w:lvl w:ilvl="0">
      <w:lvlJc w:val="left"/>
      <w:lvlText w:val="%1."/>
      <w:numFmt w:val="decimal"/>
      <w:start w:val="11"/>
    </w:lvl>
    <w:lvl w:ilvl="1">
      <w:lvlJc w:val="left"/>
      <w:lvlText w:val="(%2)"/>
      <w:numFmt w:val="lowerLetter"/>
      <w:start w:val="1"/>
    </w:lvl>
  </w:abstractNum>
  <w:abstractNum w:abstractNumId="50">
    <w:nsid w:val="7DE67713"/>
    <w:multiLevelType w:val="hybridMultilevel"/>
    <w:lvl w:ilvl="0">
      <w:lvlJc w:val="left"/>
      <w:lvlText w:val="%1"/>
      <w:numFmt w:val="decimal"/>
      <w:start w:val="1"/>
    </w:lvl>
    <w:lvl w:ilvl="1">
      <w:lvlJc w:val="left"/>
      <w:lvlText w:val="(%2)"/>
      <w:numFmt w:val="lowerLetter"/>
      <w:start w:val="8"/>
    </w:lvl>
  </w:abstractNum>
  <w:abstractNum w:abstractNumId="51">
    <w:nsid w:val="555C55B5"/>
    <w:multiLevelType w:val="hybridMultilevel"/>
    <w:lvl w:ilvl="0">
      <w:lvlJc w:val="left"/>
      <w:lvlText w:val="%1."/>
      <w:numFmt w:val="decimal"/>
      <w:start w:val="15"/>
    </w:lvl>
    <w:lvl w:ilvl="1">
      <w:lvlJc w:val="left"/>
      <w:lvlText w:val="(%2)"/>
      <w:numFmt w:val="lowerLetter"/>
      <w:start w:val="1"/>
    </w:lvl>
  </w:abstractNum>
  <w:abstractNum w:abstractNumId="52">
    <w:nsid w:val="3FA62ACA"/>
    <w:multiLevelType w:val="hybridMultilevel"/>
    <w:lvl w:ilvl="0">
      <w:lvlJc w:val="left"/>
      <w:lvlText w:val="%1."/>
      <w:numFmt w:val="decimal"/>
      <w:start w:val="16"/>
    </w:lvl>
  </w:abstractNum>
  <w:abstractNum w:abstractNumId="53">
    <w:nsid w:val="14FCE74E"/>
    <w:multiLevelType w:val="hybridMultilevel"/>
    <w:lvl w:ilvl="0">
      <w:lvlJc w:val="left"/>
      <w:lvlText w:val="%1."/>
      <w:numFmt w:val="decimal"/>
      <w:start w:val="1"/>
    </w:lvl>
    <w:lvl w:ilvl="1">
      <w:lvlJc w:val="left"/>
      <w:lvlText w:val="(%2)"/>
      <w:numFmt w:val="lowerLetter"/>
      <w:start w:val="1"/>
    </w:lvl>
  </w:abstractNum>
  <w:abstractNum w:abstractNumId="54">
    <w:nsid w:val="6A3DD3E8"/>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abstractNum>
  <w:abstractNum w:abstractNumId="55">
    <w:nsid w:val="71C91298"/>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abstractNum>
  <w:abstractNum w:abstractNumId="56">
    <w:nsid w:val="9DAF632"/>
    <w:multiLevelType w:val="hybridMultilevel"/>
    <w:lvl w:ilvl="0">
      <w:lvlJc w:val="left"/>
      <w:lvlText w:val="%1"/>
      <w:numFmt w:val="decimal"/>
      <w:start w:val="30"/>
    </w:lvl>
    <w:lvl w:ilvl="1">
      <w:lvlJc w:val="left"/>
      <w:lvlText w:val="*"/>
      <w:numFmt w:val="bullet"/>
      <w:start w:val="1"/>
    </w:lvl>
    <w:lvl w:ilvl="2">
      <w:lvlJc w:val="left"/>
      <w:lvlText w:val="(%3)"/>
      <w:numFmt w:val="lowerLetter"/>
      <w:start w:val="2"/>
    </w:lvl>
  </w:abstractNum>
  <w:abstractNum w:abstractNumId="57">
    <w:nsid w:val="53299938"/>
    <w:multiLevelType w:val="hybridMultilevel"/>
    <w:lvl w:ilvl="0">
      <w:lvlJc w:val="left"/>
      <w:lvlText w:val="%1"/>
      <w:numFmt w:val="decimal"/>
      <w:start w:val="1"/>
    </w:lvl>
    <w:lvl w:ilvl="1">
      <w:lvlJc w:val="left"/>
      <w:lvlText w:val="(%2)"/>
      <w:numFmt w:val="lowerLetter"/>
      <w:start w:val="3"/>
    </w:lvl>
  </w:abstractNum>
  <w:abstractNum w:abstractNumId="58">
    <w:nsid w:val="1FBFE8E0"/>
    <w:multiLevelType w:val="hybridMultilevel"/>
    <w:lvl w:ilvl="0">
      <w:lvlJc w:val="left"/>
      <w:lvlText w:val="%1."/>
      <w:numFmt w:val="decimal"/>
      <w:start w:val="6"/>
    </w:lvl>
    <w:lvl w:ilvl="1">
      <w:lvlJc w:val="left"/>
      <w:lvlText w:val="%2"/>
      <w:numFmt w:val="lowerLetter"/>
      <w:start w:val="1"/>
    </w:lvl>
  </w:abstractNum>
  <w:abstractNum w:abstractNumId="59">
    <w:nsid w:val="5092CA79"/>
    <w:multiLevelType w:val="hybridMultilevel"/>
    <w:lvl w:ilvl="0">
      <w:lvlJc w:val="left"/>
      <w:lvlText w:val="%1."/>
      <w:numFmt w:val="decimal"/>
      <w:start w:val="11"/>
    </w:lvl>
    <w:lvl w:ilvl="1">
      <w:lvlJc w:val="left"/>
      <w:lvlText w:val="%2."/>
      <w:numFmt w:val="decimal"/>
      <w:start w:val="14"/>
    </w:lvl>
  </w:abstractNum>
  <w:abstractNum w:abstractNumId="60">
    <w:nsid w:val="1D545C4D"/>
    <w:multiLevelType w:val="hybridMultilevel"/>
    <w:lvl w:ilvl="0">
      <w:lvlJc w:val="left"/>
      <w:lvlText w:val="%1."/>
      <w:numFmt w:val="upperLetter"/>
      <w:start w:val="1"/>
    </w:lvl>
  </w:abstractNum>
  <w:abstractNum w:abstractNumId="61">
    <w:nsid w:val="59ADEA3D"/>
    <w:multiLevelType w:val="hybridMultilevel"/>
    <w:lvl w:ilvl="0">
      <w:lvlJc w:val="left"/>
      <w:lvlText w:val="%1."/>
      <w:numFmt w:val="decimal"/>
      <w:start w:val="1"/>
    </w:lvl>
  </w:abstractNum>
  <w:abstractNum w:abstractNumId="62">
    <w:nsid w:val="288F1A34"/>
    <w:multiLevelType w:val="hybridMultilevel"/>
    <w:lvl w:ilvl="0">
      <w:lvlJc w:val="left"/>
      <w:lvlText w:val="%1."/>
      <w:numFmt w:val="decimal"/>
      <w:start w:val="2"/>
    </w:lvl>
  </w:abstractNum>
  <w:abstractNum w:abstractNumId="63">
    <w:nsid w:val="2A155DBC"/>
    <w:multiLevelType w:val="hybridMultilevel"/>
    <w:lvl w:ilvl="0">
      <w:lvlJc w:val="left"/>
      <w:lvlText w:val="%1."/>
      <w:numFmt w:val="decimal"/>
      <w:start w:val="3"/>
    </w:lvl>
  </w:abstractNum>
  <w:abstractNum w:abstractNumId="64">
    <w:nsid w:val="1D9F6E5F"/>
    <w:multiLevelType w:val="hybridMultilevel"/>
    <w:lvl w:ilvl="0">
      <w:lvlJc w:val="left"/>
      <w:lvlText w:val="%1."/>
      <w:numFmt w:val="decimal"/>
      <w:start w:val="5"/>
    </w:lvl>
  </w:abstractNum>
  <w:abstractNum w:abstractNumId="65">
    <w:nsid w:val="97E1B4E"/>
    <w:multiLevelType w:val="hybridMultilevel"/>
    <w:lvl w:ilvl="0">
      <w:lvlJc w:val="left"/>
      <w:lvlText w:val="%1."/>
      <w:numFmt w:val="decimal"/>
      <w:start w:val="8"/>
    </w:lvl>
  </w:abstractNum>
  <w:abstractNum w:abstractNumId="66">
    <w:nsid w:val="51088277"/>
    <w:multiLevelType w:val="hybridMultilevel"/>
    <w:lvl w:ilvl="0">
      <w:lvlJc w:val="left"/>
      <w:lvlText w:val="%1."/>
      <w:numFmt w:val="upperLetter"/>
      <w:start w:val="1"/>
    </w:lvl>
  </w:abstractNum>
  <w:abstractNum w:abstractNumId="67">
    <w:nsid w:val="1CA0C5FA"/>
    <w:multiLevelType w:val="hybridMultilevel"/>
    <w:lvl w:ilvl="0">
      <w:lvlJc w:val="left"/>
      <w:lvlText w:val="(%1)"/>
      <w:numFmt w:val="lowerLetter"/>
      <w:start w:val="2"/>
    </w:lvl>
  </w:abstractNum>
  <w:abstractNum w:abstractNumId="68">
    <w:nsid w:val="53584BCB"/>
    <w:multiLevelType w:val="hybridMultilevel"/>
    <w:lvl w:ilvl="0">
      <w:lvlJc w:val="left"/>
      <w:lvlText w:val="(%1)"/>
      <w:numFmt w:val="lowerLetter"/>
      <w:start w:val="1"/>
    </w:lvl>
  </w:abstractNum>
  <w:abstractNum w:abstractNumId="69">
    <w:nsid w:val="415E286C"/>
    <w:multiLevelType w:val="hybridMultilevel"/>
    <w:lvl w:ilvl="0">
      <w:lvlJc w:val="left"/>
      <w:lvlText w:val="%1"/>
      <w:numFmt w:val="lowerRoman"/>
      <w:start w:val="1"/>
    </w:lvl>
    <w:lvl w:ilvl="1">
      <w:lvlJc w:val="left"/>
      <w:lvlText w:val="(%2)"/>
      <w:numFmt w:val="lowerRoman"/>
      <w:start w:val="1"/>
    </w:lvl>
  </w:abstractNum>
  <w:abstractNum w:abstractNumId="70">
    <w:nsid w:val="7C58FD05"/>
    <w:multiLevelType w:val="hybridMultilevel"/>
    <w:lvl w:ilvl="0">
      <w:lvlJc w:val="left"/>
      <w:lvlText w:val="(%1)"/>
      <w:numFmt w:val="lowerRoman"/>
      <w:start w:val="7"/>
    </w:lvl>
    <w:lvl w:ilvl="1">
      <w:lvlJc w:val="left"/>
      <w:lvlText w:val="(%2)"/>
      <w:numFmt w:val="lowerRoman"/>
      <w:start w:val="4"/>
    </w:lvl>
  </w:abstractNum>
  <w:abstractNum w:abstractNumId="71">
    <w:nsid w:val="23D86AAC"/>
    <w:multiLevelType w:val="hybridMultilevel"/>
    <w:lvl w:ilvl="0">
      <w:lvlJc w:val="left"/>
      <w:lvlText w:val="(%1)"/>
      <w:numFmt w:val="lowerRoman"/>
      <w:start w:val="6"/>
    </w:lvl>
  </w:abstractNum>
  <w:abstractNum w:abstractNumId="72">
    <w:nsid w:val="45E6D486"/>
    <w:multiLevelType w:val="hybridMultilevel"/>
    <w:lvl w:ilvl="0">
      <w:lvlJc w:val="left"/>
      <w:lvlText w:val="(%1)"/>
      <w:numFmt w:val="lowerRoman"/>
      <w:start w:val="1"/>
    </w:lvl>
  </w:abstractNum>
  <w:abstractNum w:abstractNumId="73">
    <w:nsid w:val="5C10FE21"/>
    <w:multiLevelType w:val="hybridMultilevel"/>
    <w:lvl w:ilvl="0">
      <w:lvlJc w:val="left"/>
      <w:lvlText w:val="(%1)"/>
      <w:numFmt w:val="lowerRoman"/>
      <w:start w:val="4"/>
    </w:lvl>
  </w:abstractNum>
  <w:abstractNum w:abstractNumId="74">
    <w:nsid w:val="E7FFA2B"/>
    <w:multiLevelType w:val="hybridMultilevel"/>
    <w:lvl w:ilvl="0">
      <w:lvlJc w:val="left"/>
      <w:lvlText w:val="(%1)"/>
      <w:numFmt w:val="lowerRoman"/>
      <w:start w:val="11"/>
    </w:lvl>
  </w:abstractNum>
  <w:abstractNum w:abstractNumId="75">
    <w:nsid w:val="3C5991AA"/>
    <w:multiLevelType w:val="hybridMultilevel"/>
    <w:lvl w:ilvl="0">
      <w:lvlJc w:val="left"/>
      <w:lvlText w:val="(%1)"/>
      <w:numFmt w:val="lowerRoman"/>
      <w:start w:val="14"/>
    </w:lvl>
  </w:abstractNum>
  <w:abstractNum w:abstractNumId="76">
    <w:nsid w:val="4BD8591A"/>
    <w:multiLevelType w:val="hybridMultilevel"/>
    <w:lvl w:ilvl="0">
      <w:lvlJc w:val="left"/>
      <w:lvlText w:val="(%1)"/>
      <w:numFmt w:val="lowerRoman"/>
      <w:start w:val="1"/>
    </w:lvl>
  </w:abstractNum>
  <w:abstractNum w:abstractNumId="77">
    <w:nsid w:val="78DF6A55"/>
    <w:multiLevelType w:val="hybridMultilevel"/>
    <w:lvl w:ilvl="0">
      <w:lvlJc w:val="left"/>
      <w:lvlText w:val="(%1)"/>
      <w:numFmt w:val="lowerRoman"/>
      <w:start w:val="11"/>
    </w:lvl>
  </w:abstractNum>
  <w:abstractNum w:abstractNumId="78">
    <w:nsid w:val="39B7AAA2"/>
    <w:multiLevelType w:val="hybridMultilevel"/>
    <w:lvl w:ilvl="0">
      <w:lvlJc w:val="left"/>
      <w:lvlText w:val="(%1)"/>
      <w:numFmt w:val="lowerRoman"/>
      <w:start w:val="1"/>
    </w:lvl>
  </w:abstractNum>
  <w:abstractNum w:abstractNumId="79">
    <w:nsid w:val="2B0D8DBE"/>
    <w:multiLevelType w:val="hybridMultilevel"/>
    <w:lvl w:ilvl="0">
      <w:lvlJc w:val="left"/>
      <w:lvlText w:val="%1"/>
      <w:numFmt w:val="lowerLetter"/>
      <w:start w:val="1"/>
    </w:lvl>
    <w:lvl w:ilvl="1">
      <w:lvlJc w:val="left"/>
      <w:lvlText w:val="(%2)"/>
      <w:numFmt w:val="lowerRoman"/>
      <w:start w:val="4"/>
    </w:lvl>
  </w:abstractNum>
  <w:abstractNum w:abstractNumId="80">
    <w:nsid w:val="6C80EC70"/>
    <w:multiLevelType w:val="hybridMultilevel"/>
    <w:lvl w:ilvl="0">
      <w:lvlJc w:val="left"/>
      <w:lvlText w:val="(%1)"/>
      <w:numFmt w:val="lowerLetter"/>
      <w:start w:val="1"/>
    </w:lvl>
    <w:lvl w:ilvl="1">
      <w:lvlJc w:val="left"/>
      <w:lvlText w:val="(%2)"/>
      <w:numFmt w:val="lowerRoman"/>
      <w:start w:val="5"/>
    </w:lvl>
  </w:abstractNum>
  <w:abstractNum w:abstractNumId="81">
    <w:nsid w:val="379E21B5"/>
    <w:multiLevelType w:val="hybridMultilevel"/>
    <w:lvl w:ilvl="0">
      <w:lvlJc w:val="left"/>
      <w:lvlText w:val="(%1)"/>
      <w:numFmt w:val="lowerLetter"/>
      <w:start w:val="1"/>
    </w:lvl>
  </w:abstractNum>
  <w:abstractNum w:abstractNumId="82">
    <w:nsid w:val="69E373"/>
    <w:multiLevelType w:val="hybridMultilevel"/>
    <w:lvl w:ilvl="0">
      <w:lvlJc w:val="left"/>
      <w:lvlText w:val="%1"/>
      <w:numFmt w:val="lowerLetter"/>
      <w:start w:val="1"/>
    </w:lvl>
    <w:lvl w:ilvl="1">
      <w:lvlJc w:val="left"/>
      <w:lvlText w:val="(%2)"/>
      <w:numFmt w:val="lowerRoman"/>
      <w:start w:val="1"/>
    </w:lvl>
  </w:abstractNum>
  <w:abstractNum w:abstractNumId="83">
    <w:nsid w:val="2C27173B"/>
    <w:multiLevelType w:val="hybridMultilevel"/>
    <w:lvl w:ilvl="0">
      <w:lvlJc w:val="left"/>
      <w:lvlText w:val="(%1)"/>
      <w:numFmt w:val="lowerLetter"/>
      <w:start w:val="3"/>
    </w:lvl>
    <w:lvl w:ilvl="1">
      <w:lvlJc w:val="left"/>
      <w:lvlText w:val="(%2)"/>
      <w:numFmt w:val="lowerRoman"/>
      <w:start w:val="1"/>
    </w:lvl>
  </w:abstractNum>
  <w:abstractNum w:abstractNumId="84">
    <w:nsid w:val="4C9B0904"/>
    <w:multiLevelType w:val="hybridMultilevel"/>
    <w:lvl w:ilvl="0">
      <w:lvlJc w:val="left"/>
      <w:lvlText w:val="(%1)"/>
      <w:numFmt w:val="lowerLetter"/>
      <w:start w:val="1"/>
    </w:lvl>
  </w:abstractNum>
  <w:abstractNum w:abstractNumId="85">
    <w:nsid w:val="6AA7B75C"/>
    <w:multiLevelType w:val="hybridMultilevel"/>
    <w:lvl w:ilvl="0">
      <w:lvlJc w:val="left"/>
      <w:lvlText w:val="(%1)"/>
      <w:numFmt w:val="lowerLetter"/>
      <w:start w:val="7"/>
    </w:lvl>
    <w:lvl w:ilvl="1">
      <w:lvlJc w:val="left"/>
      <w:lvlText w:val="(%2)"/>
      <w:numFmt w:val="lowerRoman"/>
      <w:start w:val="1"/>
    </w:lvl>
  </w:abstractNum>
  <w:abstractNum w:abstractNumId="86">
    <w:nsid w:val="1DF029D3"/>
    <w:multiLevelType w:val="hybridMultilevel"/>
    <w:lvl w:ilvl="0">
      <w:lvlJc w:val="left"/>
      <w:lvlText w:val="%1"/>
      <w:numFmt w:val="lowerLetter"/>
      <w:start w:val="1"/>
    </w:lvl>
    <w:lvl w:ilvl="1">
      <w:lvlJc w:val="left"/>
      <w:lvlText w:val="(%2)"/>
      <w:numFmt w:val="lowerLetter"/>
      <w:start w:val="1"/>
    </w:lvl>
  </w:abstractNum>
  <w:abstractNum w:abstractNumId="87">
    <w:nsid w:val="5675FF36"/>
    <w:multiLevelType w:val="hybridMultilevel"/>
    <w:lvl w:ilvl="0">
      <w:lvlJc w:val="left"/>
      <w:lvlText w:val="(%1)"/>
      <w:numFmt w:val="lowerLetter"/>
      <w:start w:val="25"/>
    </w:lvl>
    <w:lvl w:ilvl="1">
      <w:lvlJc w:val="left"/>
      <w:lvlText w:val="(%2)"/>
      <w:numFmt w:val="lowerLetter"/>
      <w:start w:val="3"/>
    </w:lvl>
  </w:abstractNum>
  <w:abstractNum w:abstractNumId="88">
    <w:nsid w:val="3DD15094"/>
    <w:multiLevelType w:val="hybridMultilevel"/>
    <w:lvl w:ilvl="0">
      <w:lvlJc w:val="left"/>
      <w:lvlText w:val="(%1)"/>
      <w:numFmt w:val="lowerLetter"/>
      <w:start w:val="1"/>
    </w:lvl>
  </w:abstractNum>
  <w:abstractNum w:abstractNumId="89">
    <w:nsid w:val="3DB012B3"/>
    <w:multiLevelType w:val="hybridMultilevel"/>
    <w:lvl w:ilvl="0">
      <w:lvlJc w:val="left"/>
      <w:lvlText w:val="%1"/>
      <w:numFmt w:val="lowerRoman"/>
      <w:start w:val="1"/>
    </w:lvl>
    <w:lvl w:ilvl="1">
      <w:lvlJc w:val="left"/>
      <w:lvlText w:val="(%2)"/>
      <w:numFmt w:val="lowerLetter"/>
      <w:start w:val="3"/>
    </w:lvl>
  </w:abstractNum>
  <w:abstractNum w:abstractNumId="90">
    <w:nsid w:val="2708C9AF"/>
    <w:multiLevelType w:val="hybridMultilevel"/>
    <w:lvl w:ilvl="0">
      <w:lvlJc w:val="left"/>
      <w:lvlText w:val="(%1)"/>
      <w:numFmt w:val="lowerRoman"/>
      <w:start w:val="4"/>
    </w:lvl>
    <w:lvl w:ilvl="1">
      <w:lvlJc w:val="left"/>
      <w:lvlText w:val="(%2)"/>
      <w:numFmt w:val="lowerLetter"/>
      <w:start w:val="4"/>
    </w:lvl>
  </w:abstractNum>
  <w:abstractNum w:abstractNumId="91">
    <w:nsid w:val="5B25ACE2"/>
    <w:multiLevelType w:val="hybridMultilevel"/>
    <w:lvl w:ilvl="0">
      <w:lvlJc w:val="left"/>
      <w:lvlText w:val="(%1)"/>
      <w:numFmt w:val="lowerLetter"/>
      <w:start w:val="13"/>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Roman"/>
      <w:start w:val="10"/>
    </w:lvl>
  </w:abstractNum>
  <w:abstractNum w:abstractNumId="94">
    <w:nsid w:val="53B0A9E"/>
    <w:multiLevelType w:val="hybridMultilevel"/>
    <w:lvl w:ilvl="0">
      <w:lvlJc w:val="left"/>
      <w:lvlText w:val="%1"/>
      <w:numFmt w:val="lowerLetter"/>
      <w:start w:val="1"/>
    </w:lvl>
    <w:lvl w:ilvl="1">
      <w:lvlJc w:val="left"/>
      <w:lvlText w:val="(%2)"/>
      <w:numFmt w:val="lowerLetter"/>
      <w:start w:val="1"/>
    </w:lvl>
  </w:abstractNum>
  <w:abstractNum w:abstractNumId="95">
    <w:nsid w:val="34FD6B4F"/>
    <w:multiLevelType w:val="hybridMultilevel"/>
    <w:lvl w:ilvl="0">
      <w:lvlJc w:val="left"/>
      <w:lvlText w:val="(%1)"/>
      <w:numFmt w:val="lowerLetter"/>
      <w:start w:val="35"/>
    </w:lvl>
    <w:lvl w:ilvl="1">
      <w:lvlJc w:val="left"/>
      <w:lvlText w:val="%2"/>
      <w:numFmt w:val="lowerLetter"/>
      <w:start w:val="1"/>
    </w:lvl>
  </w:abstractNum>
  <w:abstractNum w:abstractNumId="96">
    <w:nsid w:val="5915FF32"/>
    <w:multiLevelType w:val="hybridMultilevel"/>
    <w:lvl w:ilvl="0">
      <w:lvlJc w:val="left"/>
      <w:lvlText w:val="(%1)"/>
      <w:numFmt w:val="lowerLetter"/>
      <w:start w:val="2"/>
    </w:lvl>
  </w:abstractNum>
  <w:abstractNum w:abstractNumId="97">
    <w:nsid w:val="56438D15"/>
    <w:multiLevelType w:val="hybridMultilevel"/>
    <w:lvl w:ilvl="0">
      <w:lvlJc w:val="left"/>
      <w:lvlText w:val="(%1)"/>
      <w:numFmt w:val="lowerLetter"/>
      <w:start w:val="8"/>
    </w:lvl>
  </w:abstractNum>
  <w:abstractNum w:abstractNumId="98">
    <w:nsid w:val="519E3149"/>
    <w:multiLevelType w:val="hybridMultilevel"/>
    <w:lvl w:ilvl="0">
      <w:lvlJc w:val="left"/>
      <w:lvlText w:val="(%1)"/>
      <w:numFmt w:val="lowerLetter"/>
      <w:start w:val="16"/>
    </w:lvl>
  </w:abstractNum>
  <w:abstractNum w:abstractNumId="99">
    <w:nsid w:val="2C6E4AFD"/>
    <w:multiLevelType w:val="hybridMultilevel"/>
    <w:lvl w:ilvl="0">
      <w:lvlJc w:val="left"/>
      <w:lvlText w:val="(%1)"/>
      <w:numFmt w:val="lowerRoman"/>
      <w:start w:val="2"/>
    </w:lvl>
  </w:abstractNum>
  <w:abstractNum w:abstractNumId="100">
    <w:nsid w:val="17A1B582"/>
    <w:multiLevelType w:val="hybridMultilevel"/>
    <w:lvl w:ilvl="0">
      <w:lvlJc w:val="left"/>
      <w:lvlText w:val="%1"/>
      <w:numFmt w:val="lowerLetter"/>
      <w:start w:val="1"/>
    </w:lvl>
    <w:lvl w:ilvl="1">
      <w:lvlJc w:val="left"/>
      <w:lvlText w:val="(%2)"/>
      <w:numFmt w:val="lowerLetter"/>
      <w:start w:val="1"/>
    </w:lvl>
  </w:abstractNum>
  <w:abstractNum w:abstractNumId="101">
    <w:nsid w:val="4DF72E4E"/>
    <w:multiLevelType w:val="hybridMultilevel"/>
    <w:lvl w:ilvl="0">
      <w:lvlJc w:val="left"/>
      <w:lvlText w:val="(%1)"/>
      <w:numFmt w:val="lowerLetter"/>
      <w:start w:val="35"/>
    </w:lvl>
    <w:lvl w:ilvl="1">
      <w:lvlJc w:val="left"/>
      <w:lvlText w:val="(%2)"/>
      <w:numFmt w:val="lowerLetter"/>
      <w:start w:val="2"/>
    </w:lvl>
  </w:abstractNum>
  <w:abstractNum w:abstractNumId="102">
    <w:nsid w:val="5046B5A9"/>
    <w:multiLevelType w:val="hybridMultilevel"/>
    <w:lvl w:ilvl="0">
      <w:lvlJc w:val="left"/>
      <w:lvlText w:val="(%1)"/>
      <w:numFmt w:val="lowerLetter"/>
      <w:start w:val="4"/>
    </w:lvl>
  </w:abstractNum>
  <w:abstractNum w:abstractNumId="103">
    <w:nsid w:val="5D888A08"/>
    <w:multiLevelType w:val="hybridMultilevel"/>
    <w:lvl w:ilvl="0">
      <w:lvlJc w:val="left"/>
      <w:lvlText w:val="(%1)"/>
      <w:numFmt w:val="lowerLetter"/>
      <w:start w:val="3"/>
    </w:lvl>
  </w:abstractNum>
  <w:abstractNum w:abstractNumId="104">
    <w:nsid w:val="2A082C70"/>
    <w:multiLevelType w:val="hybridMultilevel"/>
    <w:lvl w:ilvl="0">
      <w:lvlJc w:val="left"/>
      <w:lvlText w:val="(%1)"/>
      <w:numFmt w:val="lowerLetter"/>
      <w:start w:val="1"/>
    </w:lvl>
  </w:abstractNum>
  <w:abstractNum w:abstractNumId="105">
    <w:nsid w:val="5EC6AFD4"/>
    <w:multiLevelType w:val="hybridMultilevel"/>
    <w:lvl w:ilvl="0">
      <w:lvlJc w:val="left"/>
      <w:lvlText w:val="(%1)"/>
      <w:numFmt w:val="lowerLetter"/>
      <w:start w:val="2"/>
    </w:lvl>
  </w:abstractNum>
  <w:abstractNum w:abstractNumId="106">
    <w:nsid w:val="19E21BB2"/>
    <w:multiLevelType w:val="hybridMultilevel"/>
    <w:lvl w:ilvl="0">
      <w:lvlJc w:val="left"/>
      <w:lvlText w:val="(%1)"/>
      <w:numFmt w:val="lowerLetter"/>
      <w:start w:val="1"/>
    </w:lvl>
    <w:lvl w:ilvl="1">
      <w:lvlJc w:val="left"/>
      <w:lvlText w:val="(%2)"/>
      <w:numFmt w:val="lowerLetter"/>
      <w:start w:val="9"/>
    </w:lvl>
  </w:abstractNum>
  <w:abstractNum w:abstractNumId="107">
    <w:nsid w:val="75E0858A"/>
    <w:multiLevelType w:val="hybridMultilevel"/>
    <w:lvl w:ilvl="0">
      <w:lvlJc w:val="left"/>
      <w:lvlText w:val="%1"/>
      <w:numFmt w:val="lowerLetter"/>
      <w:start w:val="1"/>
    </w:lvl>
    <w:lvl w:ilvl="1">
      <w:lvlJc w:val="left"/>
      <w:lvlText w:val="(%2)"/>
      <w:numFmt w:val="lowerLetter"/>
      <w:start w:val="35"/>
    </w:lvl>
  </w:abstractNum>
  <w:abstractNum w:abstractNumId="108">
    <w:nsid w:val="57A61A29"/>
    <w:multiLevelType w:val="hybridMultilevel"/>
    <w:lvl w:ilvl="0">
      <w:lvlJc w:val="left"/>
      <w:lvlText w:val="(%1)"/>
      <w:numFmt w:val="lowerLetter"/>
      <w:start w:val="2"/>
    </w:lvl>
    <w:lvl w:ilvl="1">
      <w:lvlJc w:val="left"/>
      <w:lvlText w:val="(%2)"/>
      <w:numFmt w:val="lowerLetter"/>
      <w:start w:val="9"/>
    </w:lvl>
  </w:abstractNum>
  <w:abstractNum w:abstractNumId="109">
    <w:nsid w:val="5399C654"/>
    <w:multiLevelType w:val="hybridMultilevel"/>
    <w:lvl w:ilvl="0">
      <w:lvlJc w:val="left"/>
      <w:lvlText w:val="(%1)"/>
      <w:numFmt w:val="lowerRoman"/>
      <w:start w:val="2"/>
    </w:lvl>
  </w:abstractNum>
  <w:abstractNum w:abstractNumId="110">
    <w:nsid w:val="20EE1348"/>
    <w:multiLevelType w:val="hybridMultilevel"/>
    <w:lvl w:ilvl="0">
      <w:lvlJc w:val="left"/>
      <w:lvlText w:val="(%1)"/>
      <w:numFmt w:val="lowerRoman"/>
      <w:start w:val="4"/>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lowerLetter"/>
      <w:start w:val="8"/>
    </w:lvl>
  </w:abstractNum>
  <w:abstractNum w:abstractNumId="113">
    <w:nsid w:val="2157F6BC"/>
    <w:multiLevelType w:val="hybridMultilevel"/>
    <w:lvl w:ilvl="0">
      <w:lvlJc w:val="left"/>
      <w:lvlText w:val="(%1)"/>
      <w:numFmt w:val="lowerRoman"/>
      <w:start w:val="3"/>
    </w:lvl>
  </w:abstractNum>
  <w:abstractNum w:abstractNumId="114">
    <w:nsid w:val="704E1DD5"/>
    <w:multiLevelType w:val="hybridMultilevel"/>
    <w:lvl w:ilvl="0">
      <w:lvlJc w:val="left"/>
      <w:lvlText w:val="(%1)"/>
      <w:numFmt w:val="lowerLetter"/>
      <w:start w:val="1"/>
    </w:lvl>
  </w:abstractNum>
  <w:abstractNum w:abstractNumId="115">
    <w:nsid w:val="57D2F10E"/>
    <w:multiLevelType w:val="hybridMultilevel"/>
    <w:lvl w:ilvl="0">
      <w:lvlJc w:val="left"/>
      <w:lvlText w:val="(%1)"/>
      <w:numFmt w:val="lowerLetter"/>
      <w:start w:val="1"/>
    </w:lvl>
  </w:abstractNum>
  <w:abstractNum w:abstractNumId="116">
    <w:nsid w:val="BFFAE18"/>
    <w:multiLevelType w:val="hybridMultilevel"/>
    <w:lvl w:ilvl="0">
      <w:lvlJc w:val="left"/>
      <w:lvlText w:val="(%1)"/>
      <w:numFmt w:val="lowerLetter"/>
      <w:start w:val="1"/>
    </w:lvl>
  </w:abstractNum>
  <w:abstractNum w:abstractNumId="117">
    <w:nsid w:val="E3E47A8"/>
    <w:multiLevelType w:val="hybridMultilevel"/>
    <w:lvl w:ilvl="0">
      <w:lvlJc w:val="left"/>
      <w:lvlText w:val="(%1)"/>
      <w:numFmt w:val="lowerLetter"/>
      <w:start w:val="2"/>
    </w:lvl>
  </w:abstractNum>
  <w:abstractNum w:abstractNumId="118">
    <w:nsid w:val="2E48F044"/>
    <w:multiLevelType w:val="hybridMultilevel"/>
    <w:lvl w:ilvl="0">
      <w:lvlJc w:val="left"/>
      <w:lvlText w:val="(%1)"/>
      <w:numFmt w:val="lowerLetter"/>
      <w:start w:val="10"/>
    </w:lvl>
  </w:abstractNum>
  <w:abstractNum w:abstractNumId="119">
    <w:nsid w:val="49D0FEAC"/>
    <w:multiLevelType w:val="hybridMultilevel"/>
    <w:lvl w:ilvl="0">
      <w:lvlJc w:val="left"/>
      <w:lvlText w:val="(%1)"/>
      <w:numFmt w:val="lowerLetter"/>
      <w:start w:val="1"/>
    </w:lvl>
    <w:lvl w:ilvl="1">
      <w:lvlJc w:val="left"/>
      <w:lvlText w:val="(%2)"/>
      <w:numFmt w:val="lowerRoman"/>
      <w:start w:val="1"/>
    </w:lvl>
  </w:abstractNum>
  <w:abstractNum w:abstractNumId="120">
    <w:nsid w:val="4BEE5A5B"/>
    <w:multiLevelType w:val="hybridMultilevel"/>
    <w:lvl w:ilvl="0">
      <w:lvlJc w:val="left"/>
      <w:lvlText w:val="(%1)"/>
      <w:numFmt w:val="lowerLetter"/>
      <w:start w:val="2"/>
    </w:lvl>
  </w:abstractNum>
  <w:abstractNum w:abstractNumId="121">
    <w:nsid w:val="5551B9F3"/>
    <w:multiLevelType w:val="hybridMultilevel"/>
    <w:lvl w:ilvl="0">
      <w:lvlJc w:val="left"/>
      <w:lvlText w:val="%1."/>
      <w:numFmt w:val="decimal"/>
      <w:start w:val="1"/>
    </w:lvl>
    <w:lvl w:ilvl="1">
      <w:lvlJc w:val="left"/>
      <w:lvlText w:val="%2."/>
      <w:numFmt w:val="lowerLetter"/>
      <w:start w:val="1"/>
    </w:lvl>
  </w:abstractNum>
  <w:abstractNum w:abstractNumId="122">
    <w:nsid w:val="24F6AB8E"/>
    <w:multiLevelType w:val="hybridMultilevel"/>
    <w:lvl w:ilvl="0">
      <w:lvlJc w:val="left"/>
      <w:lvlText w:val="%1"/>
      <w:numFmt w:val="decimal"/>
      <w:start w:val="1"/>
    </w:lvl>
    <w:lvl w:ilvl="1">
      <w:lvlJc w:val="left"/>
      <w:lvlText w:val="%2."/>
      <w:numFmt w:val="lowerLetter"/>
      <w:start w:val="4"/>
    </w:lvl>
  </w:abstractNum>
  <w:abstractNum w:abstractNumId="123">
    <w:nsid w:val="634C574C"/>
    <w:multiLevelType w:val="hybridMultilevel"/>
    <w:lvl w:ilvl="0">
      <w:lvlJc w:val="left"/>
      <w:lvlText w:val="%1."/>
      <w:numFmt w:val="decimal"/>
      <w:start w:val="2"/>
    </w:lvl>
    <w:lvl w:ilvl="1">
      <w:lvlJc w:val="left"/>
      <w:lvlText w:val="%2"/>
      <w:numFmt w:val="lowerLetter"/>
      <w:start w:val="1"/>
    </w:lvl>
  </w:abstractNum>
  <w:abstractNum w:abstractNumId="124">
    <w:nsid w:val="24E99DD7"/>
    <w:multiLevelType w:val="hybridMultilevel"/>
    <w:lvl w:ilvl="0">
      <w:lvlJc w:val="left"/>
      <w:lvlText w:val="%1."/>
      <w:numFmt w:val="decimal"/>
      <w:start w:val="5"/>
    </w:lvl>
    <w:lvl w:ilvl="1">
      <w:lvlJc w:val="left"/>
      <w:lvlText w:val="%2"/>
      <w:numFmt w:val="lowerLetter"/>
      <w:start w:val="1"/>
    </w:lvl>
  </w:abstractNum>
  <w:abstractNum w:abstractNumId="125">
    <w:nsid w:val="2A31B62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6">
    <w:nsid w:val="1849C29B"/>
    <w:multiLevelType w:val="hybridMultilevel"/>
    <w:lvl w:ilvl="0">
      <w:lvlJc w:val="left"/>
      <w:lvlText w:val="%1"/>
      <w:numFmt w:val="lowerRoman"/>
      <w:start w:val="1"/>
    </w:lvl>
    <w:lvl w:ilvl="1">
      <w:lvlJc w:val="left"/>
      <w:lvlText w:val="%2."/>
      <w:numFmt w:val="upperLetter"/>
      <w:start w:val="2"/>
    </w:lvl>
  </w:abstractNum>
  <w:abstractNum w:abstractNumId="127">
    <w:nsid w:val="7DFF9D09"/>
    <w:multiLevelType w:val="hybridMultilevel"/>
    <w:lvl w:ilvl="0">
      <w:lvlJc w:val="left"/>
      <w:lvlText w:val="%1."/>
      <w:numFmt w:val="lowerRoman"/>
      <w:start w:val="3"/>
    </w:lvl>
    <w:lvl w:ilvl="1">
      <w:lvlJc w:val="left"/>
      <w:lvlText w:val="%2"/>
      <w:numFmt w:val="upperLetter"/>
      <w:start w:val="1"/>
    </w:lvl>
  </w:abstractNum>
  <w:abstractNum w:abstractNumId="128">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29">
    <w:nsid w:val="69E7F3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0">
    <w:nsid w:val="2A6DE80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1">
    <w:nsid w:val="1816F8C4"/>
    <w:multiLevelType w:val="hybridMultilevel"/>
    <w:lvl w:ilvl="0">
      <w:lvlJc w:val="left"/>
      <w:lvlText w:val="%1."/>
      <w:numFmt w:val="decimal"/>
      <w:start w:val="9"/>
    </w:lvl>
  </w:abstractNum>
  <w:abstractNum w:abstractNumId="132">
    <w:nsid w:val="37DF2233"/>
    <w:multiLevelType w:val="hybridMultilevel"/>
    <w:lvl w:ilvl="0">
      <w:lvlJc w:val="left"/>
      <w:lvlText w:val="(%1)"/>
      <w:numFmt w:val="lowerLetter"/>
      <w:start w:val="1"/>
    </w:lvl>
    <w:lvl w:ilvl="1">
      <w:lvlJc w:val="left"/>
      <w:lvlText w:val="(%2)"/>
      <w:numFmt w:val="lowerRoman"/>
      <w:start w:val="1"/>
    </w:lvl>
  </w:abstractNum>
  <w:abstractNum w:abstractNumId="133">
    <w:nsid w:val="7AB49DAF"/>
    <w:multiLevelType w:val="hybridMultilevel"/>
    <w:lvl w:ilvl="0">
      <w:lvlJc w:val="left"/>
      <w:lvlText w:val="%1"/>
      <w:numFmt w:val="lowerLetter"/>
      <w:start w:val="1"/>
    </w:lvl>
    <w:lvl w:ilvl="1">
      <w:lvlJc w:val="left"/>
      <w:lvlText w:val="(%2)"/>
      <w:numFmt w:val="lowerLetter"/>
      <w:start w:val="61"/>
    </w:lvl>
  </w:abstractNum>
  <w:abstractNum w:abstractNumId="134">
    <w:nsid w:val="759F82CD"/>
    <w:multiLevelType w:val="hybridMultilevel"/>
    <w:lvl w:ilvl="0">
      <w:lvlJc w:val="left"/>
      <w:lvlText w:val="(%1)"/>
      <w:numFmt w:val="lowerLetter"/>
      <w:start w:val="5"/>
    </w:lvl>
    <w:lvl w:ilvl="1">
      <w:lvlJc w:val="left"/>
      <w:lvlText w:val="%2"/>
      <w:numFmt w:val="lowerLetter"/>
      <w:start w:val="1"/>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Letter"/>
      <w:start w:val="3"/>
    </w:lvl>
  </w:abstractNum>
  <w:abstractNum w:abstractNumId="137">
    <w:nsid w:val="F819E7F"/>
    <w:multiLevelType w:val="hybridMultilevel"/>
    <w:lvl w:ilvl="0">
      <w:lvlJc w:val="left"/>
      <w:lvlText w:val="(%1)"/>
      <w:numFmt w:val="lowerLetter"/>
      <w:start w:val="4"/>
    </w:lvl>
  </w:abstractNum>
  <w:abstractNum w:abstractNumId="138">
    <w:nsid w:val="57C7D42D"/>
    <w:multiLevelType w:val="hybridMultilevel"/>
    <w:lvl w:ilvl="0">
      <w:lvlJc w:val="left"/>
      <w:lvlText w:val="%1."/>
      <w:numFmt w:val="decimal"/>
      <w:start w:val="1"/>
    </w:lvl>
  </w:abstractNum>
  <w:abstractNum w:abstractNumId="139">
    <w:nsid w:val="312167AD"/>
    <w:multiLevelType w:val="hybridMultilevel"/>
    <w:lvl w:ilvl="0">
      <w:lvlJc w:val="left"/>
      <w:lvlText w:val="%1."/>
      <w:numFmt w:val="decimal"/>
      <w:start w:val="2"/>
    </w:lvl>
  </w:abstractNum>
  <w:abstractNum w:abstractNumId="140">
    <w:nsid w:val="631B64D4"/>
    <w:multiLevelType w:val="hybridMultilevel"/>
    <w:lvl w:ilvl="0">
      <w:lvlJc w:val="left"/>
      <w:lvlText w:val="%1."/>
      <w:numFmt w:val="decimal"/>
      <w:start w:val="3"/>
    </w:lvl>
  </w:abstractNum>
  <w:abstractNum w:abstractNumId="141">
    <w:nsid w:val="78B5E776"/>
    <w:multiLevelType w:val="hybridMultilevel"/>
    <w:lvl w:ilvl="0">
      <w:lvlJc w:val="left"/>
      <w:lvlText w:val="1"/>
      <w:numFmt w:val="bullet"/>
      <w:start w:val="1"/>
    </w:lvl>
  </w:abstractNum>
  <w:abstractNum w:abstractNumId="142">
    <w:nsid w:val="75486E47"/>
    <w:multiLevelType w:val="hybridMultilevel"/>
    <w:lvl w:ilvl="0">
      <w:lvlJc w:val="left"/>
      <w:lvlText w:val="5"/>
      <w:numFmt w:val="bullet"/>
      <w:start w:val="1"/>
    </w:lvl>
  </w:abstractNum>
  <w:abstractNum w:abstractNumId="143">
    <w:nsid w:val="6E534CDE"/>
    <w:multiLevelType w:val="hybridMultilevel"/>
    <w:lvl w:ilvl="0">
      <w:lvlJc w:val="left"/>
      <w:lvlText w:val="(%1)"/>
      <w:numFmt w:val="decimal"/>
      <w:start w:val="1"/>
    </w:lvl>
  </w:abstractNum>
  <w:abstractNum w:abstractNumId="144">
    <w:nsid w:val="1A0DDE32"/>
    <w:multiLevelType w:val="hybridMultilevel"/>
    <w:lvl w:ilvl="0">
      <w:lvlJc w:val="left"/>
      <w:lvlText w:val="%1."/>
      <w:numFmt w:val="upperLetter"/>
      <w:start w:val="1"/>
    </w:lvl>
  </w:abstractNum>
  <w:abstractNum w:abstractNumId="145">
    <w:nsid w:val="65968C1C"/>
    <w:multiLevelType w:val="hybridMultilevel"/>
    <w:lvl w:ilvl="0">
      <w:lvlJc w:val="left"/>
      <w:lvlText w:val="%1."/>
      <w:numFmt w:val="decimal"/>
      <w:start w:val="1"/>
    </w:lvl>
  </w:abstractNum>
  <w:abstractNum w:abstractNumId="146">
    <w:nsid w:val="46263DEC"/>
    <w:multiLevelType w:val="hybridMultilevel"/>
    <w:lvl w:ilvl="0">
      <w:lvlJc w:val="left"/>
      <w:lvlText w:val="%1."/>
      <w:numFmt w:val="decimal"/>
      <w:start w:val="3"/>
    </w:lvl>
  </w:abstractNum>
  <w:abstractNum w:abstractNumId="147">
    <w:nsid w:val="260D8C4A"/>
    <w:multiLevelType w:val="hybridMultilevel"/>
    <w:lvl w:ilvl="0">
      <w:lvlJc w:val="left"/>
      <w:lvlText w:val="6"/>
      <w:numFmt w:val="bullet"/>
      <w:start w:val="1"/>
    </w:lvl>
  </w:abstractNum>
  <w:abstractNum w:abstractNumId="148">
    <w:nsid w:val="73D4D3C4"/>
    <w:multiLevelType w:val="hybridMultilevel"/>
    <w:lvl w:ilvl="0">
      <w:lvlJc w:val="left"/>
      <w:lvlText w:val="%1."/>
      <w:numFmt w:val="decimal"/>
      <w:start w:val="1"/>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2026-02-03T07:20:28Z</dcterms:created>
  <dcterms:modified xsi:type="dcterms:W3CDTF">2026-02-03T07:20:28Z</dcterms:modified>
</cp:coreProperties>
</file>