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Replimune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Montanova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6,609,000.00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6,609,000.00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6,609,000.00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Averill Master Fund,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5,610,970.00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5,610,970.00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5,610,970.00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Aaron Cowen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6,609,000.00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6,609,000.00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6,609,000.00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Replimune Group,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Unicorn Park Drive, Suite 303, Woburn, MA, 01801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Montanova Capital, LLC Averill Master Fund, Ltd. Aaron Cowen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Montanova Capital, LLC 11 E 26th Street, 16th Floor New York, New York 10010 United States of America Averill Master Fund, Ltd. c/o Maples Corporate Services Limited P.O. Box 309 Ugland House Grand Cayman KY1-1104 Cayman Islands Aaron Cowen c/o Montanova Capital, LLC 11 E 26th Street, 16th Floor New York, New York 10010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Montanova Capital, LLC - Delaware Averill Master Fund, Ltd. - Cayman Islands Aaron Cowen - United States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Montanova Capital, LLC - 6,609,000 Averill Master Fund, Ltd. - 5,610,970 Aaron Cowen - 6,609,000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Montanova Capital, LLC - 7.9% Averill Master Fund, Ltd. - 6.7% Aaron Cowen - 7.9%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Montanova Capital, LLC - 0 Averill Master Fund, Ltd. - 0 Aaron Cowen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Montanova Capital, LLC - 6,609,000 Averill Master Fund, Ltd. - 5,610,970 Aaron Cowen - 6,609,000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Montanova Capital, LLC - 0 Averill Master Fund, Ltd. - 0 Aaron Cowen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Montanova Capital, LLC - 6,609,000 Averill Master Fund, Ltd. - 5,610,970 Aaron Cowen - 6,609,000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securities reported in this Schedule 13G are directly owned by advisory clients of Montanova Capital, LLC. None of those advisory clients, other than Averill Master Fund, Ltd., may be deemed to beneficially own more than 5% of the 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24" w:type="dxa"/>
        <w:jc w:val="left"/>
        <w:tblInd w:w="0" w:type="dxa"/>
        <w:tblLayout w:type="fixed"/>
        <w:tblCellMar>
          <w:top w:w="28" w:type="dxa"/>
          <w:left w:w="28" w:type="dxa"/>
          <w:bottom w:w="28" w:type="dxa"/>
          <w:right w:w="28" w:type="dxa"/>
        </w:tblCellMar>
      </w:tblPr>
      <w:tblGrid>
        <w:gridCol w:w="2712"/>
        <w:gridCol w:w="2712"/>
      </w:tblGrid>
      <w:tr>
        <w:trPr/>
        <w:tc>
          <w:tcPr>
            <w:tcW w:w="2712" w:type="dxa"/>
            <w:tcBorders/>
            <w:vAlign w:val="center"/>
          </w:tcPr>
          <w:p>
            <w:pPr>
              <w:pStyle w:val="TableContents"/>
              <w:bidi w:val="0"/>
              <w:spacing w:before="0" w:after="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0"/>
                    <w:jc w:val="left"/>
                    <w:rPr/>
                  </w:pPr>
                  <w:r>
                    <w:rPr/>
                    <w:t>Montanova Capital, LLC</w:t>
                  </w:r>
                </w:p>
              </w:tc>
            </w:tr>
          </w:tbl>
          <w:p>
            <w:pPr>
              <w:pStyle w:val="TableContents"/>
              <w:bidi w:val="0"/>
              <w:spacing w:before="0" w:after="283"/>
              <w:jc w:val="left"/>
              <w:rPr/>
            </w:pPr>
            <w:r>
              <w:rPr/>
            </w:r>
          </w:p>
        </w:tc>
        <w:tc>
          <w:tcPr>
            <w:tcW w:w="27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Andrew Nathanson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Andrew Nathanson, General Counsel and Chief Compliance Officer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Averill Master Fund, Ltd.</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Andrew Nathanson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Andrew Nathanson, Authorized Signatory</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3278" w:type="dxa"/>
        <w:jc w:val="left"/>
        <w:tblInd w:w="0" w:type="dxa"/>
        <w:tblLayout w:type="fixed"/>
        <w:tblCellMar>
          <w:top w:w="28" w:type="dxa"/>
          <w:left w:w="28" w:type="dxa"/>
          <w:bottom w:w="28" w:type="dxa"/>
          <w:right w:w="28" w:type="dxa"/>
        </w:tblCellMar>
      </w:tblPr>
      <w:tblGrid>
        <w:gridCol w:w="1639"/>
        <w:gridCol w:w="1639"/>
      </w:tblGrid>
      <w:tr>
        <w:trPr/>
        <w:tc>
          <w:tcPr>
            <w:tcW w:w="1639" w:type="dxa"/>
            <w:tcBorders/>
            <w:vAlign w:val="center"/>
          </w:tcPr>
          <w:p>
            <w:pPr>
              <w:pStyle w:val="TableContents"/>
              <w:bidi w:val="0"/>
              <w:spacing w:before="0" w:after="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0"/>
                    <w:jc w:val="left"/>
                    <w:rPr/>
                  </w:pPr>
                  <w:r>
                    <w:rPr/>
                    <w:t>Aaron Cowen</w:t>
                  </w:r>
                </w:p>
              </w:tc>
            </w:tr>
          </w:tbl>
          <w:p>
            <w:pPr>
              <w:pStyle w:val="TableContents"/>
              <w:bidi w:val="0"/>
              <w:spacing w:before="0" w:after="283"/>
              <w:jc w:val="left"/>
              <w:rPr/>
            </w:pPr>
            <w:r>
              <w:rPr/>
            </w:r>
          </w:p>
        </w:tc>
        <w:tc>
          <w:tcPr>
            <w:tcW w:w="16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4"/>
        <w:gridCol w:w="4441"/>
      </w:tblGrid>
      <w:tr>
        <w:trPr/>
        <w:tc>
          <w:tcPr>
            <w:tcW w:w="57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Aaron Cowen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Aaron Cowen</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4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tbl>
      <w:tblPr>
        <w:tblW w:w="7366" w:type="dxa"/>
        <w:jc w:val="left"/>
        <w:tblInd w:w="0" w:type="dxa"/>
        <w:tblLayout w:type="fixed"/>
        <w:tblCellMar>
          <w:top w:w="28" w:type="dxa"/>
          <w:left w:w="28" w:type="dxa"/>
          <w:bottom w:w="28" w:type="dxa"/>
          <w:right w:w="28" w:type="dxa"/>
        </w:tblCellMar>
      </w:tblPr>
      <w:tblGrid>
        <w:gridCol w:w="7366"/>
      </w:tblGrid>
      <w:tr>
        <w:trPr/>
        <w:tc>
          <w:tcPr>
            <w:tcW w:w="7366" w:type="dxa"/>
            <w:tcBorders/>
            <w:vAlign w:val="center"/>
          </w:tcPr>
          <w:p>
            <w:pPr>
              <w:pStyle w:val="TableContents"/>
              <w:bidi w:val="0"/>
              <w:spacing w:before="0" w:after="283"/>
              <w:jc w:val="center"/>
              <w:rPr>
                <w:b/>
              </w:rPr>
            </w:pPr>
            <w:r>
              <w:rPr>
                <w:b/>
              </w:rPr>
              <w:t xml:space="preserve">Exhibit Information </w:t>
            </w:r>
          </w:p>
        </w:tc>
      </w:tr>
      <w:tr>
        <w:trPr/>
        <w:tc>
          <w:tcPr>
            <w:tcW w:w="7366" w:type="dxa"/>
            <w:tcBorders/>
            <w:vAlign w:val="center"/>
          </w:tcPr>
          <w:p>
            <w:pPr>
              <w:pStyle w:val="TableContents"/>
              <w:bidi w:val="0"/>
              <w:spacing w:before="0" w:after="283"/>
              <w:jc w:val="left"/>
              <w:rPr/>
            </w:pPr>
            <w:r>
              <w:rPr/>
              <w:t>Exhibit A - Joint Filing Agreement Exhibit B - Control Person Identification</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24" w:name="p15043430ex_a.htm"/>
      <w:bookmarkStart w:id="25" w:name="ksp15043430ex_a"/>
      <w:bookmarkEnd w:id="24"/>
      <w:bookmarkEnd w:id="25"/>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Amendment No. 1 to the Schedule 13G dated August 6, 2026 relating to the Common Stock, par value $0.001 per share, of Replimune Group, Inc. shall be filed on behalf of the undersigned.</w:t>
      </w:r>
    </w:p>
    <w:tbl>
      <w:tblPr>
        <w:tblW w:w="5000" w:type="pct"/>
        <w:jc w:val="left"/>
        <w:tblInd w:w="0" w:type="dxa"/>
        <w:tblLayout w:type="fixed"/>
        <w:tblCellMar>
          <w:top w:w="0" w:type="dxa"/>
          <w:left w:w="0" w:type="dxa"/>
          <w:bottom w:w="0" w:type="dxa"/>
          <w:right w:w="0" w:type="dxa"/>
        </w:tblCellMar>
      </w:tblPr>
      <w:tblGrid>
        <w:gridCol w:w="239"/>
        <w:gridCol w:w="729"/>
        <w:gridCol w:w="9237"/>
      </w:tblGrid>
      <w:tr>
        <w:trPr/>
        <w:tc>
          <w:tcPr>
            <w:tcW w:w="239" w:type="dxa"/>
            <w:tcBorders/>
            <w:vAlign w:val="center"/>
          </w:tcPr>
          <w:p>
            <w:pPr>
              <w:pStyle w:val="TableContents"/>
              <w:bidi w:val="0"/>
              <w:spacing w:before="0" w:after="0"/>
              <w:jc w:val="left"/>
              <w:rPr>
                <w:caps w:val="false"/>
                <w:smallCaps w:val="false"/>
              </w:rPr>
            </w:pPr>
            <w:r>
              <w:rPr>
                <w:caps w:val="false"/>
                <w:smallCaps w:val="false"/>
              </w:rPr>
              <w:t>  </w:t>
            </w:r>
          </w:p>
        </w:tc>
        <w:tc>
          <w:tcPr>
            <w:tcW w:w="9966" w:type="dxa"/>
            <w:gridSpan w:val="2"/>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MONTANOVA CAPITAL, LLC</w:t>
            </w:r>
          </w:p>
          <w:p>
            <w:pPr>
              <w:pStyle w:val="TableContents"/>
              <w:bidi w:val="0"/>
              <w:spacing w:before="0" w:after="0"/>
              <w:jc w:val="left"/>
              <w:rPr>
                <w:caps w:val="false"/>
                <w:smallCaps w:val="false"/>
              </w:rPr>
            </w:pPr>
            <w:r>
              <w:rPr>
                <w:caps w:val="false"/>
                <w:smallCaps w:val="false"/>
              </w:rPr>
              <w:t> </w:t>
            </w:r>
          </w:p>
        </w:tc>
      </w:tr>
      <w:tr>
        <w:trPr/>
        <w:tc>
          <w:tcPr>
            <w:tcW w:w="239" w:type="dxa"/>
            <w:tcBorders/>
            <w:vAlign w:val="center"/>
          </w:tcPr>
          <w:p>
            <w:pPr>
              <w:pStyle w:val="TableContents"/>
              <w:bidi w:val="0"/>
              <w:spacing w:before="0" w:after="0"/>
              <w:jc w:val="left"/>
              <w:rPr>
                <w:caps w:val="false"/>
                <w:smallCaps w:val="false"/>
              </w:rPr>
            </w:pPr>
            <w:r>
              <w:rPr>
                <w:caps w:val="false"/>
                <w:smallCaps w:val="false"/>
              </w:rPr>
              <w:t> </w:t>
            </w:r>
          </w:p>
        </w:tc>
        <w:tc>
          <w:tcPr>
            <w:tcW w:w="9966"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239" w:type="dxa"/>
            <w:tcBorders/>
            <w:vAlign w:val="center"/>
          </w:tcPr>
          <w:p>
            <w:pPr>
              <w:pStyle w:val="TableContents"/>
              <w:bidi w:val="0"/>
              <w:spacing w:before="0" w:after="0"/>
              <w:jc w:val="left"/>
              <w:rPr>
                <w:caps w:val="false"/>
                <w:smallCaps w:val="false"/>
              </w:rPr>
            </w:pPr>
            <w:r>
              <w:rPr>
                <w:caps w:val="false"/>
                <w:smallCaps w:val="false"/>
              </w:rPr>
              <w:t> </w:t>
            </w:r>
          </w:p>
        </w:tc>
        <w:tc>
          <w:tcPr>
            <w:tcW w:w="729"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p>
        </w:tc>
        <w:tc>
          <w:tcPr>
            <w:tcW w:w="9237"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Andrew Nathanson</w:t>
            </w:r>
          </w:p>
        </w:tc>
      </w:tr>
      <w:tr>
        <w:trPr/>
        <w:tc>
          <w:tcPr>
            <w:tcW w:w="239" w:type="dxa"/>
            <w:tcBorders/>
            <w:vAlign w:val="center"/>
          </w:tcPr>
          <w:p>
            <w:pPr>
              <w:pStyle w:val="TableContents"/>
              <w:bidi w:val="0"/>
              <w:spacing w:before="0" w:after="0"/>
              <w:jc w:val="left"/>
              <w:rPr>
                <w:caps w:val="false"/>
                <w:smallCaps w:val="false"/>
              </w:rPr>
            </w:pPr>
            <w:r>
              <w:rPr>
                <w:caps w:val="false"/>
                <w:smallCaps w:val="false"/>
              </w:rPr>
              <w:t> </w:t>
            </w:r>
          </w:p>
        </w:tc>
        <w:tc>
          <w:tcPr>
            <w:tcW w:w="729" w:type="dxa"/>
            <w:tcBorders/>
            <w:vAlign w:val="center"/>
          </w:tcPr>
          <w:p>
            <w:pPr>
              <w:pStyle w:val="TableContents"/>
              <w:bidi w:val="0"/>
              <w:spacing w:before="0" w:after="0"/>
              <w:jc w:val="left"/>
              <w:rPr>
                <w:caps w:val="false"/>
                <w:smallCaps w:val="false"/>
              </w:rPr>
            </w:pPr>
            <w:r>
              <w:rPr>
                <w:caps w:val="false"/>
                <w:smallCaps w:val="false"/>
              </w:rPr>
              <w:t> </w:t>
            </w:r>
          </w:p>
        </w:tc>
        <w:tc>
          <w:tcPr>
            <w:tcW w:w="9237" w:type="dxa"/>
            <w:tcBorders>
              <w:top w:val="single" w:sz="4" w:space="0" w:color="000000"/>
            </w:tcBorders>
            <w:tcMar>
              <w:top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Andrew Nathanson</w:t>
            </w:r>
          </w:p>
        </w:tc>
      </w:tr>
      <w:tr>
        <w:trPr/>
        <w:tc>
          <w:tcPr>
            <w:tcW w:w="239" w:type="dxa"/>
            <w:tcBorders/>
            <w:vAlign w:val="center"/>
          </w:tcPr>
          <w:p>
            <w:pPr>
              <w:pStyle w:val="TableContents"/>
              <w:bidi w:val="0"/>
              <w:spacing w:before="0" w:after="0"/>
              <w:jc w:val="left"/>
              <w:rPr>
                <w:caps w:val="false"/>
                <w:smallCaps w:val="false"/>
              </w:rPr>
            </w:pPr>
            <w:r>
              <w:rPr>
                <w:caps w:val="false"/>
                <w:smallCaps w:val="false"/>
              </w:rPr>
              <w:t> </w:t>
            </w:r>
          </w:p>
        </w:tc>
        <w:tc>
          <w:tcPr>
            <w:tcW w:w="729" w:type="dxa"/>
            <w:tcBorders/>
            <w:vAlign w:val="center"/>
          </w:tcPr>
          <w:p>
            <w:pPr>
              <w:pStyle w:val="TableContents"/>
              <w:bidi w:val="0"/>
              <w:spacing w:before="0" w:after="0"/>
              <w:jc w:val="left"/>
              <w:rPr>
                <w:caps w:val="false"/>
                <w:smallCaps w:val="false"/>
              </w:rPr>
            </w:pPr>
            <w:r>
              <w:rPr>
                <w:caps w:val="false"/>
                <w:smallCaps w:val="false"/>
              </w:rPr>
              <w:t> </w:t>
            </w:r>
          </w:p>
        </w:tc>
        <w:tc>
          <w:tcPr>
            <w:tcW w:w="9237"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General Counsel and Chief Compliance Officer</w:t>
            </w:r>
          </w:p>
        </w:tc>
      </w:tr>
      <w:tr>
        <w:trPr/>
        <w:tc>
          <w:tcPr>
            <w:tcW w:w="239" w:type="dxa"/>
            <w:tcBorders/>
            <w:vAlign w:val="center"/>
          </w:tcPr>
          <w:p>
            <w:pPr>
              <w:pStyle w:val="TableContents"/>
              <w:bidi w:val="0"/>
              <w:spacing w:before="0" w:after="0"/>
              <w:jc w:val="left"/>
              <w:rPr>
                <w:caps w:val="false"/>
                <w:smallCaps w:val="false"/>
              </w:rPr>
            </w:pPr>
            <w:r>
              <w:rPr>
                <w:caps w:val="false"/>
                <w:smallCaps w:val="false"/>
              </w:rPr>
              <w:t> </w:t>
            </w:r>
          </w:p>
        </w:tc>
        <w:tc>
          <w:tcPr>
            <w:tcW w:w="9966"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239" w:type="dxa"/>
            <w:tcBorders/>
            <w:vAlign w:val="center"/>
          </w:tcPr>
          <w:p>
            <w:pPr>
              <w:pStyle w:val="TableContents"/>
              <w:bidi w:val="0"/>
              <w:spacing w:before="0" w:after="0"/>
              <w:jc w:val="left"/>
              <w:rPr>
                <w:caps w:val="false"/>
                <w:smallCaps w:val="false"/>
              </w:rPr>
            </w:pPr>
            <w:r>
              <w:rPr>
                <w:caps w:val="false"/>
                <w:smallCaps w:val="false"/>
              </w:rPr>
              <w:t> </w:t>
            </w:r>
          </w:p>
        </w:tc>
        <w:tc>
          <w:tcPr>
            <w:tcW w:w="9966"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239" w:type="dxa"/>
            <w:tcBorders/>
            <w:vAlign w:val="center"/>
          </w:tcPr>
          <w:p>
            <w:pPr>
              <w:pStyle w:val="TableContents"/>
              <w:bidi w:val="0"/>
              <w:spacing w:before="0" w:after="0"/>
              <w:jc w:val="left"/>
              <w:rPr>
                <w:caps w:val="false"/>
                <w:smallCaps w:val="false"/>
              </w:rPr>
            </w:pPr>
            <w:r>
              <w:rPr>
                <w:caps w:val="false"/>
                <w:smallCaps w:val="false"/>
              </w:rPr>
              <w:t> </w:t>
            </w:r>
          </w:p>
        </w:tc>
        <w:tc>
          <w:tcPr>
            <w:tcW w:w="9966"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Averill Master Fund, Ltd.</w:t>
            </w:r>
          </w:p>
        </w:tc>
      </w:tr>
      <w:tr>
        <w:trPr/>
        <w:tc>
          <w:tcPr>
            <w:tcW w:w="239" w:type="dxa"/>
            <w:tcBorders/>
            <w:vAlign w:val="center"/>
          </w:tcPr>
          <w:p>
            <w:pPr>
              <w:pStyle w:val="TableContents"/>
              <w:bidi w:val="0"/>
              <w:spacing w:before="0" w:after="0"/>
              <w:jc w:val="left"/>
              <w:rPr>
                <w:caps w:val="false"/>
                <w:smallCaps w:val="false"/>
              </w:rPr>
            </w:pPr>
            <w:r>
              <w:rPr>
                <w:caps w:val="false"/>
                <w:smallCaps w:val="false"/>
              </w:rPr>
              <w:t> </w:t>
            </w:r>
          </w:p>
        </w:tc>
        <w:tc>
          <w:tcPr>
            <w:tcW w:w="9966"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239" w:type="dxa"/>
            <w:tcBorders/>
            <w:vAlign w:val="center"/>
          </w:tcPr>
          <w:p>
            <w:pPr>
              <w:pStyle w:val="TableContents"/>
              <w:bidi w:val="0"/>
              <w:spacing w:before="0" w:after="0"/>
              <w:jc w:val="left"/>
              <w:rPr>
                <w:caps w:val="false"/>
                <w:smallCaps w:val="false"/>
              </w:rPr>
            </w:pPr>
            <w:r>
              <w:rPr>
                <w:caps w:val="false"/>
                <w:smallCaps w:val="false"/>
              </w:rPr>
              <w:t> </w:t>
            </w:r>
          </w:p>
        </w:tc>
        <w:tc>
          <w:tcPr>
            <w:tcW w:w="729"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p>
        </w:tc>
        <w:tc>
          <w:tcPr>
            <w:tcW w:w="9237"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Andrew Nathanson</w:t>
            </w:r>
          </w:p>
        </w:tc>
      </w:tr>
      <w:tr>
        <w:trPr/>
        <w:tc>
          <w:tcPr>
            <w:tcW w:w="239" w:type="dxa"/>
            <w:tcBorders/>
            <w:vAlign w:val="center"/>
          </w:tcPr>
          <w:p>
            <w:pPr>
              <w:pStyle w:val="TableContents"/>
              <w:bidi w:val="0"/>
              <w:spacing w:before="0" w:after="0"/>
              <w:jc w:val="left"/>
              <w:rPr>
                <w:caps w:val="false"/>
                <w:smallCaps w:val="false"/>
              </w:rPr>
            </w:pPr>
            <w:r>
              <w:rPr>
                <w:caps w:val="false"/>
                <w:smallCaps w:val="false"/>
              </w:rPr>
              <w:t> </w:t>
            </w:r>
          </w:p>
        </w:tc>
        <w:tc>
          <w:tcPr>
            <w:tcW w:w="729" w:type="dxa"/>
            <w:tcBorders/>
            <w:vAlign w:val="center"/>
          </w:tcPr>
          <w:p>
            <w:pPr>
              <w:pStyle w:val="TableContents"/>
              <w:bidi w:val="0"/>
              <w:spacing w:before="0" w:after="0"/>
              <w:jc w:val="left"/>
              <w:rPr>
                <w:caps w:val="false"/>
                <w:smallCaps w:val="false"/>
              </w:rPr>
            </w:pPr>
            <w:r>
              <w:rPr>
                <w:caps w:val="false"/>
                <w:smallCaps w:val="false"/>
              </w:rPr>
              <w:t> </w:t>
            </w:r>
          </w:p>
        </w:tc>
        <w:tc>
          <w:tcPr>
            <w:tcW w:w="9237" w:type="dxa"/>
            <w:tcBorders>
              <w:top w:val="single" w:sz="4" w:space="0" w:color="000000"/>
            </w:tcBorders>
            <w:tcMar>
              <w:top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Andrew Nathanson</w:t>
            </w:r>
          </w:p>
        </w:tc>
      </w:tr>
      <w:tr>
        <w:trPr/>
        <w:tc>
          <w:tcPr>
            <w:tcW w:w="239" w:type="dxa"/>
            <w:tcBorders/>
            <w:vAlign w:val="center"/>
          </w:tcPr>
          <w:p>
            <w:pPr>
              <w:pStyle w:val="TableContents"/>
              <w:bidi w:val="0"/>
              <w:spacing w:before="0" w:after="0"/>
              <w:jc w:val="left"/>
              <w:rPr>
                <w:caps w:val="false"/>
                <w:smallCaps w:val="false"/>
              </w:rPr>
            </w:pPr>
            <w:r>
              <w:rPr>
                <w:caps w:val="false"/>
                <w:smallCaps w:val="false"/>
              </w:rPr>
              <w:t> </w:t>
            </w:r>
          </w:p>
        </w:tc>
        <w:tc>
          <w:tcPr>
            <w:tcW w:w="729" w:type="dxa"/>
            <w:tcBorders/>
            <w:vAlign w:val="center"/>
          </w:tcPr>
          <w:p>
            <w:pPr>
              <w:pStyle w:val="TableContents"/>
              <w:bidi w:val="0"/>
              <w:spacing w:before="0" w:after="0"/>
              <w:jc w:val="left"/>
              <w:rPr>
                <w:caps w:val="false"/>
                <w:smallCaps w:val="false"/>
              </w:rPr>
            </w:pPr>
            <w:r>
              <w:rPr>
                <w:caps w:val="false"/>
                <w:smallCaps w:val="false"/>
              </w:rPr>
              <w:t> </w:t>
            </w:r>
          </w:p>
        </w:tc>
        <w:tc>
          <w:tcPr>
            <w:tcW w:w="9237"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Authorized Signatory</w:t>
            </w:r>
          </w:p>
        </w:tc>
      </w:tr>
      <w:tr>
        <w:trPr/>
        <w:tc>
          <w:tcPr>
            <w:tcW w:w="239" w:type="dxa"/>
            <w:tcBorders/>
            <w:vAlign w:val="center"/>
          </w:tcPr>
          <w:p>
            <w:pPr>
              <w:pStyle w:val="TableContents"/>
              <w:bidi w:val="0"/>
              <w:spacing w:before="0" w:after="0"/>
              <w:jc w:val="left"/>
              <w:rPr>
                <w:caps w:val="false"/>
                <w:smallCaps w:val="false"/>
              </w:rPr>
            </w:pPr>
            <w:r>
              <w:rPr>
                <w:caps w:val="false"/>
                <w:smallCaps w:val="false"/>
              </w:rPr>
              <w:t> </w:t>
            </w:r>
          </w:p>
        </w:tc>
        <w:tc>
          <w:tcPr>
            <w:tcW w:w="9966"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239" w:type="dxa"/>
            <w:tcBorders/>
            <w:vAlign w:val="center"/>
          </w:tcPr>
          <w:p>
            <w:pPr>
              <w:pStyle w:val="TableContents"/>
              <w:bidi w:val="0"/>
              <w:spacing w:before="0" w:after="0"/>
              <w:jc w:val="left"/>
              <w:rPr>
                <w:caps w:val="false"/>
                <w:smallCaps w:val="false"/>
              </w:rPr>
            </w:pPr>
            <w:r>
              <w:rPr>
                <w:caps w:val="false"/>
                <w:smallCaps w:val="false"/>
              </w:rPr>
              <w:t> </w:t>
            </w:r>
          </w:p>
        </w:tc>
        <w:tc>
          <w:tcPr>
            <w:tcW w:w="9966"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239" w:type="dxa"/>
            <w:tcBorders/>
            <w:vAlign w:val="center"/>
          </w:tcPr>
          <w:p>
            <w:pPr>
              <w:pStyle w:val="TableContents"/>
              <w:bidi w:val="0"/>
              <w:spacing w:before="0" w:after="0"/>
              <w:jc w:val="left"/>
              <w:rPr>
                <w:caps w:val="false"/>
                <w:smallCaps w:val="false"/>
              </w:rPr>
            </w:pPr>
            <w:r>
              <w:rPr>
                <w:caps w:val="false"/>
                <w:smallCaps w:val="false"/>
              </w:rPr>
              <w:t> </w:t>
            </w:r>
          </w:p>
        </w:tc>
        <w:tc>
          <w:tcPr>
            <w:tcW w:w="9966" w:type="dxa"/>
            <w:gridSpan w:val="2"/>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AARON COWEN</w:t>
            </w:r>
          </w:p>
        </w:tc>
      </w:tr>
      <w:tr>
        <w:trPr/>
        <w:tc>
          <w:tcPr>
            <w:tcW w:w="239" w:type="dxa"/>
            <w:tcBorders/>
            <w:vAlign w:val="center"/>
          </w:tcPr>
          <w:p>
            <w:pPr>
              <w:pStyle w:val="TableContents"/>
              <w:bidi w:val="0"/>
              <w:spacing w:before="0" w:after="0"/>
              <w:jc w:val="left"/>
              <w:rPr>
                <w:caps w:val="false"/>
                <w:smallCaps w:val="false"/>
              </w:rPr>
            </w:pPr>
            <w:r>
              <w:rPr>
                <w:caps w:val="false"/>
                <w:smallCaps w:val="false"/>
              </w:rPr>
              <w:t> </w:t>
            </w:r>
          </w:p>
        </w:tc>
        <w:tc>
          <w:tcPr>
            <w:tcW w:w="9966"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239" w:type="dxa"/>
            <w:tcBorders/>
            <w:vAlign w:val="center"/>
          </w:tcPr>
          <w:p>
            <w:pPr>
              <w:pStyle w:val="TableContents"/>
              <w:bidi w:val="0"/>
              <w:spacing w:before="0" w:after="0"/>
              <w:jc w:val="left"/>
              <w:rPr>
                <w:caps w:val="false"/>
                <w:smallCaps w:val="false"/>
              </w:rPr>
            </w:pPr>
            <w:r>
              <w:rPr>
                <w:caps w:val="false"/>
                <w:smallCaps w:val="false"/>
              </w:rPr>
              <w:t> </w:t>
            </w:r>
          </w:p>
        </w:tc>
        <w:tc>
          <w:tcPr>
            <w:tcW w:w="729"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w:t>
            </w:r>
          </w:p>
        </w:tc>
        <w:tc>
          <w:tcPr>
            <w:tcW w:w="9237" w:type="dxa"/>
            <w:tcBorders>
              <w:bottom w:val="single" w:sz="4" w:space="0" w:color="000000"/>
            </w:tcBorders>
            <w:tcMar>
              <w:bottom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Aaron Cowen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2"/>
          <w:u w:val="single"/>
        </w:rPr>
      </w:pPr>
      <w:bookmarkStart w:id="26" w:name="p15043430ex_b.htm"/>
      <w:bookmarkStart w:id="27" w:name="ksp15043430ex_b"/>
      <w:bookmarkEnd w:id="26"/>
      <w:bookmarkEnd w:id="27"/>
      <w:r>
        <w:rPr>
          <w:rFonts w:ascii="Times New Roman;Times;Serif" w:hAnsi="Times New Roman;Times;Serif"/>
          <w:b w:val="false"/>
          <w:i w:val="false"/>
          <w:caps w:val="false"/>
          <w:smallCaps w:val="false"/>
          <w:sz w:val="22"/>
          <w:u w:val="single"/>
        </w:rPr>
        <w:t>Exhibit B</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Montanova Capital, LLC is the relevant entity for which Aaron Cowen is the control person.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1560</Words>
  <Characters>8015</Characters>
  <CharactersWithSpaces>9553</CharactersWithSpaces>
  <Paragraphs>315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(untitled)</dc:title>
</cp:coreProperties>
</file>