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val="false"/>
          <w:color w:val="000000"/>
          <w:sz w:val="20"/>
        </w:rPr>
        <w:t>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001-38596</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REPLIMUNE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229" w:type="dxa"/>
        <w:jc w:val="center"/>
        <w:tblInd w:w="0" w:type="dxa"/>
        <w:tblLayout w:type="fixed"/>
        <w:tblCellMar>
          <w:top w:w="28" w:type="dxa"/>
          <w:left w:w="28" w:type="dxa"/>
          <w:bottom w:w="28" w:type="dxa"/>
          <w:right w:w="28" w:type="dxa"/>
        </w:tblCellMar>
      </w:tblPr>
      <w:tblGrid>
        <w:gridCol w:w="933"/>
        <w:gridCol w:w="819"/>
        <w:gridCol w:w="828"/>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82-2082553</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500 Unicorn Park Drive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Suite 303</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Woburn MA 01801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(781) 222-9600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208"/>
        <w:gridCol w:w="1024"/>
        <w:gridCol w:w="1036"/>
        <w:gridCol w:w="109"/>
        <w:gridCol w:w="109"/>
        <w:gridCol w:w="109"/>
        <w:gridCol w:w="528"/>
        <w:gridCol w:w="528"/>
        <w:gridCol w:w="530"/>
        <w:gridCol w:w="109"/>
        <w:gridCol w:w="109"/>
        <w:gridCol w:w="109"/>
        <w:gridCol w:w="1372"/>
        <w:gridCol w:w="1372"/>
        <w:gridCol w:w="1953"/>
      </w:tblGrid>
      <w:tr>
        <w:trPr/>
        <w:tc>
          <w:tcPr>
            <w:tcW w:w="120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 (Nasdaq Global Select Market)</w:t>
            </w:r>
          </w:p>
        </w:tc>
      </w:tr>
    </w:tbl>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left"/>
        <w:rPr/>
      </w:pP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Large 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Non-accelerated filer</w:t>
            </w:r>
            <w:r>
              <w:rPr>
                <w:color w:val="000000"/>
              </w:rPr>
              <w:t xml:space="preserve">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par value $0.001 per share, outstanding as of August 11, 2026 was 94,219,634.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REPLIMUNE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2382"/>
        <w:gridCol w:w="2368"/>
        <w:gridCol w:w="2410"/>
        <w:gridCol w:w="255"/>
        <w:gridCol w:w="255"/>
        <w:gridCol w:w="363"/>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No.</w:t>
            </w:r>
          </w:p>
        </w:tc>
      </w:tr>
      <w:tr>
        <w:trPr/>
        <w:tc>
          <w:tcPr>
            <w:tcW w:w="933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0">
              <w:r>
                <w:rPr>
                  <w:rStyle w:val="InternetLink"/>
                  <w:rFonts w:ascii="Times New Roman;serif" w:hAnsi="Times New Roman;serif"/>
                  <w:b/>
                  <w:color w:val="0000FF"/>
                  <w:sz w:val="20"/>
                  <w:u w:val="single"/>
                </w:rPr>
                <w:t>PART I FINANCIAL INFORMATION</w:t>
              </w:r>
            </w:hyperlink>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acff4c9817fe42789dbf077adced7463_10">
              <w:r>
                <w:rPr>
                  <w:rStyle w:val="InternetLink"/>
                  <w:rFonts w:ascii="Times New Roman;serif" w:hAnsi="Times New Roman;serif"/>
                  <w:b w:val="false"/>
                  <w:color w:val="0000FF"/>
                  <w:sz w:val="20"/>
                  <w:u w:val="single"/>
                </w:rPr>
                <w:t>3</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
              <w:r>
                <w:rPr>
                  <w:rStyle w:val="InternetLink"/>
                  <w:rFonts w:ascii="Times New Roman;serif" w:hAnsi="Times New Roman;serif"/>
                  <w:b/>
                  <w:color w:val="0000FF"/>
                  <w:sz w:val="20"/>
                  <w:u w:val="single"/>
                </w:rPr>
                <w:t>Item 1.</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
              <w:r>
                <w:rPr>
                  <w:rStyle w:val="InternetLink"/>
                  <w:rFonts w:ascii="Times New Roman;serif" w:hAnsi="Times New Roman;serif"/>
                  <w:b/>
                  <w:color w:val="0000FF"/>
                  <w:sz w:val="20"/>
                  <w:u w:val="single"/>
                </w:rPr>
                <w:t>Condensed Consolidated Financial Statements (Unaudited)</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3">
              <w:r>
                <w:rPr>
                  <w:rStyle w:val="InternetLink"/>
                  <w:rFonts w:ascii="Times New Roman;serif" w:hAnsi="Times New Roman;serif"/>
                  <w:b w:val="false"/>
                  <w:color w:val="0000FF"/>
                  <w:sz w:val="20"/>
                  <w:u w:val="single"/>
                </w:rPr>
                <w:t>3</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6">
              <w:r>
                <w:rPr>
                  <w:rStyle w:val="InternetLink"/>
                  <w:rFonts w:ascii="Times New Roman;serif" w:hAnsi="Times New Roman;serif"/>
                  <w:b/>
                  <w:color w:val="0000FF"/>
                  <w:sz w:val="20"/>
                  <w:u w:val="single"/>
                </w:rPr>
                <w:t>Condensed Consolidated Balance Sheets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6">
              <w:r>
                <w:rPr>
                  <w:rStyle w:val="InternetLink"/>
                  <w:rFonts w:ascii="Times New Roman;serif" w:hAnsi="Times New Roman;serif"/>
                  <w:b w:val="false"/>
                  <w:color w:val="0000FF"/>
                  <w:sz w:val="20"/>
                  <w:u w:val="single"/>
                </w:rPr>
                <w:t>3</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9">
              <w:r>
                <w:rPr>
                  <w:rStyle w:val="InternetLink"/>
                  <w:rFonts w:ascii="Times New Roman;serif" w:hAnsi="Times New Roman;serif"/>
                  <w:b/>
                  <w:color w:val="0000FF"/>
                  <w:sz w:val="20"/>
                  <w:u w:val="single"/>
                </w:rPr>
                <w:t>Condensed Consolidated Statements of Operations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9">
              <w:r>
                <w:rPr>
                  <w:rStyle w:val="InternetLink"/>
                  <w:rFonts w:ascii="Times New Roman;serif" w:hAnsi="Times New Roman;serif"/>
                  <w:b w:val="false"/>
                  <w:color w:val="0000FF"/>
                  <w:sz w:val="20"/>
                  <w:u w:val="single"/>
                </w:rPr>
                <w:t>4</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22">
              <w:r>
                <w:rPr>
                  <w:rStyle w:val="InternetLink"/>
                  <w:rFonts w:ascii="Times New Roman;serif" w:hAnsi="Times New Roman;serif"/>
                  <w:b/>
                  <w:color w:val="0000FF"/>
                  <w:sz w:val="20"/>
                  <w:u w:val="single"/>
                </w:rPr>
                <w:t>Condensed Consolidated Statements of Comprehensive Loss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22">
              <w:r>
                <w:rPr>
                  <w:rStyle w:val="InternetLink"/>
                  <w:rFonts w:ascii="Times New Roman;serif" w:hAnsi="Times New Roman;serif"/>
                  <w:b w:val="false"/>
                  <w:color w:val="0000FF"/>
                  <w:sz w:val="20"/>
                  <w:u w:val="single"/>
                </w:rPr>
                <w:t>5</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25">
              <w:r>
                <w:rPr>
                  <w:rStyle w:val="InternetLink"/>
                  <w:rFonts w:ascii="Times New Roman;serif" w:hAnsi="Times New Roman;serif"/>
                  <w:b/>
                  <w:color w:val="0000FF"/>
                  <w:sz w:val="20"/>
                  <w:u w:val="single"/>
                </w:rPr>
                <w:t>Condensed Consolidated Statements of Stockholders’ Equity</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25">
              <w:r>
                <w:rPr>
                  <w:rStyle w:val="InternetLink"/>
                  <w:rFonts w:ascii="Times New Roman;serif" w:hAnsi="Times New Roman;serif"/>
                  <w:b w:val="false"/>
                  <w:color w:val="0000FF"/>
                  <w:sz w:val="20"/>
                  <w:u w:val="single"/>
                </w:rPr>
                <w:t>6</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28">
              <w:r>
                <w:rPr>
                  <w:rStyle w:val="InternetLink"/>
                  <w:rFonts w:ascii="Times New Roman;serif" w:hAnsi="Times New Roman;serif"/>
                  <w:b/>
                  <w:color w:val="0000FF"/>
                  <w:sz w:val="20"/>
                  <w:u w:val="single"/>
                </w:rPr>
                <w:t>Condensed Consolidated Statements of Cash Flows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28">
              <w:r>
                <w:rPr>
                  <w:rStyle w:val="InternetLink"/>
                  <w:rFonts w:ascii="Times New Roman;serif" w:hAnsi="Times New Roman;serif"/>
                  <w:b w:val="false"/>
                  <w:color w:val="0000FF"/>
                  <w:sz w:val="20"/>
                  <w:u w:val="single"/>
                </w:rPr>
                <w:t>7</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31">
              <w:r>
                <w:rPr>
                  <w:rStyle w:val="InternetLink"/>
                  <w:rFonts w:ascii="Times New Roman;serif" w:hAnsi="Times New Roman;serif"/>
                  <w:b/>
                  <w:color w:val="0000FF"/>
                  <w:sz w:val="20"/>
                  <w:u w:val="single"/>
                </w:rPr>
                <w:t>Notes to Unaudited Condensed Consolidated Financial Statements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31">
              <w:r>
                <w:rPr>
                  <w:rStyle w:val="InternetLink"/>
                  <w:rFonts w:ascii="Times New Roman;serif" w:hAnsi="Times New Roman;serif"/>
                  <w:b w:val="false"/>
                  <w:color w:val="0000FF"/>
                  <w:sz w:val="20"/>
                  <w:u w:val="single"/>
                </w:rPr>
                <w:t>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94">
              <w:r>
                <w:rPr>
                  <w:rStyle w:val="InternetLink"/>
                  <w:rFonts w:ascii="Times New Roman;serif" w:hAnsi="Times New Roman;serif"/>
                  <w:b/>
                  <w:color w:val="0000FF"/>
                  <w:sz w:val="20"/>
                  <w:u w:val="single"/>
                </w:rPr>
                <w:t>Item 2.</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94">
              <w:r>
                <w:rPr>
                  <w:rStyle w:val="InternetLink"/>
                  <w:rFonts w:ascii="Times New Roman;serif" w:hAnsi="Times New Roman;serif"/>
                  <w:b/>
                  <w:color w:val="0000FF"/>
                  <w:sz w:val="20"/>
                  <w:u w:val="single"/>
                </w:rPr>
                <w:t>Management’s Discussion and Analysis of Financial Condition and Results of Operations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94">
              <w:r>
                <w:rPr>
                  <w:rStyle w:val="InternetLink"/>
                  <w:rFonts w:ascii="Times New Roman;serif" w:hAnsi="Times New Roman;serif"/>
                  <w:b w:val="false"/>
                  <w:color w:val="0000FF"/>
                  <w:sz w:val="20"/>
                  <w:u w:val="single"/>
                </w:rPr>
                <w:t>24</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27">
              <w:r>
                <w:rPr>
                  <w:rStyle w:val="InternetLink"/>
                  <w:rFonts w:ascii="Times New Roman;serif" w:hAnsi="Times New Roman;serif"/>
                  <w:b/>
                  <w:color w:val="0000FF"/>
                  <w:sz w:val="20"/>
                  <w:u w:val="single"/>
                </w:rPr>
                <w:t>Item 3.</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27">
              <w:r>
                <w:rPr>
                  <w:rStyle w:val="InternetLink"/>
                  <w:rFonts w:ascii="Times New Roman;serif" w:hAnsi="Times New Roman;serif"/>
                  <w:b/>
                  <w:color w:val="0000FF"/>
                  <w:sz w:val="20"/>
                  <w:u w:val="single"/>
                </w:rPr>
                <w:t>Quantitative and Qualitative Disclosures About Market Risk</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27">
              <w:r>
                <w:rPr>
                  <w:rStyle w:val="InternetLink"/>
                  <w:rFonts w:ascii="Times New Roman;serif" w:hAnsi="Times New Roman;serif"/>
                  <w:b w:val="false"/>
                  <w:color w:val="0000FF"/>
                  <w:sz w:val="20"/>
                  <w:u w:val="single"/>
                </w:rPr>
                <w:t>37</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0">
              <w:r>
                <w:rPr>
                  <w:rStyle w:val="InternetLink"/>
                  <w:rFonts w:ascii="Times New Roman;serif" w:hAnsi="Times New Roman;serif"/>
                  <w:b/>
                  <w:color w:val="0000FF"/>
                  <w:sz w:val="20"/>
                  <w:u w:val="single"/>
                </w:rPr>
                <w:t>Item 4.</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0">
              <w:r>
                <w:rPr>
                  <w:rStyle w:val="InternetLink"/>
                  <w:rFonts w:ascii="Times New Roman;serif" w:hAnsi="Times New Roman;serif"/>
                  <w:b/>
                  <w:color w:val="0000FF"/>
                  <w:sz w:val="20"/>
                  <w:u w:val="single"/>
                </w:rPr>
                <w:t>Controls and Procedures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30">
              <w:r>
                <w:rPr>
                  <w:rStyle w:val="InternetLink"/>
                  <w:rFonts w:ascii="Times New Roman;serif" w:hAnsi="Times New Roman;serif"/>
                  <w:b w:val="false"/>
                  <w:color w:val="0000FF"/>
                  <w:sz w:val="20"/>
                  <w:u w:val="single"/>
                </w:rPr>
                <w:t>37</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3">
              <w:r>
                <w:rPr>
                  <w:rStyle w:val="InternetLink"/>
                  <w:rFonts w:ascii="Times New Roman;serif" w:hAnsi="Times New Roman;serif"/>
                  <w:b/>
                  <w:color w:val="0000FF"/>
                  <w:sz w:val="20"/>
                  <w:u w:val="single"/>
                </w:rPr>
                <w:t>PART II OTHER INFORMATION</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33">
              <w:r>
                <w:rPr>
                  <w:rStyle w:val="InternetLink"/>
                  <w:rFonts w:ascii="Times New Roman;serif" w:hAnsi="Times New Roman;serif"/>
                  <w:b w:val="false"/>
                  <w:color w:val="0000FF"/>
                  <w:sz w:val="20"/>
                  <w:u w:val="single"/>
                </w:rPr>
                <w:t>38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6">
              <w:r>
                <w:rPr>
                  <w:rStyle w:val="InternetLink"/>
                  <w:rFonts w:ascii="Times New Roman;serif" w:hAnsi="Times New Roman;serif"/>
                  <w:b/>
                  <w:color w:val="0000FF"/>
                  <w:sz w:val="20"/>
                  <w:u w:val="single"/>
                </w:rPr>
                <w:t>Item 1.</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6">
              <w:r>
                <w:rPr>
                  <w:rStyle w:val="InternetLink"/>
                  <w:rFonts w:ascii="Times New Roman;serif" w:hAnsi="Times New Roman;serif"/>
                  <w:b/>
                  <w:color w:val="0000FF"/>
                  <w:sz w:val="20"/>
                  <w:u w:val="single"/>
                </w:rPr>
                <w:t>Legal Proceedings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36">
              <w:r>
                <w:rPr>
                  <w:rStyle w:val="InternetLink"/>
                  <w:rFonts w:ascii="Times New Roman;serif" w:hAnsi="Times New Roman;serif"/>
                  <w:b w:val="false"/>
                  <w:color w:val="0000FF"/>
                  <w:sz w:val="20"/>
                  <w:u w:val="single"/>
                </w:rPr>
                <w:t>38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9">
              <w:r>
                <w:rPr>
                  <w:rStyle w:val="InternetLink"/>
                  <w:rFonts w:ascii="Times New Roman;serif" w:hAnsi="Times New Roman;serif"/>
                  <w:b/>
                  <w:color w:val="0000FF"/>
                  <w:sz w:val="20"/>
                  <w:u w:val="single"/>
                </w:rPr>
                <w:t>Item 1A.</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39">
              <w:r>
                <w:rPr>
                  <w:rStyle w:val="InternetLink"/>
                  <w:rFonts w:ascii="Times New Roman;serif" w:hAnsi="Times New Roman;serif"/>
                  <w:b/>
                  <w:color w:val="0000FF"/>
                  <w:sz w:val="20"/>
                  <w:u w:val="single"/>
                </w:rPr>
                <w:t>Risk Factors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39">
              <w:r>
                <w:rPr>
                  <w:rStyle w:val="InternetLink"/>
                  <w:rFonts w:ascii="Times New Roman;serif" w:hAnsi="Times New Roman;serif"/>
                  <w:b w:val="false"/>
                  <w:color w:val="0000FF"/>
                  <w:sz w:val="20"/>
                  <w:u w:val="single"/>
                </w:rPr>
                <w:t>38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42">
              <w:r>
                <w:rPr>
                  <w:rStyle w:val="InternetLink"/>
                  <w:rFonts w:ascii="Times New Roman;serif" w:hAnsi="Times New Roman;serif"/>
                  <w:b/>
                  <w:color w:val="0000FF"/>
                  <w:sz w:val="20"/>
                  <w:u w:val="single"/>
                </w:rPr>
                <w:t>Item 2.</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42">
              <w:r>
                <w:rPr>
                  <w:rStyle w:val="InternetLink"/>
                  <w:rFonts w:ascii="Times New Roman;serif" w:hAnsi="Times New Roman;serif"/>
                  <w:b/>
                  <w:color w:val="0000FF"/>
                  <w:sz w:val="20"/>
                  <w:u w:val="single"/>
                </w:rPr>
                <w:t>Unregistered Sales of Equity Securities and Use of Proceeds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42">
              <w:r>
                <w:rPr>
                  <w:rStyle w:val="InternetLink"/>
                  <w:rFonts w:ascii="Times New Roman;serif" w:hAnsi="Times New Roman;serif"/>
                  <w:b w:val="false"/>
                  <w:color w:val="0000FF"/>
                  <w:sz w:val="20"/>
                  <w:u w:val="single"/>
                </w:rPr>
                <w:t>78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45">
              <w:r>
                <w:rPr>
                  <w:rStyle w:val="InternetLink"/>
                  <w:rFonts w:ascii="Times New Roman;serif" w:hAnsi="Times New Roman;serif"/>
                  <w:b/>
                  <w:color w:val="0000FF"/>
                  <w:sz w:val="20"/>
                  <w:u w:val="single"/>
                </w:rPr>
                <w:t>Item 3.</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45">
              <w:r>
                <w:rPr>
                  <w:rStyle w:val="InternetLink"/>
                  <w:rFonts w:ascii="Times New Roman;serif" w:hAnsi="Times New Roman;serif"/>
                  <w:b/>
                  <w:color w:val="0000FF"/>
                  <w:sz w:val="20"/>
                  <w:u w:val="single"/>
                </w:rPr>
                <w:t>Defaults Upon Senior Securities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45">
              <w:r>
                <w:rPr>
                  <w:rStyle w:val="InternetLink"/>
                  <w:rFonts w:ascii="Times New Roman;serif" w:hAnsi="Times New Roman;serif"/>
                  <w:b w:val="false"/>
                  <w:color w:val="0000FF"/>
                  <w:sz w:val="20"/>
                  <w:u w:val="single"/>
                </w:rPr>
                <w:t>78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48">
              <w:r>
                <w:rPr>
                  <w:rStyle w:val="InternetLink"/>
                  <w:rFonts w:ascii="Times New Roman;serif" w:hAnsi="Times New Roman;serif"/>
                  <w:b/>
                  <w:color w:val="0000FF"/>
                  <w:sz w:val="20"/>
                  <w:u w:val="single"/>
                </w:rPr>
                <w:t>Item 4.</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48">
              <w:r>
                <w:rPr>
                  <w:rStyle w:val="InternetLink"/>
                  <w:rFonts w:ascii="Times New Roman;serif" w:hAnsi="Times New Roman;serif"/>
                  <w:b/>
                  <w:color w:val="0000FF"/>
                  <w:sz w:val="20"/>
                  <w:u w:val="single"/>
                </w:rPr>
                <w:t>Mine Safety Disclosure</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48">
              <w:r>
                <w:rPr>
                  <w:rStyle w:val="InternetLink"/>
                  <w:rFonts w:ascii="Times New Roman;serif" w:hAnsi="Times New Roman;serif"/>
                  <w:b w:val="false"/>
                  <w:color w:val="0000FF"/>
                  <w:sz w:val="20"/>
                  <w:u w:val="single"/>
                </w:rPr>
                <w:t>78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51">
              <w:r>
                <w:rPr>
                  <w:rStyle w:val="InternetLink"/>
                  <w:rFonts w:ascii="Times New Roman;serif" w:hAnsi="Times New Roman;serif"/>
                  <w:b/>
                  <w:color w:val="0000FF"/>
                  <w:sz w:val="20"/>
                  <w:u w:val="single"/>
                </w:rPr>
                <w:t>Item 5.</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51">
              <w:r>
                <w:rPr>
                  <w:rStyle w:val="InternetLink"/>
                  <w:rFonts w:ascii="Times New Roman;serif" w:hAnsi="Times New Roman;serif"/>
                  <w:b/>
                  <w:color w:val="0000FF"/>
                  <w:sz w:val="20"/>
                  <w:u w:val="single"/>
                </w:rPr>
                <w:t>Other Information</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51">
              <w:r>
                <w:rPr>
                  <w:rStyle w:val="InternetLink"/>
                  <w:rFonts w:ascii="Times New Roman;serif" w:hAnsi="Times New Roman;serif"/>
                  <w:b w:val="false"/>
                  <w:color w:val="0000FF"/>
                  <w:sz w:val="20"/>
                  <w:u w:val="single"/>
                </w:rPr>
                <w:t>78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57">
              <w:r>
                <w:rPr>
                  <w:rStyle w:val="InternetLink"/>
                  <w:rFonts w:ascii="Times New Roman;serif" w:hAnsi="Times New Roman;serif"/>
                  <w:b/>
                  <w:color w:val="0000FF"/>
                  <w:sz w:val="20"/>
                  <w:u w:val="single"/>
                </w:rPr>
                <w:t>Item 6.</w:t>
              </w:r>
            </w:hyperlink>
          </w:p>
        </w:tc>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57">
              <w:r>
                <w:rPr>
                  <w:rStyle w:val="InternetLink"/>
                  <w:rFonts w:ascii="Times New Roman;serif" w:hAnsi="Times New Roman;serif"/>
                  <w:b/>
                  <w:color w:val="0000FF"/>
                  <w:sz w:val="20"/>
                  <w:u w:val="single"/>
                </w:rPr>
                <w:t>Exhibits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57">
              <w:r>
                <w:rPr>
                  <w:rStyle w:val="InternetLink"/>
                  <w:rFonts w:ascii="Times New Roman;serif" w:hAnsi="Times New Roman;serif"/>
                  <w:b w:val="false"/>
                  <w:color w:val="0000FF"/>
                  <w:sz w:val="20"/>
                  <w:u w:val="single"/>
                </w:rPr>
                <w:t>79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ff4c9817fe42789dbf077adced7463_160">
              <w:r>
                <w:rPr>
                  <w:rStyle w:val="InternetLink"/>
                  <w:rFonts w:ascii="Times New Roman;serif" w:hAnsi="Times New Roman;serif"/>
                  <w:b/>
                  <w:color w:val="0000FF"/>
                  <w:sz w:val="20"/>
                  <w:u w:val="single"/>
                </w:rPr>
                <w:t>SIGNATURES</w:t>
              </w:r>
            </w:hyperlink>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cff4c9817fe42789dbf077adced7463_160">
              <w:r>
                <w:rPr>
                  <w:rStyle w:val="InternetLink"/>
                  <w:rFonts w:ascii="Times New Roman;serif" w:hAnsi="Times New Roman;serif"/>
                  <w:b w:val="false"/>
                  <w:color w:val="0000FF"/>
                  <w:sz w:val="20"/>
                  <w:u w:val="single"/>
                </w:rPr>
                <w:t>80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111111"/>
          <w:sz w:val="20"/>
        </w:rPr>
        <w:t>PART I</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color w:val="111111"/>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111111"/>
          <w:sz w:val="20"/>
        </w:rPr>
      </w:pPr>
      <w:r>
        <w:rPr>
          <w:rFonts w:ascii="Times New Roman;serif" w:hAnsi="Times New Roman;serif"/>
          <w:b/>
          <w:color w:val="111111"/>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REPLIMUNE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1"/>
        <w:gridCol w:w="2303"/>
        <w:gridCol w:w="2251"/>
        <w:gridCol w:w="219"/>
        <w:gridCol w:w="859"/>
        <w:gridCol w:w="113"/>
        <w:gridCol w:w="109"/>
        <w:gridCol w:w="109"/>
        <w:gridCol w:w="109"/>
        <w:gridCol w:w="230"/>
        <w:gridCol w:w="900"/>
        <w:gridCol w:w="172"/>
      </w:tblGrid>
      <w:tr>
        <w:trPr/>
        <w:tc>
          <w:tcPr>
            <w:tcW w:w="2831"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 receivable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279,119 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finance leases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net of discount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150,000,000 shares authorized as of June 30, 2026 and March 31, 2026; 83,979,366 and 82,716,923 shares issued and outstanding as of June 30, 2026 and March 31, 2026, respectively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(1,332,285)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(1,262,519)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252,447 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332,388 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REPLIMUNE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92" w:type="dxa"/>
        <w:jc w:val="left"/>
        <w:tblInd w:w="0" w:type="dxa"/>
        <w:tblLayout w:type="fixed"/>
        <w:tblCellMar>
          <w:top w:w="28" w:type="dxa"/>
          <w:left w:w="28" w:type="dxa"/>
          <w:bottom w:w="28" w:type="dxa"/>
          <w:right w:w="28" w:type="dxa"/>
        </w:tblCellMar>
      </w:tblPr>
      <w:tblGrid>
        <w:gridCol w:w="1949"/>
        <w:gridCol w:w="1715"/>
        <w:gridCol w:w="1720"/>
        <w:gridCol w:w="240"/>
        <w:gridCol w:w="841"/>
        <w:gridCol w:w="113"/>
        <w:gridCol w:w="113"/>
        <w:gridCol w:w="113"/>
        <w:gridCol w:w="113"/>
        <w:gridCol w:w="240"/>
        <w:gridCol w:w="841"/>
        <w:gridCol w:w="113"/>
        <w:gridCol w:w="109"/>
        <w:gridCol w:w="109"/>
        <w:gridCol w:w="109"/>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finance lease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debt obligations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loss per common share, basic and diluted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(0.72)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(0.95)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96,864,452 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91,516,199 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REPLIMUNE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955" w:type="dxa"/>
        <w:jc w:val="left"/>
        <w:tblInd w:w="0" w:type="dxa"/>
        <w:tblLayout w:type="fixed"/>
        <w:tblCellMar>
          <w:top w:w="28" w:type="dxa"/>
          <w:left w:w="28" w:type="dxa"/>
          <w:bottom w:w="28" w:type="dxa"/>
          <w:right w:w="28" w:type="dxa"/>
        </w:tblCellMar>
      </w:tblPr>
      <w:tblGrid>
        <w:gridCol w:w="1379"/>
        <w:gridCol w:w="1204"/>
        <w:gridCol w:w="1226"/>
        <w:gridCol w:w="220"/>
        <w:gridCol w:w="830"/>
        <w:gridCol w:w="113"/>
        <w:gridCol w:w="113"/>
        <w:gridCol w:w="113"/>
        <w:gridCol w:w="113"/>
        <w:gridCol w:w="220"/>
        <w:gridCol w:w="830"/>
        <w:gridCol w:w="113"/>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0"/>
        </w:rPr>
        <w:t>REPLIMUNE GROUP,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45"/>
        <w:gridCol w:w="597"/>
        <w:gridCol w:w="599"/>
        <w:gridCol w:w="480"/>
        <w:gridCol w:w="481"/>
        <w:gridCol w:w="196"/>
        <w:gridCol w:w="109"/>
        <w:gridCol w:w="109"/>
        <w:gridCol w:w="109"/>
        <w:gridCol w:w="212"/>
        <w:gridCol w:w="359"/>
        <w:gridCol w:w="120"/>
        <w:gridCol w:w="109"/>
        <w:gridCol w:w="109"/>
        <w:gridCol w:w="109"/>
        <w:gridCol w:w="196"/>
        <w:gridCol w:w="871"/>
        <w:gridCol w:w="109"/>
        <w:gridCol w:w="109"/>
        <w:gridCol w:w="109"/>
        <w:gridCol w:w="109"/>
        <w:gridCol w:w="196"/>
        <w:gridCol w:w="915"/>
        <w:gridCol w:w="109"/>
        <w:gridCol w:w="109"/>
        <w:gridCol w:w="109"/>
        <w:gridCol w:w="109"/>
        <w:gridCol w:w="266"/>
        <w:gridCol w:w="756"/>
        <w:gridCol w:w="149"/>
        <w:gridCol w:w="109"/>
        <w:gridCol w:w="109"/>
        <w:gridCol w:w="109"/>
        <w:gridCol w:w="200"/>
        <w:gridCol w:w="752"/>
        <w:gridCol w:w="162"/>
      </w:tblGrid>
      <w:tr>
        <w:trPr/>
        <w:tc>
          <w:tcPr>
            <w:tcW w:w="84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82,716,923 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1,144,368 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83,979,366 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77,085,024 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415,843 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77,807,174 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336,715 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REPLIMUNE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61" w:type="dxa"/>
        <w:jc w:val="left"/>
        <w:tblInd w:w="0" w:type="dxa"/>
        <w:tblLayout w:type="fixed"/>
        <w:tblCellMar>
          <w:top w:w="28" w:type="dxa"/>
          <w:left w:w="28" w:type="dxa"/>
          <w:bottom w:w="28" w:type="dxa"/>
          <w:right w:w="28" w:type="dxa"/>
        </w:tblCellMar>
      </w:tblPr>
      <w:tblGrid>
        <w:gridCol w:w="2658"/>
        <w:gridCol w:w="2338"/>
        <w:gridCol w:w="2354"/>
        <w:gridCol w:w="217"/>
        <w:gridCol w:w="851"/>
        <w:gridCol w:w="112"/>
        <w:gridCol w:w="112"/>
        <w:gridCol w:w="112"/>
        <w:gridCol w:w="112"/>
        <w:gridCol w:w="217"/>
        <w:gridCol w:w="820"/>
        <w:gridCol w:w="158"/>
      </w:tblGrid>
      <w:tr>
        <w:trPr/>
        <w:tc>
          <w:tcPr>
            <w:tcW w:w="265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 amortization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right-of-use-asset amortization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premiums and discounts on short-term investments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property, plant and equipment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transaction (gains) losses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 receivable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and software capitalization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short-term investments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 of finance lease obligation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expenses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REPLIMUNE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 xml:space="preserve">1. </w:t>
      </w:r>
      <w:r>
        <w:rPr>
          <w:rFonts w:ascii="Times New Roman;serif" w:hAnsi="Times New Roman;serif"/>
          <w:b/>
          <w:color w:val="000000"/>
          <w:sz w:val="20"/>
        </w:rPr>
        <w:t>Nature of the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Replimune Group, Inc. (the “Company”) is a commercial-stage biotechnology company with the mission to transform cancer treatment by pioneering the development of a novel portfolio of oncolytic immunotherapies. The Company's proprietary oncolytic immunotherapy product and product candidates are designed and intended to maximally activate the immune system against cancer. Replimune Group, Inc., whose predecessor was founded in 2015, is the parent company of its wholly owned, direct and indirect subsidiaries: Replimune Limited (“Replimune UK”); Replimune, Inc. (“Replimune US”); Replimune Securities Corporation; and Replimune (Ireland) Limited.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is subject to risks and uncertainties common to companies in the biotechnology industry, including, but not limited to, those related to the development and commercialization of our product and product candidates, our ability to successfully complete one or more confirmatory trials of TUDRIQEV (vusolimogene oderparepvec-wtpg), previously referred to as RP1, our expectations about our cash runway, the design and advancement of our clinical trials</w:t>
      </w:r>
      <w:r>
        <w:rPr>
          <w:rFonts w:ascii="Times New Roman;serif" w:hAnsi="Times New Roman;serif"/>
          <w:b w:val="false"/>
          <w:color w:val="000000"/>
          <w:sz w:val="24"/>
        </w:rPr>
        <w:t xml:space="preserve">, </w:t>
      </w:r>
      <w:r>
        <w:rPr>
          <w:rFonts w:ascii="Times New Roman;serif" w:hAnsi="Times New Roman;serif"/>
          <w:b w:val="false"/>
          <w:color w:val="000000"/>
          <w:sz w:val="20"/>
        </w:rPr>
        <w:t>the requirements and views of regulators, the development by competitors of new technological innovations, dependence on key personnel, protection of proprietary technology, third-party intellectual property, compliance with government regulations and the ability to secure additional capital to fund operations. Product candidates currently under development will require significant additional research and development efforts, including preclinical and clinical testing and regulatory review and approval, prior to commercialization. These efforts require significant amounts of additional capital, adequate personnel and infrastructure and extensive compliance and reporting capabilities. Even if the Company’s product development efforts are successful, it is uncertain when, if ever, the Company will realize revenue from product sales.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proprietary RPx platform is based on a novel, engineered strain of herpes simplex virus 1, or HSV-1, backbone with added payloads that are intended to maximize immunogenic cell death and the induction of a systemic anti-tumor immune response. In addition to TUDRIQEV, the Company currently has two further RPx product candidates, RP2 and RP3. We have been conducting a number of clinical trials of TUDRIQEV, both as a monotherapy and in combination with anti-PD-1 therapy with the goal of establishing a major skin cancer treatment franchise.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on the basis of continuity of operations, realization of assets and the satisfaction of liabilities and commitments in the ordinary course of business. The Company has incurred recurring losses since its inception, including net losses of $69.8 million and $86.7 million for the three months ended June 30, 2026 and 2025, respectively. In addition, as of June 30, 2026, the Company had an accumulated deficit of $1,332.3 million.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to continue to generate operating losses for the foreseeable future and will need to finance its future cash needs through any or a combination of equity offerings, debt financings, collaborations, strategic partnerships and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 As described in the Company's Annual Report on Form 10-K for the year ended March 31, 2026, substantial doubt existed about the Company's ability to continue as a going concern. The conditions that raised substantial doubt have been subsequently alleviated, as the Company raised approximately $141.0 million in net proceeds from an equity offering in August 2026. The Company expects that its cash and cash equivalents and short-term investments will be sufficient to fund its operations for greater than twelve months from the issuance of these condensed consolidated financial statements, which includes the commercialization of TUDRIQEV in advanced melanoma and for working capital and general corporate purposes. These estimates are based on assumptions that may prove to be wrong and the Company could utilize its available capital resources sooner than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color w:val="000000"/>
          <w:sz w:val="20"/>
        </w:rPr>
        <w:t>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("GAAP") and include the accounts of the Company and its direct and indirect wholly owned subsidiaries, Replimune UK, Replimune US, Replimune Securities Corporation and Replimune (Ireland) Limited after elimination of all intercompany accounts and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expenses and the valuation of stock-based awards. The Company bases its estimates on historical experience, known trends and other market-specific or other relevant factors that it believes to be reasonable under the circumstances.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 as of June 30, 2026, the condensed consolidated statements of operations, condensed consolidated statements of comprehensive loss and consolidated statements of stockholders’ equity for the three months ended June 30, 2026 and 2025 and the condensed consolidated statements of cash flows for the three months ended June 30, 2026 and 2025 are unaudited.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2026 and the results of its operations for the three months ended June 30, 2026 and 2025 and its cash flows for the three months ended June 30, 2026 and 2025. The financial data and other information disclosed in these consolidated notes related to the three months ended June 30, 2026 and 2025 are unaudited. The results for the three months ended June 30, 2026 are not necessarily indicative of results to be expected for the year ending March 31, 2027, any other interim periods or any future year or period. The financial information included herein should be read in conjunction with the financial statements and notes in the Company's Annual Report on Form 10-K for the year ended March 31, 2026, which was filed with the U.S. Securities and Exchange Commission, or the SEC, on June 29, 2026 (the "Annual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have been no changes to the Company’s significant accounting policies as described in the Annual Report.</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ASU-2024-03, Income Statement-Reporting Comprehensive Income-Expense Disaggregation Disclosures (Topic 220): Disaggregation of Income Statement Expenses. The ASU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The new guidance is effective for annual periods beginning after December 15, 2027, and interim periods within those fiscal years, with early adoption permitted. ASU 2025-06 may be applied retrospectively or prospectively. The Company is in the process of evaluating the impact of this new guidance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color w:val="000000"/>
          <w:sz w:val="20"/>
        </w:rPr>
        <w:t>Fair value of financial assets and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and liabilities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tbl>
      <w:tblPr>
        <w:tblW w:w="7201" w:type="dxa"/>
        <w:jc w:val="left"/>
        <w:tblInd w:w="0" w:type="dxa"/>
        <w:tblLayout w:type="fixed"/>
        <w:tblCellMar>
          <w:top w:w="28" w:type="dxa"/>
          <w:left w:w="28" w:type="dxa"/>
          <w:bottom w:w="28" w:type="dxa"/>
          <w:right w:w="28" w:type="dxa"/>
        </w:tblCellMar>
      </w:tblPr>
      <w:tblGrid>
        <w:gridCol w:w="950"/>
        <w:gridCol w:w="836"/>
        <w:gridCol w:w="839"/>
        <w:gridCol w:w="213"/>
        <w:gridCol w:w="411"/>
        <w:gridCol w:w="110"/>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w:t>
              <w:br/>
              <w:t>June 30, 2026 Using:</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11" w:type="dxa"/>
        <w:jc w:val="left"/>
        <w:tblInd w:w="0" w:type="dxa"/>
        <w:tblLayout w:type="fixed"/>
        <w:tblCellMar>
          <w:top w:w="28" w:type="dxa"/>
          <w:left w:w="28" w:type="dxa"/>
          <w:bottom w:w="28" w:type="dxa"/>
          <w:right w:w="28" w:type="dxa"/>
        </w:tblCellMar>
      </w:tblPr>
      <w:tblGrid>
        <w:gridCol w:w="950"/>
        <w:gridCol w:w="836"/>
        <w:gridCol w:w="839"/>
        <w:gridCol w:w="213"/>
        <w:gridCol w:w="411"/>
        <w:gridCol w:w="110"/>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w:t>
              <w:br/>
              <w:t>March 31, 2026 Using:</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underlying securities in the money market funds held by the Company are all government backed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there were no transfers between levels.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Valuation of cash equivalents and short-term investments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U.S. Government Agency bonds and U.S. Treasury bonds were valued by the Company using quoted prices in active markets for similar securities, which represent a Level 2 measurement within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color w:val="000000"/>
          <w:sz w:val="20"/>
        </w:rPr>
        <w:t>Short-term investments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March 31, 2026, the Company's available-for-sale investments by type consisted of the following:</w:t>
      </w:r>
    </w:p>
    <w:tbl>
      <w:tblPr>
        <w:tblW w:w="10205" w:type="dxa"/>
        <w:jc w:val="left"/>
        <w:tblInd w:w="0" w:type="dxa"/>
        <w:tblLayout w:type="fixed"/>
        <w:tblCellMar>
          <w:top w:w="28" w:type="dxa"/>
          <w:left w:w="28" w:type="dxa"/>
          <w:bottom w:w="28" w:type="dxa"/>
          <w:right w:w="28" w:type="dxa"/>
        </w:tblCellMar>
      </w:tblPr>
      <w:tblGrid>
        <w:gridCol w:w="925"/>
        <w:gridCol w:w="811"/>
        <w:gridCol w:w="816"/>
        <w:gridCol w:w="226"/>
        <w:gridCol w:w="662"/>
        <w:gridCol w:w="118"/>
        <w:gridCol w:w="109"/>
        <w:gridCol w:w="109"/>
        <w:gridCol w:w="109"/>
        <w:gridCol w:w="445"/>
        <w:gridCol w:w="857"/>
        <w:gridCol w:w="231"/>
        <w:gridCol w:w="109"/>
        <w:gridCol w:w="109"/>
        <w:gridCol w:w="109"/>
        <w:gridCol w:w="547"/>
        <w:gridCol w:w="703"/>
        <w:gridCol w:w="283"/>
        <w:gridCol w:w="109"/>
        <w:gridCol w:w="109"/>
        <w:gridCol w:w="109"/>
        <w:gridCol w:w="359"/>
        <w:gridCol w:w="690"/>
        <w:gridCol w:w="185"/>
        <w:gridCol w:w="109"/>
        <w:gridCol w:w="109"/>
        <w:gridCol w:w="109"/>
        <w:gridCol w:w="221"/>
        <w:gridCol w:w="649"/>
        <w:gridCol w:w="169"/>
      </w:tblGrid>
      <w:tr>
        <w:trPr/>
        <w:tc>
          <w:tcPr>
            <w:tcW w:w="92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5"/>
        <w:gridCol w:w="662"/>
        <w:gridCol w:w="666"/>
        <w:gridCol w:w="255"/>
        <w:gridCol w:w="875"/>
        <w:gridCol w:w="132"/>
        <w:gridCol w:w="109"/>
        <w:gridCol w:w="109"/>
        <w:gridCol w:w="109"/>
        <w:gridCol w:w="489"/>
        <w:gridCol w:w="942"/>
        <w:gridCol w:w="254"/>
        <w:gridCol w:w="109"/>
        <w:gridCol w:w="109"/>
        <w:gridCol w:w="109"/>
        <w:gridCol w:w="609"/>
        <w:gridCol w:w="782"/>
        <w:gridCol w:w="315"/>
        <w:gridCol w:w="109"/>
        <w:gridCol w:w="109"/>
        <w:gridCol w:w="109"/>
        <w:gridCol w:w="310"/>
        <w:gridCol w:w="597"/>
        <w:gridCol w:w="160"/>
        <w:gridCol w:w="109"/>
        <w:gridCol w:w="109"/>
        <w:gridCol w:w="109"/>
        <w:gridCol w:w="211"/>
        <w:gridCol w:w="721"/>
        <w:gridCol w:w="162"/>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59,857 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59,865 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March 31, 2026, available-for-sale securities consisted of investments that mature within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color w:val="000000"/>
          <w:sz w:val="20"/>
        </w:rPr>
        <w:t>Property, plant and equipment,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tbl>
      <w:tblPr>
        <w:tblW w:w="7044" w:type="dxa"/>
        <w:jc w:val="left"/>
        <w:tblInd w:w="0" w:type="dxa"/>
        <w:tblLayout w:type="fixed"/>
        <w:tblCellMar>
          <w:top w:w="28" w:type="dxa"/>
          <w:left w:w="28" w:type="dxa"/>
          <w:bottom w:w="28" w:type="dxa"/>
          <w:right w:w="28" w:type="dxa"/>
        </w:tblCellMar>
      </w:tblPr>
      <w:tblGrid>
        <w:gridCol w:w="1434"/>
        <w:gridCol w:w="1258"/>
        <w:gridCol w:w="1267"/>
        <w:gridCol w:w="258"/>
        <w:gridCol w:w="883"/>
        <w:gridCol w:w="133"/>
        <w:gridCol w:w="109"/>
        <w:gridCol w:w="109"/>
        <w:gridCol w:w="109"/>
        <w:gridCol w:w="288"/>
        <w:gridCol w:w="986"/>
        <w:gridCol w:w="210"/>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manufacturing and laboratory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property, plant and equipment</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plant and equipment,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including amortization on capitalized software, was $0.9 million for the three months ended June 30, 2026 and $0.9 million for the three months ended June 30, 2025. Amortization on capitalized software for the three months ended June 30, 2026 and 2025 was $0.3 million and $0.3 million, respectively. Depreciation and amortization expense is recorded within research and development and selling, general and administrative expenses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6.</w:t>
      </w:r>
      <w:r>
        <w:rPr>
          <w:color w:val="000000"/>
        </w:rPr>
        <w:t xml:space="preserve"> </w:t>
      </w:r>
      <w:r>
        <w:rPr>
          <w:rFonts w:ascii="Times New Roman;serif" w:hAnsi="Times New Roman;serif"/>
          <w:b/>
          <w:color w:val="000000"/>
          <w:sz w:val="20"/>
        </w:rPr>
        <w:t>Accrued expenses and other current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7644" w:type="dxa"/>
        <w:jc w:val="left"/>
        <w:tblInd w:w="0" w:type="dxa"/>
        <w:tblLayout w:type="fixed"/>
        <w:tblCellMar>
          <w:top w:w="28" w:type="dxa"/>
          <w:left w:w="28" w:type="dxa"/>
          <w:bottom w:w="28" w:type="dxa"/>
          <w:right w:w="28" w:type="dxa"/>
        </w:tblCellMar>
      </w:tblPr>
      <w:tblGrid>
        <w:gridCol w:w="1653"/>
        <w:gridCol w:w="1449"/>
        <w:gridCol w:w="1457"/>
        <w:gridCol w:w="258"/>
        <w:gridCol w:w="883"/>
        <w:gridCol w:w="133"/>
        <w:gridCol w:w="109"/>
        <w:gridCol w:w="109"/>
        <w:gridCol w:w="109"/>
        <w:gridCol w:w="288"/>
        <w:gridCol w:w="986"/>
        <w:gridCol w:w="210"/>
      </w:tblGrid>
      <w:tr>
        <w:trPr/>
        <w:tc>
          <w:tcPr>
            <w:tcW w:w="165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costs</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accrued expenses and other current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7</w:t>
      </w:r>
      <w:r>
        <w:rPr>
          <w:color w:val="000000"/>
        </w:rPr>
        <w:t xml:space="preserve"> </w:t>
      </w:r>
      <w:r>
        <w:rPr>
          <w:rFonts w:ascii="Times New Roman;serif" w:hAnsi="Times New Roman;serif"/>
          <w:b/>
          <w:color w:val="000000"/>
          <w:sz w:val="20"/>
        </w:rPr>
        <w:t>Debt</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2022, the Company and certain of its subsidiaries entered into a Loan and Security Agreement (the “Loan Agreement”), with Hercules Capital, Inc., as administrative agent, collateral agent and as a lender (“Hercules”). Pursuant to the Loan Agreement, the Company can borrow term loans in an aggregate maximum principal amount of up to $200.0 million under multiple tranches (the “Term Loan Facility”). Under the Loan Agreement, the Company borrowed an initial amount of $30.0 million on the closing date, and at the Company's sole option, could have drawn, but did not draw down, an additional $30.0 million on or prior to September 30, 2023. The Company can also draw as additional term loan advances in an aggregate principal amount of up to $115.0 million during the term of the Term Loan Facility subject to achievement of specified performance milestones, and two additional term loan advances up to an aggregate principal amount of $25.0 million subject to certain terms and conditions, on or prior to the end of the interest-only period. The Company intends to use the proceeds of the Term Loan Facility for working capital and general corporate purposes.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Agreement was subsequently amended (the "Amendment") on June 28, 2023 pursuant to which the Company agreed to draw an initial term loan advance in an aggregate principal amount not less than $30.0 million, provided that the aggregate amount of the term loan advances made under tranche 1 do not exceed $30.0 million, which reflects a decrease of $30.0 million from the $60.0 million in the original Loan Agreement for tranche 1. The total amount of the Loan Agreement, as well as the outstanding balance of the loan, was unchanged, but the option to borrow additional funds were redistributed from tranche 1 to tranche 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second amendment was made to the Loan Agreement (the "Second Amendment") on December 22, 2023 pursuant to which the Company agreed to draw a term loan advance in an aggregate principal amount not less than $15.0 million, provided that the aggregate amount of the term loan advances made under tranche 2 do not exceed $15.0 million on or prior to December 31, 2023. The Second Amendment re-allocated the total future consideration of the Loan Agreement to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tranches extending through September 2026, subject to the terms and conditions of the Loan Agreement. The Second Amendment did not change the total aggregate maximum principal amount to be drawn under the Loan Agreement, which remained up to $200.0 million. Upon closing of the Second Amendment on December 22, 2023, the Company drew down the tranche 2 amount of $15.0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third amendment was made to the Loan Agreement (the "Third Amendment") on January 29, 2026 (the "Third Amendment Closing Date") pursuant to which the Company drew down the tranche 3 loan advance amount of $35.0 million. The Third Amendment maintains a $200.0 million maximum principal amount and re-allocates the future tranches extending through December 2027, subject to the terms and conditions of the Loan Agreement. In addition, the Third Amendment extended the amortization date, with a balloon payment, inclusive of accrued interest and principal due on the maturity date of October 1, 2027 with the caveat that if the Company receives FDA approval prior to October 1, 2027, the amortization and maturity date shall be extended to October 1, 2029. As a result of the Company's receipt of approval from the FDA, the maturity date has been extended to October 1, 2029. Borrowings under the Loan Agreement are repayable in monthly interest-only payments through September 2029, with the outstanding principal balance of the Term Loan Facility bearing interest payable in cash at a floating rate per annum equal to the greater of (i) 8.50% and (ii) the Prime Rate plus 1.75%.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balance of the Term Loan Facility will bear “payment-in-kind” interest at the rate of 1.50% (“PIK Interest”), which PIK Interest will be added to the outstanding principal balance of the Term Loan Facility on each interest payment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Company's option, the Company may prepay all or a portion of the outstanding borrowings, subject to a prepayment fee of 3.0% of the principal amount if prepayment occurs during the 12 months following the Third Amendment Closing Date, 2.0% after 12 months following the Third Amendment Closing Date but prior to 36 months following the Closing Date, and 1.0% thereafter.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Agreement contains customary facility fees, events of default and representations, warranties and affirmative and negative covenants, including a financial covenant requiring the Company to maintain unrestricted cash in an amount not less than 35% of the aggregate outstanding secured obligations under the Loan Agreement in accounts subject to a control agreement in favor of the Agent (the “Unrestricted Cash”) at all times which commenced on January 1, 2024. In addition, the Loan Agreement, as amended, also contains a financial covenant that beginning on the later of (i) July 1, 2026 and (ii) the date on which the aggregate outstanding principal amount of the Term Loan Facility is equal to or greater than $100.0 million, the Company is required to satisfy one of the following requirements: (1) achieve a minimum amount of trailing three-month net product revenue tested on a monthly basis, (2) maintain a market capitalization in excess of $1.2 billion and Unrestricted Cash in an amount no less than 50% of the outstanding amount under the Term Loan Facility, or (3) maintain Unrestricted Cash in an amount no less than 85% of the outstanding amount under the Term Loan Facility.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paid a $0.5 million facility charge and incurred debt issuance costs of $1.5 million upon closing of the Loan Agreement. The Loan Agreement also provides for a final payment, payable upon maturity or the repayment of the obligations in full or in part (on a pro rata basis), equal to 4.95% of the aggregate principal amount of Term Loans advanced to the Borrower and repaid on such date, which is being accrued on the Company's consolidated balance sheet. The amount accrued for the final payment is $2.1 million as of June 30, 2026 and $1.7 million as of March 31,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Unamortized debt issuance costs are recorded as a reduction of the carrying amount on the term loan and amortized as interest expense using the effective-interest method. In addition, unamortized deferred financing costs of $0.4 million and $0.5 million were recorded in other assets as of June 30, 2026 and March 31, 2026, respectively. Interest expense for the three months ended June 30, 2026 was $2.6 million and $1.5 million for the three months ended June 30, 2025.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summary of obligations under the term loan as of June 30, 2026 and March 31, 2026 consisted of the following (in thousands):</w:t>
      </w:r>
    </w:p>
    <w:tbl>
      <w:tblPr>
        <w:tblW w:w="6160" w:type="dxa"/>
        <w:jc w:val="left"/>
        <w:tblInd w:w="0" w:type="dxa"/>
        <w:tblLayout w:type="fixed"/>
        <w:tblCellMar>
          <w:top w:w="28" w:type="dxa"/>
          <w:left w:w="28" w:type="dxa"/>
          <w:bottom w:w="28" w:type="dxa"/>
          <w:right w:w="28" w:type="dxa"/>
        </w:tblCellMar>
      </w:tblPr>
      <w:tblGrid>
        <w:gridCol w:w="1114"/>
        <w:gridCol w:w="977"/>
        <w:gridCol w:w="984"/>
        <w:gridCol w:w="258"/>
        <w:gridCol w:w="883"/>
        <w:gridCol w:w="133"/>
        <w:gridCol w:w="109"/>
        <w:gridCol w:w="109"/>
        <w:gridCol w:w="109"/>
        <w:gridCol w:w="288"/>
        <w:gridCol w:w="986"/>
        <w:gridCol w:w="210"/>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loan balance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charge and diligence fee</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end of term fee</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Long term debt, net of discount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annual principal payments due under the Loan Agreement as of fiscal June 30, 2026 and March 31, 2026 were as follows:</w:t>
      </w:r>
    </w:p>
    <w:p>
      <w:pPr>
        <w:pStyle w:val="TextBody"/>
        <w:bidi w:val="0"/>
        <w:spacing w:before="0" w:after="0"/>
        <w:ind w:left="0" w:right="0" w:firstLine="720"/>
        <w:jc w:val="left"/>
        <w:rPr/>
      </w:pPr>
      <w:r>
        <w:rPr/>
      </w:r>
    </w:p>
    <w:tbl>
      <w:tblPr>
        <w:tblW w:w="3641" w:type="dxa"/>
        <w:jc w:val="left"/>
        <w:tblInd w:w="0" w:type="dxa"/>
        <w:tblLayout w:type="fixed"/>
        <w:tblCellMar>
          <w:top w:w="28" w:type="dxa"/>
          <w:left w:w="28" w:type="dxa"/>
          <w:bottom w:w="28" w:type="dxa"/>
          <w:right w:w="28" w:type="dxa"/>
        </w:tblCellMar>
      </w:tblPr>
      <w:tblGrid>
        <w:gridCol w:w="201"/>
        <w:gridCol w:w="176"/>
        <w:gridCol w:w="179"/>
        <w:gridCol w:w="258"/>
        <w:gridCol w:w="883"/>
        <w:gridCol w:w="133"/>
        <w:gridCol w:w="109"/>
        <w:gridCol w:w="109"/>
        <w:gridCol w:w="109"/>
        <w:gridCol w:w="288"/>
        <w:gridCol w:w="986"/>
        <w:gridCol w:w="21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84,150 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84,150 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of future payments of long-term debt excludes the end of term charge of $4.0 million, which is due upon the maturity of the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8</w:t>
      </w:r>
      <w:r>
        <w:rPr>
          <w:color w:val="000000"/>
        </w:rPr>
        <w:t xml:space="preserve"> </w:t>
      </w:r>
      <w:r>
        <w:rPr>
          <w:rFonts w:ascii="Times New Roman;serif" w:hAnsi="Times New Roman;serif"/>
          <w:b/>
          <w:color w:val="000000"/>
          <w:sz w:val="20"/>
        </w:rPr>
        <w:t>Stockholders’ equity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March 31, 2026, the Company’s certificate of incorporation, as amended and restated, authorized the Company to issue up to 150,000,000 shares of common stock, par value $0.001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reserved for common stock for the exercise of outstanding stock options and the vesting of restricted stock units, the number of shares remaining available for grant under the Company’s 2018 Omnibus Incentive Compensation Plan and the Company’s Employee Stock Purchase Plan (see Note 10) and the exercise of the outstanding warrants to purchase shares of common stock as follows:</w:t>
      </w:r>
    </w:p>
    <w:tbl>
      <w:tblPr>
        <w:tblW w:w="8645" w:type="dxa"/>
        <w:jc w:val="center"/>
        <w:tblInd w:w="0" w:type="dxa"/>
        <w:tblLayout w:type="fixed"/>
        <w:tblCellMar>
          <w:top w:w="28" w:type="dxa"/>
          <w:left w:w="28" w:type="dxa"/>
          <w:bottom w:w="28" w:type="dxa"/>
          <w:right w:w="28" w:type="dxa"/>
        </w:tblCellMar>
      </w:tblPr>
      <w:tblGrid>
        <w:gridCol w:w="1842"/>
        <w:gridCol w:w="1619"/>
        <w:gridCol w:w="1623"/>
        <w:gridCol w:w="547"/>
        <w:gridCol w:w="549"/>
        <w:gridCol w:w="426"/>
        <w:gridCol w:w="109"/>
        <w:gridCol w:w="109"/>
        <w:gridCol w:w="109"/>
        <w:gridCol w:w="547"/>
        <w:gridCol w:w="549"/>
        <w:gridCol w:w="616"/>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12,492,872 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11,785,458 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performance stock units</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4,825,591 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5,508,882 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 future issuance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3,696,006 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1,569,457 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available for future grants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4,799,623 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4,102,399 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14,058,153 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14,058,153 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shares of common stock reserved for future issuance</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39,872,245</w:t>
            </w:r>
            <w:r>
              <w:rPr>
                <w:color w:val="000000"/>
              </w:rPr>
              <w:t>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37,024,349</w:t>
            </w:r>
            <w:r>
              <w:rPr>
                <w:color w:val="000000"/>
              </w:rPr>
              <w:t>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Undesignated preferred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certificate of incorporation, as amended and restated, authorized the Company to issue up to 10,000,000 shares of undesignated preferred stock, par value $0.001 per share. There were no undesignated preferred shares issued or outstanding as of June 30, 2026.</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2023, the Company and Leerink Partners LLC (the "Agent") entered into a sales agreement, which was subsequently amended on May 16, 2024, November 25, 2024 and May 22, 2025 (as so amended, the "2023 Sales Agreement"). Under the 2023 Sales Agreement, the Company may sell, from time to time, at its option, up to an aggregate of $100.0 million of shares of the Company's common stock, $0.001 par value shares (the "Shares"), through the Agent, as the Company's sales agent.</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Shares to be offered and sold under the 2023 Sales Agreement will be issued and sold (i) by methods deemed to be an “at the market offering” (“ATM”) as defined in Rule 415(a)(4) promulgated under the Securities Act of 1933, as amended, or if authorized by the Company, in negotiated transactions or block trades, and (ii) pursuant to a registration statement on Form S-3 filed by the Company with the SEC on November 6, 2025, which became effective in accordance with the provisions of Section 8(a) of the Securities Act of 1933, as may be amended from time to time, for an offering of various securities, including shares of the Company’s common stock, preferred stock, debt securities, warrants and/or units for sale to the public in one or more public offerings.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2023 Sales Agreement, the Agent will use reasonable efforts to sell the Shares from time to time, based upon the Company’s instructions (including any price, time or size limits or other customary parameters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conditions the Company may impose). The Company will pay the Agent a commission of up to 3.0% of the gross proceeds from the sale of the Shares. The Company has also agreed to provide the Agent with customary indemnification rights.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March 31, 2026, pursuant to the 2023 Sales Agreement, the Company issued and sold an aggregate of 4,019,975 shares of its common stock, resulting in net proceeds of $31.1 million, with $67.9 million left to sell under the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did not issue or sell any shares under the 2023 Sales Agreement. The Company cannot provide any assurances that it will issue any Shares pursuant to the 2023 Sales Agreement. </w:t>
      </w:r>
    </w:p>
    <w:p>
      <w:pPr>
        <w:pStyle w:val="TextBody"/>
        <w:bidi w:val="0"/>
        <w:spacing w:lineRule="auto" w:line="26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 offerings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14, 2024, the Company completed a private placement transaction (the "Private Placement") pursuant to which the Company sold (a) 5,668,937 shares of the Company's common stock, at an offering price of $8.82, and (b) in lieu of common stock to certain investors, pre-funded warrants to purchase 5,669,578 shares of the Company's common stock at an offering price of $8.819 per pre-funded warrant (the "June 2024 Pre-funded Warrants"). The Company received aggregate net proceeds in the Private Placement of approximately $96.7 million after deducting placement agent fees and other offering expenses payable by the Company of approximately $3.3 million.</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25, 2024, the Company completed a public offering of (a) 8,538,377 shares of the Company’s common stock, inclusive of the underwriters fully exercised 30-day option to purchase up to 1,615,377 additional shares of the Company's common stock at a public offering price of $13.00 per share, and (b) pre-funded warrants to purchase 3,846,184 shares of the Company’s common stock at a public offering price of $12.9999 per pre-funded warrant (the "December 2024 Pre-Funded Warrants"). The company received aggregate net proceeds of approximately $156.0 million after deducting fees and expenses of approximately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shd w:fill="FFFFFF" w:val="clear"/>
        </w:rPr>
        <w:t>9</w:t>
      </w:r>
      <w:r>
        <w:rPr>
          <w:color w:val="000000"/>
          <w:shd w:fill="FFFFFF" w:val="clear"/>
        </w:rPr>
        <w:t xml:space="preserve"> </w:t>
      </w:r>
      <w:r>
        <w:rPr>
          <w:rFonts w:ascii="Times New Roman;serif" w:hAnsi="Times New Roman;serif"/>
          <w:b/>
          <w:color w:val="000000"/>
          <w:sz w:val="20"/>
        </w:rPr>
        <w:t>Pre-funded Warrants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pre-funded warrants are exercisable at any time after the date of their issuance. As of June 30, 2026, unless otherwise modified by a holder of a pre-funded warrant, no holder may exercise a pre-funded warrant (i) if such holder, together with its affiliates, would beneficially own more than 9.99% (or, in the case of the December 2024 Pre-Funded Warrants, 4.99%) of the number of shares of the Company’s common stock outstanding immediately after giving effect to such exercise, or (ii) if the combined voting power of our securities beneficially owned by such holder, together with its affiliates, would exceed 9.99% (or, in the case of the December 2024 Pre-Funded Warrants, 4.99%) of the combined voting power of all of our securities then outstanding immediately after giving effect to the exercise of such pre-funded warrants, as such percentage ownership is determined in accordance with the terms of the pre-funded warrants. A holder of the June 2024 Pre-funded Warrants may increase or decrease this percentage to any other percentage not in excess of 9.99%, whereas a holder of the Company's other Pre-funded Warrants, may increase or decrease this percentage up to 19.99%, in all cases, by providing at least 61 days’ prior notice to the Company.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14,058,153 shares of the Company's common stock underlying the pre-funded warrants issued by the Company are not included in the number of issued and outstanding shares of the Company’s common stock as reported on the consolidated balance sheet, though they are included in the Company's annual pool increase calculation as described in Note 10, as well as the weighted average outstanding common stock in the calculation of basic and diluted net loss per share, as described below in Note 11.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10</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classified in the consolidated statements of operations as follows:</w:t>
      </w:r>
    </w:p>
    <w:tbl>
      <w:tblPr>
        <w:tblW w:w="5634" w:type="dxa"/>
        <w:jc w:val="left"/>
        <w:tblInd w:w="0" w:type="dxa"/>
        <w:tblLayout w:type="fixed"/>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100" w:after="283"/>
        <w:jc w:val="left"/>
        <w:rPr/>
      </w:pPr>
      <w:r>
        <w:rPr/>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The following table summarizes stock-based compensation expense by award type for the three months ended June 30, 2026 and 2025:</w:t>
      </w:r>
    </w:p>
    <w:tbl>
      <w:tblPr>
        <w:tblW w:w="5950" w:type="dxa"/>
        <w:jc w:val="left"/>
        <w:tblInd w:w="0" w:type="dxa"/>
        <w:tblLayout w:type="fixed"/>
        <w:tblCellMar>
          <w:top w:w="28" w:type="dxa"/>
          <w:left w:w="28" w:type="dxa"/>
          <w:bottom w:w="28" w:type="dxa"/>
          <w:right w:w="28" w:type="dxa"/>
        </w:tblCellMar>
      </w:tblPr>
      <w:tblGrid>
        <w:gridCol w:w="1182"/>
        <w:gridCol w:w="1040"/>
        <w:gridCol w:w="1048"/>
        <w:gridCol w:w="211"/>
        <w:gridCol w:w="616"/>
        <w:gridCol w:w="109"/>
        <w:gridCol w:w="109"/>
        <w:gridCol w:w="109"/>
        <w:gridCol w:w="109"/>
        <w:gridCol w:w="211"/>
        <w:gridCol w:w="616"/>
        <w:gridCol w:w="109"/>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and performance stock units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2018 Omnibus Incentive Compensation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2018, the Company’s board of directors adopted, and the Company’s stockholders approved the 2018 Omnibus Incentive Compensation Plan (the “2018 Plan”), which became effective immediately prior to the effectiveness of the registration statement filed in connection with the Company’s initial public offering. The 2018 Plan provides for the issuance of incentive stock options, non-qualified stock options, stock awards, stock units, stock appreciation rights and other stock-based awards. The number of shares of common stock initially reserved for issuance under the 2018 Plan is 3,617,968 shares. If any options or stock appreciation rights, including outstanding options and stock appreciation rights granted under the 2017 Plan (up to 2,520,247 shares), terminate, expire, or are canceled, forfeited, exchanged, or surrendered without having been exercised, or if any stock awards, stock units or other stock-based awards, including outstanding awards granted under the 2017 Plan, are forfeited, terminated, or otherwise not paid in full in shares of common stock, the shares of the Company’s common stock subject to such grants will be available for purposes of the 2018 Plan. The number of shares reserved for issuance under the 2018 Plan will increase automatically on the first day of each April equal to 4.0% of the total number of shares of common stock outstanding on the last trading day in the immediately preceding fiscal year, which includes for these purposes, the 14,058,153 shares issuable upon exercise of those pre-funded warrants as of March 31, 2026, as described in Note 9 to these condensed consolidated financial statements, or such lesser amount as determined by the Board. On April 1, 2026, the number of shares reserved for issuance under the 2018 Plan automatically increased by 3,871,003 shares pursuant to the terms of the 2018 Plan and based on total number of shares of common stock outstanding on March 31, 2026. As of June 30, 2026, 3,696,006 shares remained available for future grants under the 2018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2018 Plan is administered by the board of directors or, at the discretion of the board of directors, by a committee of the board of directors. However, the board of directors shall administer and approve all grants made to non-employee directors. The exercise prices, vesting and other restrictions are determined at the discretion of the board of directors, except that the exercise price per share of incentive stock options may not be less than 100% of the fair market value of the common stock on the date of grant (or 110% of fair value in the case of an award granted to employees who hold more than 10% of the total combined voting power of all classes of stock at the time of grant) and the term of stock options may not be greater than five years for an incentive stock option granted to a 10% stockholder and greater than ten years for all other options granted. Stock options awarded under both plans expire ten years after the grant date, unless the board of directors sets a shorter term. Vesting periods for the plan is determined at the discretion of the board of directors. Incentive stock options granted to employees and non-statutory options granted to employees, officers, members of the board of directors, advisors, and consultants of the Company typically vest over four years. In 2021 the board of directors initiated the award of restricted stock units ("RSUs"), under the 2018 Plan in addition to stock option awards available as part of the Company's equity incentive for employees, officers, advisors and consultants of the Company. The RSUs typically vest over four approximately equal annual installments with the first such installment occurring on a designated vesting date that is approximately on the one-year anniversary of the date of grant and the subsequent installments occurring on the subsequent three annual anniversaries of the designated vesting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2024, the Company's board of directors approved the award of performance stock units ("PSUs"), under the 2018 Plan in addition to the aforementioned stock option awards and RSUs available as part of the Company’s equity incentive for employees, officers, advisors and consultants of the Company, subject to non-market performance and service conditions. The grant date fair value for the PSUs is determined based on the market price of the Company's common stock on the grant date and expense is recognized over the requisite service period if and when the achievement of such performance condition is determined to be probable by the Company. On June 30, 2026, the compensation committee of the board of directors agreed to extend the performance period with respect to the “Target” performance level set forth in the PSU Award Agreement to end on December 24, 2026. Accordingly, the PSUs will</w:t>
      </w:r>
      <w:r>
        <w:rPr>
          <w:color w:val="000000"/>
        </w:rPr>
        <w:t xml:space="preserve"> </w:t>
      </w:r>
      <w:r>
        <w:rPr>
          <w:rFonts w:ascii="Times New Roman;serif" w:hAnsi="Times New Roman;serif"/>
          <w:b w:val="false"/>
          <w:color w:val="000000"/>
          <w:sz w:val="20"/>
        </w:rPr>
        <w:t>vest at 100%</w:t>
      </w:r>
      <w:r>
        <w:rPr>
          <w:color w:val="000000"/>
        </w:rPr>
        <w:t xml:space="preserve"> </w:t>
      </w:r>
      <w:r>
        <w:rPr>
          <w:rFonts w:ascii="Times New Roman;serif" w:hAnsi="Times New Roman;serif"/>
          <w:b w:val="false"/>
          <w:color w:val="000000"/>
          <w:sz w:val="20"/>
        </w:rPr>
        <w:t xml:space="preserve">given the approval of the Company's first Biologics License Application ("BLA") for TUDRIQEV by the Food and Drug Administration ("FDA"). The timing of recognition of this stock-based compensation expense is subject to our judgment as to when the performance conditions are considered probable of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achieved. The Company did not grant any PSUs under the 2018 Plan during the three months ended June 30, 2026 or 2025. The Company reassesses the probability of achieving the performance condition at each reporting period. As of June 30, 2026, the Company has not recognized any expense related to PSUs.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2018, the Company’s board of directors adopted and the Company’s stockholders approved the Employee Stock Purchase Plan (the “ESPP”), which became effective immediately prior to the effectiveness of the registration statement that was filed in connection with the Company’s IPO. The total shares of common stock initially reserved for issuance under the ESPP is 348,612 shares. In addition, as of the first trading day of each fiscal year during the term of the ESPP (excluding any extensions), an additional number of shares of the Company’s common stock equal to 1% of the total number of shares outstanding on the last trading day in the immediately preceding fiscal year, which includes for these purposes, the 14,058,153 shares issuable upon exercise of those pre-funded warrants described in Note 9 to these condensed consolidated financial statements, or 697,224 shares, whichever is less (or such lesser amount as determined by the Company’s board of directors) will be added to the number of shares authorized under the ESPP. In accordance with the terms of the ESPP, on April 1, 2026, the number of shares reserved for issuance under the ESPP automatically increased by 697,224, for a total of 4,799,623 shares reserved for the ESPP. If the total number of shares of common stock to be purchased pursuant to outstanding purchase rights on any particular date exceed the number of shares then available for issuance under the ESPP, then the plan administrator will allocate the available shares pro-rata and refund any excess payroll deductions or other contributions to participants. The Company’s ESPP is not currently active.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Out-of-Plan Inducement Grants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grants equity awards to newly hired employees and executives as a material inducement to enter into employment with the Company. The grants constitute "employment inducement grants" in accordance with Rule 5635(c)(4) of the Nasdaq Listing Rules and have been issued outside of the 2018 Plan and each of the other stock incentive plans described above. The inducement grants typically include nonqualified stock options to purchase shares of the Company's common stock, as well as restricted stock unit grants representing shares of the Company's common stock. These stock option and restricted stock unit inducement grants have terms and conditions consistent with those set forth under the 2018 Plan and vest under the same respective vesting schedules as stock option and restricted stock unit awards granted under the 2018 Plan. The inducement grants are included in the stock option and RSU award tables below. The Company did not grant any out-of-plan inducement grants during the three months ended June 30, 2026. During the three months ended June 30, 2025, the Company granted 156,895 nonqualified stock options to purchase shares of the Company's common stock, and 240,960 restricted stock units under employment inducement grants.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Stock option valuation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 grants is estimated using the Black-Scholes option-pricing model, which requires inputs based on certain subjective assumptions including the expected stock price volatility, the expected term of the option, the risk-free interest rate determined by reference to the U.S Treasury yield curve in effect at the time of grant of the award for a period that approximates the expected term of the option, and our expected dividend yield. The expected term of stock options granted to non-employees is equal to the contractual term of the option award. Expected dividend yield is based on the fact that the Company has never paid cash dividends and does not expect to pay any cash dividends in the foreseeable future. For options with service-based vesting conditions, the expected term of the Company’s stock options has been determined utilizing the “simplified” method for awards that qualify as “plain-vanilla” options.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Forfeitures are accounted for as they occur.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on a weighted-average basis, the assumptions that the Company used to determine the grant-date fair value of stock options granted to employees and directors:</w:t>
      </w:r>
    </w:p>
    <w:tbl>
      <w:tblPr>
        <w:tblW w:w="4875" w:type="dxa"/>
        <w:jc w:val="left"/>
        <w:tblInd w:w="0" w:type="dxa"/>
        <w:tblLayout w:type="fixed"/>
        <w:tblCellMar>
          <w:top w:w="28" w:type="dxa"/>
          <w:left w:w="28" w:type="dxa"/>
          <w:bottom w:w="28" w:type="dxa"/>
          <w:right w:w="28" w:type="dxa"/>
        </w:tblCellMar>
      </w:tblPr>
      <w:tblGrid>
        <w:gridCol w:w="772"/>
        <w:gridCol w:w="676"/>
        <w:gridCol w:w="682"/>
        <w:gridCol w:w="352"/>
        <w:gridCol w:w="264"/>
        <w:gridCol w:w="389"/>
        <w:gridCol w:w="156"/>
        <w:gridCol w:w="156"/>
        <w:gridCol w:w="156"/>
        <w:gridCol w:w="292"/>
        <w:gridCol w:w="219"/>
        <w:gridCol w:w="389"/>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tbl>
      <w:tblPr>
        <w:tblW w:w="10205" w:type="dxa"/>
        <w:jc w:val="left"/>
        <w:tblInd w:w="0" w:type="dxa"/>
        <w:tblLayout w:type="fixed"/>
        <w:tblCellMar>
          <w:top w:w="28" w:type="dxa"/>
          <w:left w:w="28" w:type="dxa"/>
          <w:bottom w:w="28" w:type="dxa"/>
          <w:right w:w="28" w:type="dxa"/>
        </w:tblCellMar>
      </w:tblPr>
      <w:tblGrid>
        <w:gridCol w:w="1646"/>
        <w:gridCol w:w="1445"/>
        <w:gridCol w:w="1454"/>
        <w:gridCol w:w="540"/>
        <w:gridCol w:w="541"/>
        <w:gridCol w:w="333"/>
        <w:gridCol w:w="109"/>
        <w:gridCol w:w="109"/>
        <w:gridCol w:w="109"/>
        <w:gridCol w:w="211"/>
        <w:gridCol w:w="616"/>
        <w:gridCol w:w="109"/>
        <w:gridCol w:w="109"/>
        <w:gridCol w:w="109"/>
        <w:gridCol w:w="109"/>
        <w:gridCol w:w="412"/>
        <w:gridCol w:w="412"/>
        <w:gridCol w:w="414"/>
        <w:gridCol w:w="109"/>
        <w:gridCol w:w="109"/>
        <w:gridCol w:w="109"/>
        <w:gridCol w:w="211"/>
        <w:gridCol w:w="721"/>
        <w:gridCol w:w="159"/>
      </w:tblGrid>
      <w:tr>
        <w:trPr/>
        <w:tc>
          <w:tcPr>
            <w:tcW w:w="16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11,785,458 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2,167,083 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(118,075)</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(1,341,594)</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12,492,872 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30, 2026</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8,594,036 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June 30, 2026</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12,492,872 </w:t>
            </w:r>
          </w:p>
        </w:tc>
        <w:tc>
          <w:tcPr>
            <w:tcW w:w="3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$23.4 million of unrecognized compensation cost related to unvested common stock options, which is expected to be recognized over a weighted average period of 2.7 years.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stock options granted during the three months ended June 30, 2026 and 2025 was $6.33 and $5.80, respectively. The aggregate intrinsic value of stock options exercised during the three months ended June 30, 2026 was $0.2 million and the aggregate intrinsic value of stock options exercised during the three months ended June 30, 2025 was immaterial.</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and performance stock units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Company’s RSUs and PSUs during the three months ended June 30, 2026 is as follows:</w:t>
      </w:r>
    </w:p>
    <w:tbl>
      <w:tblPr>
        <w:tblW w:w="7781" w:type="dxa"/>
        <w:jc w:val="left"/>
        <w:tblInd w:w="0" w:type="dxa"/>
        <w:tblLayout w:type="fixed"/>
        <w:tblCellMar>
          <w:top w:w="28" w:type="dxa"/>
          <w:left w:w="28" w:type="dxa"/>
          <w:bottom w:w="28" w:type="dxa"/>
          <w:right w:w="28" w:type="dxa"/>
        </w:tblCellMar>
      </w:tblPr>
      <w:tblGrid>
        <w:gridCol w:w="1043"/>
        <w:gridCol w:w="915"/>
        <w:gridCol w:w="921"/>
        <w:gridCol w:w="839"/>
        <w:gridCol w:w="839"/>
        <w:gridCol w:w="842"/>
        <w:gridCol w:w="109"/>
        <w:gridCol w:w="109"/>
        <w:gridCol w:w="109"/>
        <w:gridCol w:w="494"/>
        <w:gridCol w:w="1198"/>
        <w:gridCol w:w="363"/>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Restricted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 Value</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5,508,882 </w:t>
            </w:r>
          </w:p>
        </w:tc>
        <w:tc>
          <w:tcPr>
            <w:tcW w:w="8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2,510,630 </w:t>
            </w:r>
          </w:p>
        </w:tc>
        <w:tc>
          <w:tcPr>
            <w:tcW w:w="8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(1,144,368)</w:t>
            </w:r>
          </w:p>
        </w:tc>
        <w:tc>
          <w:tcPr>
            <w:tcW w:w="8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(2,049,553)</w:t>
            </w:r>
          </w:p>
        </w:tc>
        <w:tc>
          <w:tcPr>
            <w:tcW w:w="8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4,825,591 </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weighted average grant date fair value of awards granted is $19.2 million and $20.1 million, respectively. In addition, the total fair value of shares vested during the three months ended June 30, 2026 and 2025 is $12.0 million and $11.7 million, respectively. As of June 30, 2026, there was $34.1 million of unrecognized compensation cost related to unvested restricted stock units, which is expected to be recognized over a weighted average period of 2.7 years. In addition, unrecognized compensation costs related to performance based awards tied to the achievement of a company milestone account for approximately $3.2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11</w:t>
      </w:r>
      <w:r>
        <w:rPr>
          <w:color w:val="000000"/>
        </w:rPr>
        <w:t xml:space="preserve"> </w:t>
      </w:r>
      <w:r>
        <w:rPr>
          <w:rFonts w:ascii="Times New Roman;serif" w:hAnsi="Times New Roman;serif"/>
          <w:b/>
          <w:color w:val="000000"/>
          <w:sz w:val="20"/>
        </w:rPr>
        <w:t>Net loss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was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tbl>
      <w:tblPr>
        <w:tblW w:w="8593" w:type="dxa"/>
        <w:jc w:val="left"/>
        <w:tblInd w:w="0" w:type="dxa"/>
        <w:tblLayout w:type="fixed"/>
        <w:tblCellMar>
          <w:top w:w="28" w:type="dxa"/>
          <w:left w:w="28" w:type="dxa"/>
          <w:bottom w:w="28" w:type="dxa"/>
          <w:right w:w="28" w:type="dxa"/>
        </w:tblCellMar>
      </w:tblPr>
      <w:tblGrid>
        <w:gridCol w:w="1942"/>
        <w:gridCol w:w="1713"/>
        <w:gridCol w:w="1730"/>
        <w:gridCol w:w="240"/>
        <w:gridCol w:w="841"/>
        <w:gridCol w:w="113"/>
        <w:gridCol w:w="113"/>
        <w:gridCol w:w="113"/>
        <w:gridCol w:w="113"/>
        <w:gridCol w:w="240"/>
        <w:gridCol w:w="841"/>
        <w:gridCol w:w="113"/>
        <w:gridCol w:w="109"/>
        <w:gridCol w:w="109"/>
        <w:gridCol w:w="109"/>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96,864,452 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91,516,199 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14,058,153 shares of the Company's common stock issuable upon exercise of pre-funded warrants described in Note 9 to these condensed consolidated financial statements are included as outstanding common stock in the calculation of basic and diluted net loss per share.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which include stock options, unvested restricted and performance stock units and warrants to purchase shares of common stock that resulted from the conversion of warrants to purchase shares of series seed preferred stock existing before the Company's IPO, have been excluded from the computation of diluted net loss per share as the effect would be to reduce the net loss per share. Therefore, the weighted 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tbl>
      <w:tblPr>
        <w:tblW w:w="7725" w:type="dxa"/>
        <w:jc w:val="left"/>
        <w:tblInd w:w="0" w:type="dxa"/>
        <w:tblLayout w:type="fixed"/>
        <w:tblCellMar>
          <w:top w:w="28" w:type="dxa"/>
          <w:left w:w="28" w:type="dxa"/>
          <w:bottom w:w="28" w:type="dxa"/>
          <w:right w:w="28" w:type="dxa"/>
        </w:tblCellMar>
      </w:tblPr>
      <w:tblGrid>
        <w:gridCol w:w="1447"/>
        <w:gridCol w:w="1276"/>
        <w:gridCol w:w="1281"/>
        <w:gridCol w:w="746"/>
        <w:gridCol w:w="335"/>
        <w:gridCol w:w="288"/>
        <w:gridCol w:w="288"/>
        <w:gridCol w:w="288"/>
        <w:gridCol w:w="288"/>
        <w:gridCol w:w="746"/>
        <w:gridCol w:w="335"/>
        <w:gridCol w:w="407"/>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12,492,872 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12,273,997 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and performance stock units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4,825,591 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5,231,911 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497,344 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17,318,463 </w:t>
            </w:r>
          </w:p>
        </w:tc>
        <w:tc>
          <w:tcPr>
            <w:tcW w:w="2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18,003,252 </w:t>
            </w:r>
          </w:p>
        </w:tc>
        <w:tc>
          <w:tcPr>
            <w:tcW w:w="4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12</w:t>
      </w:r>
      <w:r>
        <w:rPr>
          <w:color w:val="000000"/>
        </w:rPr>
        <w:t xml:space="preserve"> </w:t>
      </w:r>
      <w:r>
        <w:rPr>
          <w:rFonts w:ascii="Times New Roman;serif" w:hAnsi="Times New Roman;serif"/>
          <w:b/>
          <w:color w:val="000000"/>
          <w:sz w:val="20"/>
        </w:rPr>
        <w:t>Significant agreements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Agreement with Bristol-Myers Squibb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2018, the Company entered into an agreement with Bristol-Myers Squibb Company (“BMS”). Pursuant to the agreement, BMS will provide to the Company, at no cost, a compound for use in the Company’s ongoing clinical trial of RP1. Under the agreement, the Company will sponsor, fund and conduct the clinical trial in accordance with an agreed-upon protocol. BMS granted the Company a non-exclusive, non-transferrable, royalty-free license (with a right to sublicense) under its intellectual property to its compound in the clinical trial and agreed to supply its compound, at no cost to the Company, for use in the clinical trial. In January 2020, this agreement was expanded to cover an additional cohort of 125 patients with anti-PD-1 failed melanoma.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 (y) in the event the other party is insolvent or in bankruptcy proceedings or (z) for safety reasons. Upon termination, the licenses granted to the Company to use BMS’s compound in the clinical trial will terminate.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April 2019, the Company entered into a separate agreement with BMS on terms similar to the terms set forth in the agreement described above, pursuant to which BMS will provide to the Company, at no cost, nivolumab for use in the Company’s Phase 1 clinical trial of RP2 in combination with nivolumab.</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13</w:t>
      </w:r>
      <w:r>
        <w:rPr>
          <w:color w:val="000000"/>
        </w:rPr>
        <w:t xml:space="preserve"> </w:t>
      </w:r>
      <w:r>
        <w:rPr>
          <w:rFonts w:ascii="Times New Roman;serif" w:hAnsi="Times New Roman;serif"/>
          <w:b/>
          <w:color w:val="000000"/>
          <w:sz w:val="20"/>
        </w:rPr>
        <w:t>Collaboration and other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Roche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2022, the Company entered into a Master Clinical Trial Collaboration and Supply Agreement with Roche in relation to the Company's RP2 and RP3 programs in colorectal cancer, or CRC, and hepatocellular carcinoma, or HCC. Under the agreement, the companies intended to collaborate in 30 patient cohort signal finding studies in third-line, or 3L, CRC and in first- and second-line, or 1L and 2L, respectively, HCC. Following the Company's re-prioritization of its product development portfolio in December 2023, the Company agreed with Roche to terminate the CRC collaboration and pursue the 2L cohort in HCC with RP2 only. Roche has continued to supply its currently approved drugs, atezolizumab and bevacizumab for the 2L cohort in HCC but is not sharing costs following the Company's re-prioritization. Under the terms of the agreement the Company retained the responsibility of operating the clinical trials as well as retaining all the rights to the development and commercialization of its product candidates. The agreement may be terminated by either party upon sixty days prior written notice to the other party.</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Amgen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2023 the Company entered into a Settlement Agreement with Amgen and mutually agreed to terminate the Company's challenges to Amgen's patents. In connection with the Settlement Agreement, the Company entered into a License and Covenant Agreement with Amgen in which the Company agreed to pay Amgen low single-digit royalty payments on net sales of its products that, but for the license, could be found to infringe a valid Amgen patent on a country-by-country and product-by-product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color w:val="000000"/>
          <w:sz w:val="20"/>
        </w:rPr>
        <w:t>14</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lease-related costs which are included in the consolidated statements of operations for the three months ended June 30, 2026 and 2025:</w:t>
      </w:r>
    </w:p>
    <w:tbl>
      <w:tblPr>
        <w:tblW w:w="5983" w:type="dxa"/>
        <w:jc w:val="left"/>
        <w:tblInd w:w="0" w:type="dxa"/>
        <w:tblLayout w:type="fixed"/>
        <w:tblCellMar>
          <w:top w:w="28" w:type="dxa"/>
          <w:left w:w="28" w:type="dxa"/>
          <w:bottom w:w="28" w:type="dxa"/>
          <w:right w:w="28" w:type="dxa"/>
        </w:tblCellMar>
      </w:tblPr>
      <w:tblGrid>
        <w:gridCol w:w="1024"/>
        <w:gridCol w:w="901"/>
        <w:gridCol w:w="909"/>
        <w:gridCol w:w="256"/>
        <w:gridCol w:w="748"/>
        <w:gridCol w:w="132"/>
        <w:gridCol w:w="132"/>
        <w:gridCol w:w="132"/>
        <w:gridCol w:w="132"/>
        <w:gridCol w:w="256"/>
        <w:gridCol w:w="748"/>
        <w:gridCol w:w="132"/>
        <w:gridCol w:w="109"/>
        <w:gridCol w:w="109"/>
        <w:gridCol w:w="109"/>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of lease costs in the consolidated statement of operations for the three months ended June 30, 2026 and 2025 as follows:</w:t>
      </w:r>
    </w:p>
    <w:tbl>
      <w:tblPr>
        <w:tblW w:w="6284" w:type="dxa"/>
        <w:jc w:val="left"/>
        <w:tblInd w:w="0" w:type="dxa"/>
        <w:tblLayout w:type="fixed"/>
        <w:tblCellMar>
          <w:top w:w="28" w:type="dxa"/>
          <w:left w:w="28" w:type="dxa"/>
          <w:bottom w:w="28" w:type="dxa"/>
          <w:right w:w="28" w:type="dxa"/>
        </w:tblCellMar>
      </w:tblPr>
      <w:tblGrid>
        <w:gridCol w:w="1134"/>
        <w:gridCol w:w="996"/>
        <w:gridCol w:w="1005"/>
        <w:gridCol w:w="256"/>
        <w:gridCol w:w="748"/>
        <w:gridCol w:w="132"/>
        <w:gridCol w:w="132"/>
        <w:gridCol w:w="132"/>
        <w:gridCol w:w="132"/>
        <w:gridCol w:w="256"/>
        <w:gridCol w:w="748"/>
        <w:gridCol w:w="132"/>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maturity of the Company's lease liabilities on an undiscounted cash flow basis by fiscal year and a reconciliation to the operating and finance lease liabilities recognized on its balance sheet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tbl>
      <w:tblPr>
        <w:tblW w:w="7078" w:type="dxa"/>
        <w:jc w:val="left"/>
        <w:tblInd w:w="0" w:type="dxa"/>
        <w:tblLayout w:type="fixed"/>
        <w:tblCellMar>
          <w:top w:w="28" w:type="dxa"/>
          <w:left w:w="28" w:type="dxa"/>
          <w:bottom w:w="28" w:type="dxa"/>
          <w:right w:w="28" w:type="dxa"/>
        </w:tblCellMar>
      </w:tblPr>
      <w:tblGrid>
        <w:gridCol w:w="933"/>
        <w:gridCol w:w="820"/>
        <w:gridCol w:w="826"/>
        <w:gridCol w:w="341"/>
        <w:gridCol w:w="997"/>
        <w:gridCol w:w="177"/>
        <w:gridCol w:w="109"/>
        <w:gridCol w:w="109"/>
        <w:gridCol w:w="109"/>
        <w:gridCol w:w="252"/>
        <w:gridCol w:w="862"/>
        <w:gridCol w:w="130"/>
        <w:gridCol w:w="109"/>
        <w:gridCol w:w="109"/>
        <w:gridCol w:w="109"/>
        <w:gridCol w:w="211"/>
        <w:gridCol w:w="72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(remaining nine months)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lease disclosure for the three months ended June 30, 2026 and 2025:</w:t>
      </w:r>
    </w:p>
    <w:tbl>
      <w:tblPr>
        <w:tblW w:w="9839" w:type="dxa"/>
        <w:jc w:val="left"/>
        <w:tblInd w:w="0" w:type="dxa"/>
        <w:tblLayout w:type="fixed"/>
        <w:tblCellMar>
          <w:top w:w="28" w:type="dxa"/>
          <w:left w:w="28" w:type="dxa"/>
          <w:bottom w:w="28" w:type="dxa"/>
          <w:right w:w="28" w:type="dxa"/>
        </w:tblCellMar>
      </w:tblPr>
      <w:tblGrid>
        <w:gridCol w:w="2124"/>
        <w:gridCol w:w="1865"/>
        <w:gridCol w:w="1876"/>
        <w:gridCol w:w="211"/>
        <w:gridCol w:w="466"/>
        <w:gridCol w:w="271"/>
        <w:gridCol w:w="109"/>
        <w:gridCol w:w="109"/>
        <w:gridCol w:w="109"/>
        <w:gridCol w:w="175"/>
        <w:gridCol w:w="175"/>
        <w:gridCol w:w="176"/>
        <w:gridCol w:w="109"/>
        <w:gridCol w:w="109"/>
        <w:gridCol w:w="109"/>
        <w:gridCol w:w="211"/>
        <w:gridCol w:w="466"/>
        <w:gridCol w:w="271"/>
        <w:gridCol w:w="109"/>
        <w:gridCol w:w="109"/>
        <w:gridCol w:w="109"/>
        <w:gridCol w:w="167"/>
        <w:gridCol w:w="167"/>
        <w:gridCol w:w="237"/>
      </w:tblGrid>
      <w:tr>
        <w:trPr/>
        <w:tc>
          <w:tcPr>
            <w:tcW w:w="212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years</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years</w:t>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variable lease costs and short-term lease costs were insignificant for the three months ended June 30, 2026 and 2025 respectively.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Manufacturing 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an agreement with a contract manufacturing organization to provide clinical trial products. As of June 30, 2026 and March 31, 2026, the Company had committed to minimum payments under these arrangements totaling $0.8 million and $0.8 million, respectively.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executive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therefore it has not accrued any liabilities related to such obligations in its condensed consolidated financial statements as of June 30, 2026 or March 31, 2026.</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legal proceedings arising in the ordinary course of business. The Company records a liability for such matters when it is probable that future losses will be incurred and that such losses can be reasonably estimated. Significant judgment is required to determine both probability and the estimated amount.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Jboor v. Replimune Group, Inc. et al., Case No. 1:25-cv-12085-JEK, was filed shortly after the Company announced it received a complete response letter from the FDA for its RP1 BLA for the treatment of advanced melanoma on July 22, 2025 and the subsequent decline in the trading price of the Company's common stock. The Court has appointed a lead plaintiff, or the Lead Plaintiff. On January 13, 2026, Lead Plaintiff filed an amended complaint. Following the second CRL issued by the FDA on April 10, 2026 for the Company's RP1 BLA for the treatment of advanced melanoma, the Lead Plaintiff filed a second amended complaint in the class action that addresses the second CRL. The Company’s and the other defendants’ response is now due on August 17, 2026. The Company and the other defendants deny any wrongdoing and continue to vigorously defend this 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class action complaint, three shareholders filed separate derivative actions on behalf of the Company in the District of Massachusetts captioned Chea v. Patel et al., Case No. 1:25-cv-12316-JEK, Wright v. Patel et al., Case No. 1:25-cv-12401-WGY, and Vochten v. Patel et al.,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29, 2025, the SEC informed the Company that it was conducting an investigation and requested that the Company produce certain documents and communications connected with the RP1 BLA. The investigation is reviewing essentially the same subject matter raised in the litigation following the CRL. On June 24, 2026, the SEC informed the Company that it has concluded its investigation of the Company and that it is not recommending an enforcement action be taken against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a class action complaint alleging violations of the federal securities laws was filed against the Company and its directors and certain officers in the District of Massachusetts. The complaint, captioned Toor v. Replimune Group, Inc. et al., Case No. 1:26-cv-13612, alleges essentially the same facts and circumstances as the Lead Plaintiff's case. The Company and the other defendants deny any wrongdoing and continue to vigorously defend this action.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matters noted above are preliminary, the Company is unable to determine whether any loss will ultimately occur and cannot reasonably estimate the range of expected exposure. Therefore, the Company has not recorded any liability in the condensed consolidated financial statements as of and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15</w:t>
      </w:r>
      <w:r>
        <w:rPr>
          <w:color w:val="000000"/>
        </w:rPr>
        <w:t xml:space="preserve"> </w:t>
      </w:r>
      <w:r>
        <w:rPr>
          <w:rFonts w:ascii="Times New Roman;serif" w:hAnsi="Times New Roman;serif"/>
          <w:b/>
          <w:color w:val="000000"/>
          <w:sz w:val="20"/>
        </w:rPr>
        <w:t>Income taxes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 income tax provision for the three months ended June 30, 2026 or 2025 as a result of forecasted United States and United Kingdom losses for the respective years.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positive and negative evidence bearing upon its ability to realize its deferred tax assets both in the United States and United Kingdom, which primarily consist of net operating loss carryforwards. The Company has considered its history of cumulative net losses, future reversals of existing taxable temporary differences, estimated future taxable income and prudent and feasible tax planning strategies and has concluded that it is more likely than not that the Company will not realize the benefits of its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16</w:t>
      </w:r>
      <w:r>
        <w:rPr>
          <w:color w:val="000000"/>
        </w:rPr>
        <w:t xml:space="preserve"> </w:t>
      </w:r>
      <w:r>
        <w:rPr>
          <w:rFonts w:ascii="Times New Roman;serif" w:hAnsi="Times New Roman;serif"/>
          <w:b/>
          <w:color w:val="000000"/>
          <w:sz w:val="20"/>
        </w:rPr>
        <w:t>Geographic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geographic regions: the United States (Massachusetts) and the United Kingdom (Oxfordshire). Information about the Company’s long-lived assets held in different geographic regions is presented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tbl>
      <w:tblPr>
        <w:tblW w:w="4570" w:type="dxa"/>
        <w:jc w:val="left"/>
        <w:tblInd w:w="0" w:type="dxa"/>
        <w:tblLayout w:type="fixed"/>
        <w:tblCellMar>
          <w:top w:w="28" w:type="dxa"/>
          <w:left w:w="28" w:type="dxa"/>
          <w:bottom w:w="28" w:type="dxa"/>
          <w:right w:w="28" w:type="dxa"/>
        </w:tblCellMar>
      </w:tblPr>
      <w:tblGrid>
        <w:gridCol w:w="539"/>
        <w:gridCol w:w="472"/>
        <w:gridCol w:w="474"/>
        <w:gridCol w:w="258"/>
        <w:gridCol w:w="883"/>
        <w:gridCol w:w="133"/>
        <w:gridCol w:w="109"/>
        <w:gridCol w:w="109"/>
        <w:gridCol w:w="109"/>
        <w:gridCol w:w="288"/>
        <w:gridCol w:w="986"/>
        <w:gridCol w:w="210"/>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 xml:space="preserve">17 </w:t>
      </w:r>
      <w:r>
        <w:rPr>
          <w:rFonts w:ascii="Times New Roman;serif" w:hAnsi="Times New Roman;serif"/>
          <w:b/>
          <w:color w:val="000000"/>
          <w:sz w:val="20"/>
        </w:rPr>
        <w:t>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operations as a single operating and reportable segment with a focus on developing and commercializing novel oncolytic immunotherapies in order to treat cancer. The Company defines its segments on the basis of the way in which internally reported financial information is regularly reviewed to analyze financial performance and make operating decisions. The Company’s Chief Operating Decision Maker ("CODM") is the Chief Executive Officer. The CODM reviews consolidated operating results, and uses the Company's loss from operations and consolidated net income (loss), in order to monitor actual results as compared to the budget, and to determine how best to allocate the Company's operating and capital resources, specifically as it relates to the Company's development programs.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including significant segment expenses by program, for the three months ended June 30, 2026 and 2025:</w:t>
      </w:r>
    </w:p>
    <w:tbl>
      <w:tblPr>
        <w:tblW w:w="7251" w:type="dxa"/>
        <w:jc w:val="left"/>
        <w:tblInd w:w="0" w:type="dxa"/>
        <w:tblLayout w:type="fixed"/>
        <w:tblCellMar>
          <w:top w:w="28" w:type="dxa"/>
          <w:left w:w="28" w:type="dxa"/>
          <w:bottom w:w="28" w:type="dxa"/>
          <w:right w:w="28" w:type="dxa"/>
        </w:tblCellMar>
      </w:tblPr>
      <w:tblGrid>
        <w:gridCol w:w="1662"/>
        <w:gridCol w:w="1460"/>
        <w:gridCol w:w="1468"/>
        <w:gridCol w:w="246"/>
        <w:gridCol w:w="549"/>
        <w:gridCol w:w="110"/>
        <w:gridCol w:w="110"/>
        <w:gridCol w:w="110"/>
        <w:gridCol w:w="110"/>
        <w:gridCol w:w="213"/>
        <w:gridCol w:w="622"/>
        <w:gridCol w:w="110"/>
        <w:gridCol w:w="109"/>
        <w:gridCol w:w="109"/>
        <w:gridCol w:w="109"/>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RP1 program costs by study:</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IGNYTE</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ARTACUS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CERPASS</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IGNYTE-3</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RP1 study costs</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RP2</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RP3</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expenses¹:</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¹Includes personnel-related costs and other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18</w:t>
      </w:r>
      <w:r>
        <w:rPr>
          <w:color w:val="000000"/>
        </w:rPr>
        <w:t xml:space="preserve"> </w:t>
      </w:r>
      <w:r>
        <w:rPr>
          <w:rFonts w:ascii="Times New Roman;serif" w:hAnsi="Times New Roman;serif"/>
          <w:b/>
          <w:color w:val="000000"/>
          <w:sz w:val="20"/>
        </w:rPr>
        <w:t>Subsequent Events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FDA approval of TUDRIQEV</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the FDA granted accelerated approval for TUDRIQEV (vusolimogene oderparepvec-wtpg), previously referred to as RP1, in combination with nivolumab for the treatment of adults with unresectable advanced cutaneous melanoma who experienced disease progression on an anti-PD-1 antibody-based regimen. This indication is approved under accelerated approval based on objective response rate and duration of response. This approval is a significant milestone for the Company, and the commercial launch of TUDRIQEV is in progress.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the Company completed an offering of (a) 9,701,490 shares of the Company’s common stock at an offering price of $12.06 per share and, (b) in lieu of common stock to certain investors, pre-funded warrants to purchase 2,736,340 shares of its common stock at an offering price of $12.0599 per pre-funded warrant. The company received aggregate net proceeds of approximately $141.0 million after deducting fees and expenses of approximately $9.0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related notes appearing in Part I, Item 1 of this Quarterly Report on Form 10-Q, or this Quarterly Report, and with our audited consolidated financial statements and notes thereto for the year ended March 31, 2026, included in our Annual Report on Form 10-K for the fiscal year ended March 31, 2026.</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some of the statements contained in this discussion and analysis or set forth elsewhere in this Quarterly Report, including information with respect to our plans and strategy for our business, constitute forward-looking statements within the meaning of Section 27A of the Securities Act of 1933, as amended, and Section 21E of the Securities Exchange Act of 1934, as amended, or the Exchange Act. We have based these forward-looking statements on our current expectations and projections about future events. The following information and any forward-looking statements should be considered in light of factors discussed elsewhere in this Quarterly Report, particularly including those risks identified in Part II, Item 1A “Risk Factors” and our other filings with the Securities Exchange Commission, or the SEC.</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Statements made herein are as of the date of the filing of this Quarterly Report with the SEC and should not be relied upon as of any subsequent date.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commercial-stage biotechnology company committed to applying our leading expertise in the field of oncolytic immunotherapy to transform the lives of cancer patients through our novel oncolytic immunotherapies. Our proprietary oncolytic immunotherapy product and product candidates are designed and intended to maximally activate the immune system against cancer.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Oncolytic immunotherapy is an emerging drug class. Oncolytic immunotherapy exploits the ability of certain viruses to selectively replicate in and directly kill tumors, as well as induce a potent, patient-specific, anti-tumor immune response. Our product and product candidates incorporate multiple mechanisms into a practical “off-the-shelf” approach that is intended to maximize the immune response against a patient’s cancer and to offer significant advantages over other approaches to inducing anti-tumor immunity. We believe that the bundling of multiple approaches for the treatment of cancer into single therapies will increase clinical efficacy and simplify the development path of our product and product candidates, while also improving patient outcomes.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proprietary RPx platform is based on a novel, engineered strain of herpes simplex virus 1, or HSV-1, backbone with payloads added that are intended to maximize immunogenic cell death and the induction of a systemic anti-tumor immune response. The RPx platform is intended to have unique dual local and systemic activity consisting of direct selective virus-mediated killing of the tumor resulting in the release of tumor-derived antigens and altering of the tumor microenvironment to ignite a strong and durable systemic response. Our product and product candidates are expected to be synergistic with most established and experimental cancer treatment modalities, and, with an attractive safety profile, the RPx platform is expected to have the versatility to be developed alone or combined with a variety of other treatment options. In addition to TUDRIQEV, we currently have two further RPx product candidates in our development pipeline, RP2 (sturlimgene erparepvec) and RP3. Although our fiscal year ends March 31st, our programs and program updates are reported on a calendar year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been conducting a number of clinical trials of RP1, both as a monotherapy and in combination with anti-PD-1 therapy, with the goal of establishing a major skin cancer treatment franchise.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leading clinical trial of RP1 is referred to as the IGNYTE trial, which is a multi-cohort clinical trial being conducted in collaboration with Bristol Myers Squibb Company, or BMS, under which BMS has granted us a non-exclusive, royalty-free license to, and is supplying at no cost, its anti-PD-1 therapy, nivolumab, for use in combination with RP1.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leading tumor specific cohort in the IGNYTE trial is our registration directed Phase 2 expansion cohort in anti-PD-1 failed cutaneous melanoma. The anti-PD-1 failed melanoma cohort from the IGNYTE trial includes 140 patients who received RP1 in combination with nivolumab. On August 6, 2026, we announced the FDA granted accelerated approval to TUDRIQEV (vusolimogene oderparepvec-wtpg), previously referred to as RP1, in combination with nivolumab for the treatment of adults with unresectable advanced cutaneous melanoma who experienced disease progression on an anti-PD-1 antibody-based regimen. This indication is approved under accelerated approval based on objective response rate and duration of response. Continued approval for this indication may be contingent on verification of clinical benefit in a confirmatory trial(s). The IGNYTE trial enrolled 140 patients with 91 patients with at least one non-injected lesion included in the efficacy-evaluable population. In this population, TUDRIQEV plus nivolumab achieved an objective response rate (ORR) of 24.2%, with a median duration of response of 14.1 months. Treatment was well tolerated with mostly mild-to-moderate adverse events. The patient population included patients with Stage 4 disease (80%), prior anti-PD-1 adjuvant treatment (13%), PD-L1 negative status (54%), lung (45%) and liver lesions (24%). TUDRIQEV in combination with nivolumab was generally well tolerated, with adverse events predominantly mild to moderate in severity. The most common (incidence ≥ 10%) adverse reactions in patients treated with TUDRIQEV combined with nivolumab were nausea, diarrhea, vomiting, constipation, decreased appetite, abdominal pain, fatigue, pyrexia, chills, injection site reaction, influenza-like illness, infections, musculoskeletal pain, arthralgia, headache, dizziness, cough, dyspnea, rash, edema, pruritus and hemorrhage. Most treatment-related adverse reactions were grade 1 and 2 and transient. There were no grade 4 or 5 common adverse events. See additional Important Safety Information. The IGNYTE study data were published in the Journal of Clinical Oncology in July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we announced submission of our first Biologics License Application, or BLA, to the U.S. Food and Drug Administration, or the FDA, for TUDRIQEV in combination with nivolumab for the treatment of adult patients with advanced melanoma who have previously received an anti-PD-1 containing regimen, and that the FDA had granted Breakthrough Therapy designation for TUDRIQEV in combination with nivolumab in the same setting. In July 2025, we received the first of two CRLs on our BLA for TUDRIQEV in combination with nivolumab for advanced melanoma patients, with the second CRL being issued by the FDA in April 2026. Ultimately, however, at a July 30, 2026 meeting of the Cellular, Tissue, and Gene Therapies Advisory Committee (the "Advisory Committee"), the Advisory Committee voted 10 to 3 on the question: “Are the efficacy results from IGNYTE evaluable and clinically meaningful?” Following this meeting, on August 6, 2026, the FDA granted accelerated approval of TUDRIQEV in combination with nivolumab for the treatment of adults with unresectable advanced cutaneous melanoma who experienced disease progression on an anti-PD-1 antibody-based regimen.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2024, we announced the dosing of the first patient in the IGNYTE-3 trial, or the I-3 trial, a 2-arm randomized Phase 3 clinical trial with physician's choice of treatment as a comparator arm in anti-PD-1 failed melanoma patients. Overall survival is the primary endpoint, and the trial is expected to randomize approximately 400 patients. We continue to enroll patients in the I-3 trial. The I-3 trial is an FDA postmarketing requirement and is intended to serve as the required accelerated approval confirmatory study. In addition to the I-3 trial, we must also complete a pediatric study of TUDRIQEV in combination with nivolumab in pediatric patients 12 years of age and older and are required to fulfill certain other postmarketing commitments set out in FDA’s TUDRIQEV approval letter. We continue to enroll patients in the I-3 trial.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our development of TUDRIQEV for melanoma, we also are studying the product for other indications. In our non-melanoma skin cancer, or NMSC, cohort of the IGNYTE trial, we provided a data update in December 2023 from the first 30 patients with at least 6 months of follow up including patients with cutaneous squamous cell carcinoma, or CSCC, Merkel cell carcinoma, or MCC, basal cell carcinoma, or BCC, and angiosarcoma in this cohort. The data showed that treatment with TUDRIQEV in combination with nivolumab led to an ORR of 30% which is consistent with data from the anti-PD-1 failed melanoma cohort with approximately one-third of patients responding and 60% demonstrating clinical benefit. The combination of TUDRIQEV and nivolumab was well tolerated in this patient population with a safety profile consistent with the overall experience seen with this treatment regimen to date. We provided updated data from the NMSC cohort during our June 2025 Investor Day event and in October 2025 at the European Society for Medical Oncology, or ESMO, conference. Responses to TUDRIQEV plus nivolumab occurred across the NMSC tumor types enrolled, with confirmed responses seen in patients with both anti–PD-1 naïve and anti-PD-1 failed disease, as well as both in locally advanced and metastatic disease. The ORR by NMSC tumor type for anti-PD-1 naïve patients was 100.0% (n=4) in MCC, 33.3% (n=3) in BCC, 66.7% (n=6) in angiosarcoma, and 56.3% (n=16) in CSCC. The ORR by NMSC tumor type for anti-PD-1 failed patients was 26.3% (n=19) in MCC, 30.0% (n=10) in BCC, 37.5% (n=8) in angiosarcoma, and 15.2% (n=33) in CSCC. We closed enrollment in the NMSC tumor type cohorts in the fourth quarter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had been furthering development of TUDRIQEV through enrollment in a Phase 1b/2 clinical trial of single agent TUDRIQEV in solid organ transplant recipients with skin cancers, including CSCC, which we referred to as the ARTACUS trial. The ARTACUS trial enrolled 69 patients to assess the safety and efficacy of TUDRIQEV in liver, kidney, heart, lung, and hematopoietic cell transplant patients with skin cancers. Most recently, Dr. Michael R. Migden presented updated data from the ARTACUS trial at the Society for Melanoma Research 22nd International Congress in October 2025. This updated data showed anti-tumor activity in locally advanced CSCC with an ORR of 34.6% (CR rate of 23.1%) and 2-year duration of response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61.0%. Furthermore, the data showed that TUDRIQEV monotherapy continued to be well tolerated and the safety profile continued to be similar to that observed in non-immunocompromised patients with advanced skin cancers, and, importantly, no implant rejections were attributed to the TUDRIQEV treatment. We have closed enrollment in the ARTACUS trial and are planning a publication of the data in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previous clinical trial of TUDRIQEV in patients with CSCC, which we referred to as the CERPASS trial, is fully closed and we are planning for a study report to be available in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developing or are continuing to develop product candidates, RP2 and RP3, that have been further engineered to enhance anti-tumor immune responses and are intended to address additional tumor types, including traditionally less immune responsive tumor types. In addition to the expression of GALV-GP R(-) and human GM-CSF as in TUDRIQEV, RP2 has been engineered to express an antibody-like molecule intended to block the activity of CTLA-4, a protein that inhibits the full activation of an immune response, including to tumors. RP3 has been engineered with the intent to further stimulate an anti-tumor immune response through activation of immune co-stimulatory pathways through the additional expression of the ligands for CD40 and 4-1BBL, as well as anti-CTLA-4 and GALV-GP R(-), but without the expression of GM-CSF.</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the development of our product candidate RP2 with the goal of moving beyond skin cancers and aiming to treat the more prevalent tumor types commonly found in liver and lung metastasis and including those involving primary liver cancer. Notably, as previously reported, from our Phase 1 clinical trial of RP2 alone and in combination with nivolumab, we have seen durable responses from a monotherapy cohort in a variety of difficult to treat tumors as well as in combination with anti-PD-1 and in particular in patients with metastatic uveal melanoma, or mUM. In November 2023, we presented updated data from a cohort of mUM patients during a Plenary Session at the 20th Annual International Society for Melanoma Research Congress. The updated data showed RP2 led to an ORR of 29.4% (5 of 17 patients; one of the responding patients was treated with RP2 monotherapy and four of the responding patients were treated with RP2 combined with nivolumab), including responses in patients with liver, lung, and bone metastases. The median duration of response (DOR) at the data cutoff was 11.47 months (range of 2.78 to 21.22 with responses ongoing). Nearly all patients (15 of 17, 88.2%) in the study had progressed on or after immunotherapy with 12 of 17 patients (70.6%) having previously received both anti-PD-1 and anti-CTLA-4 therapies, including four of the responding patients. RP2 was generally well tolerated both as monotherapy and in combination with nivolumab with no additive adverse events observed. The most common grade 1 or 2 treatment related adverse events, or TRAEs, overall in both cohorts were pyrexia, chills, fatigue, hypotension and pruritis. Six patients had grade 3 TRAEs, including two cases of hypotension. There were no grade 4 or 5 TRAEs. In June 2024, we presented that the disease control rate for this cohort of mUM patients was 58.8%.</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Leading the development of the RP2 product candidate is our REVEAL study. The REVEAL study is enrolling patients in a registration-directed study of RP2 in mUM patients who are immune checkpoint inhibitor-naïve. The REVEAL study is a randomized, Phase 2/3 open label study expected to enroll approximately 280 patients to investigate the efficacy and safety of RP2 in combination with nivolumab vs. ipilimumab in combination with nivolumab in immune checkpoint inhibitor naïve adult patients with metastatic uveal melanoma. The primary endpoints of the trial are overall survival and progression free survival, and key secondary endpoints are overall response rate and disease control rate. In January 2026 we announced the Phase 2/3 transition is expected to occur in the first quarter of 2027.</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our signal finding trial of RP2 in combination with atezolizumab and bevacizumab in the second-line (2L) setting of patients with hepatocellular carcinoma, or HCC, in collaboration with Roche. The protocol has been amended to include RP2 as monotherapy and we plan to release preliminary HCC data by the end of 2026. We have also opened a cohort in our RP2 study to investigate the potential to address biliary tract cancer, or BTC, through the dosing of RP2 in combination with durvalumab. We are currently evaluating these signal finding studies.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TUDRIQEV, RP2 and RP3 are administered by direct injection into solid tumors, guided either visually or by ultrasound, computerized tomography or other imaging methods.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is intended to lead to the induction of anti-tumor immune responses leading to clinical response of tumors that have not themselves been injected.</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devoted substantially all of our resources to developing our proprietary RPx platform, building our intellectual property portfolio, conducting research and development of our product candidates, business planning, raising capital and providing general and administrative support for our operations. To date, we have incurred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operating losses and we have financed our operations primarily with proceeds from the sale of equity securities and to a lesser extent, proceeds from borrowing under secured loan facilities. Our ability to generate product revenue sufficient to achieve profitability will depend</w:t>
      </w:r>
      <w:r>
        <w:rPr>
          <w:color w:val="000000"/>
          <w:shd w:fill="FFFFFF" w:val="clear"/>
        </w:rPr>
        <w:t xml:space="preserve"> </w:t>
      </w:r>
      <w:r>
        <w:rPr>
          <w:rFonts w:ascii="Times New Roman;serif" w:hAnsi="Times New Roman;serif"/>
          <w:b w:val="false"/>
          <w:color w:val="000000"/>
          <w:sz w:val="20"/>
          <w:shd w:fill="FFFFFF" w:val="clear"/>
        </w:rPr>
        <w:t xml:space="preserve">on the successful development and eventual commercialization of TUDRIQEV and our other product candidates.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w</w:t>
      </w:r>
      <w:r>
        <w:rPr>
          <w:rFonts w:ascii="Times New Roman;serif" w:hAnsi="Times New Roman;serif"/>
          <w:b w:val="false"/>
          <w:color w:val="000000"/>
          <w:sz w:val="20"/>
        </w:rPr>
        <w:t>e do not have any products approved for sale and have not generated any revenue from product sales.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initial public offering, or IPO, on July 20, 2018, we have raised an aggregate of approximately $1,132.9 million in net proceeds to fund our operations, of which $101.2 million was from our IPO, $862.0 million was from four separate follow-on offerings, or the Public Offerings, that we closed in November 2019, June 2020, October 2020, December 2022, and November 2024, respectively, $96.7 million was from our private investment in public equity offering in June 2024, and $73.0 million was from at-the-market offerings.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Our net losses </w:t>
      </w:r>
      <w:r>
        <w:rPr>
          <w:rFonts w:ascii="Times New Roman;serif" w:hAnsi="Times New Roman;serif"/>
          <w:b w:val="false"/>
          <w:color w:val="000000"/>
          <w:sz w:val="20"/>
        </w:rPr>
        <w:t>were $69.8 million and $86.7 million for the three months ended June 30, 2026 and 2025, respectively. As of June 30, 2026, we had an accumulated deficit of $1,332.3 million. These losses have resulted primarily from costs incurred in connection with research and development activities and general and administrative costs associated with our operations. We expect to continue to incur significant expenses and increasing operating losses for at least the next several years.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expenses and capital requirements will fluctuate from period to period depending upon the Company's development programs and priorities. We expect to continue to incur costs and expenses in the future and our expenses may increase if and as we: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to successfully commence and achieve commercial sales of TUDRIQEV;</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to successfully complete one or more confirmatory trials of TUDRIQEV, including our ongoing IGNYTE-3 clinical trial;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to obtain adequate coverage and reimbursement for TUDRIQEV</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continue to conduct our current and future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further preclinical development of our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manufacture and maintain sufficient commercial supply of TUDRIQEV, or clinical supply of our product candidates, from our in-house manufacturing facility;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to identify and develop additional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marketing approvals for any of our product and product candidates that successfully complete clinical trials,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 a sales, marketing and distribution infrastructure to commercialize any products for which we may obtain marketing approval;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maintain, expand, protect and defend our intellectual property portfolio;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hire, train and retain additional clinical, quality control, scientific and general and administration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acquire or in-license other drugs, technologies or intellectual property rights;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add operational, financial and management information systems and personnel, including personnel to support our research and development programs, any future commercialization efforts and operations as a public company.</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Because of the numerous risks and uncertainties associated with pharmaceutical product development, we are unable to accurately predict the timing or amount of increased expenses or</w:t>
      </w:r>
      <w:r>
        <w:rPr>
          <w:color w:val="000000"/>
          <w:shd w:fill="FFFFFF" w:val="clear"/>
        </w:rPr>
        <w:t xml:space="preserve"> </w:t>
      </w:r>
      <w:r>
        <w:rPr>
          <w:rFonts w:ascii="Times New Roman;serif" w:hAnsi="Times New Roman;serif"/>
          <w:b w:val="false"/>
          <w:color w:val="000000"/>
          <w:sz w:val="20"/>
          <w:shd w:fill="FFFFFF" w:val="clear"/>
        </w:rPr>
        <w:t>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and short-term investments of $195.3 million. Based on our current operating plan including the commercialization of TUDRIQEV in the near term, we believe that our existing cash and cash equivalents and short-term investments, including the $141.0 million of net proceeds from the issuance of our common stock in August 2026, will be sufficient to fund operating expenses and capital expenditure requirements for greater than twelve months from the issuance of these condensed consolidated financial statements included in this quarterly report.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“—Liquidity and capital resources” and “Risk factors—Risks related to our financial position and need for additional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as we previously did not have any approved products prior to the approval of TUDRIQEV in August 2026. We can not be certain we will generate any revenue from the sale of TUDRIQEV or other potential products in the future. If our development efforts for any of our other product candidates that we may develop in the future are successful and result in regulatory approval, or if we enter into collaboration or license agreements with third parties, we may generate revenue in the future from a combination of product sales or payments from those collaborations or license agreements.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expenses since inception have consisted solely of research and development costs and general and administrative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expenses incurred under agreements with third parties, including clinical research organizations, or CROs, that conduct research, preclinical activities and clinical trials on our behalf as well as contract manufacturing organizations, or CMOs, that manufacture raw materials and supplies for our product and product candidates and their manufacturing, packaging and labeling;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salaries, benefits and other related costs, including stock-based compensation expense, for personnel engaged in research and development functions;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of outside consultants engaged in research and development functions, including their fees, stock-based compensation and related travel expenses;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costs of laboratory supplies and acquiring, developing and manufacturing preclinical study and clinical trial materials;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related to compliance with regulatory requirements in connection with the development of our product and product candidates;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facility-related expenses, which include direct depreciation costs and allocated expenses for rent and maintenance of facilities and other operating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costs may be partially offset by cost-sharing arrangements under collaboration agreements that we may enter from time to time.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Direct research and development costs, consisting of costs, such as fees paid to consultants, contractors, CMOs and CROs in connection with our preclinical and clinical development activities, are tracked by study. Additional costs, consisting primarily of our initial manufacturing costs, including materials, supplies, depreciation and facility costs, are allocated at a program level, based upon manufacturing runs, as the drug product can be utilized across multiple studies for any particular program. Additional costs to label, package and distribute the drug product is then directly allocated to the specific studies when incurred, as that drug product has then been assigned to a particular study. In the event our additional future or ongoing study costs become meaningful to investors, we will present those costs by study.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allocate personnel costs, costs associated with our discovery efforts, laboratory supplies or other indirect costs, to specific product development programs because these costs are deployed across multiple product development programs and, as such, are not separately classified.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enrollment in, and the initiation of, additional clinical trials, as well as the continued discovery and development of additional product candidates. However, if we determine that the commercialization of TUDRIQEV is not viable, our outlook and plans may be uncertain and the impact on our research and development expenses will also be uncertain. At this time the ability to fund and successfully develop, and commercialize, if approved, our product candidates is highly uncertain. This is due to the numerous risks and uncertainties associated with product development and commercialization, including the following:</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extent to which we are able to reach a mutually agreeable path forward with the FDA with respect to the scope, design, implementation and timing of an approval for our product candidates and other research and development activities that we may conduct;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preclinical and clinical programs we decide to pursue;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our current research and development programs and to establish new ones;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uncertainties in clinical trial design;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rate of enrollment in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successful completion of clinical trials with safety, tolerability, and efficacy profiles that are satisfactory to the FDA or any comparable foreign regulatory authority;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receipt of regulatory approvals from applicable regulatory authorities;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success in operating our manufacturing facility, or securing manufacturing supply through relationships with third parties;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obtain and maintain patents, trade secret protection, and regulatory exclusivity, both in the United States and internationally;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expand, protect and defend our rights in our intellectual property portfolio;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commercialization of our product candidates, if and when approved and the timing of such approval;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acceptance of our product candidates, if approved, by patients, the medical community, and third-party payors;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successfully develop our product candidates for use in combination with third-party products or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negative developments in the field of immuno-oncology;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competition with other products;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significant and changing government regulation and regulatory guidance and the views and implementation of such regulation and guidance from the leadership of the applicable regulatory agencies.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could be required to expend significant additional financial resources and time on the completion of clinical development. We may never succeed in obtaining regulatory approval for any of our product candidates.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and other related costs, including stock-based compensation, for personnel in our executive, finance, corporate, commercial and business development and administrative functions. Selling, general and administrative expenses also include professional fees for legal, patent, accounting, auditing, tax and consulting services, pre-commercial planning, travel expenses, and facility-related expenses, which include direct depreciation costs and allocated expenses for rent and maintenance of facilities and other operating costs.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selling, general and administrative expenses to continue to increase in the future as we increase our selling, general and administrative headcount to support our continued operations and pre-launch and launch activities for the commercialization of TUDRIQEV. We also expect to continue to incur increased expenses, including accounting, audit, legal, regulatory and tax-related services associated with maintaining compliance with exchange listing and SEC requirements; director and officer insurance costs; and investor and public relations costs. If we are unable to successfully commercialize TUDRIQEV, we expect that our selling, general and administrative expenses will decrease but to what extent we are uncertain.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incentives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incentives consists of reimbursements of research and development expenditures. We participate, through our subsidiary in the United Kingdom, in the research and development program provided by the United Kingdom tax relief program, such that a percentage of up to 16.2% of our qualifying research and development expenditures are reimbursed by the United Kingdom government, and such incentives are reflected as other income.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income consists of income earned on our cash and cash equivalents and short-term investments.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on debt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debt obligations consists of the amortization of debt discount and cash paid for interest under the     loan agreement with Hercules.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on finance lease liability</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Interest expense on finance lease liability consists of amortization of finance charges under our financing lease.</w:t>
      </w:r>
      <w:r>
        <w:rPr>
          <w:color w:val="000000"/>
        </w:rPr>
        <w:t xml:space="preserve"> </w:t>
      </w:r>
    </w:p>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(expense) income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income consists primarily of realized and unrealized foreign currency transaction gains and losses.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 </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positive and negative evidence bearing upon its ability to realize its deferred tax assets both in the United States and United Kingdom,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chart summarizes our results of operations for the three months ended June 30, 2026 and 2025:</w:t>
      </w:r>
    </w:p>
    <w:tbl>
      <w:tblPr>
        <w:tblW w:w="7452" w:type="dxa"/>
        <w:jc w:val="left"/>
        <w:tblInd w:w="0" w:type="dxa"/>
        <w:tblLayout w:type="fixed"/>
        <w:tblCellMar>
          <w:top w:w="28" w:type="dxa"/>
          <w:left w:w="28" w:type="dxa"/>
          <w:bottom w:w="28" w:type="dxa"/>
          <w:right w:w="28" w:type="dxa"/>
        </w:tblCellMar>
      </w:tblPr>
      <w:tblGrid>
        <w:gridCol w:w="1260"/>
        <w:gridCol w:w="1108"/>
        <w:gridCol w:w="1112"/>
        <w:gridCol w:w="211"/>
        <w:gridCol w:w="796"/>
        <w:gridCol w:w="109"/>
        <w:gridCol w:w="109"/>
        <w:gridCol w:w="109"/>
        <w:gridCol w:w="109"/>
        <w:gridCol w:w="211"/>
        <w:gridCol w:w="796"/>
        <w:gridCol w:w="109"/>
        <w:gridCol w:w="109"/>
        <w:gridCol w:w="109"/>
        <w:gridCol w:w="109"/>
        <w:gridCol w:w="211"/>
        <w:gridCol w:w="72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 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finance lease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debt obligations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were $49.3 million, compared to $57.8 million for the three months ended June 30, 2025. The following table summarizes our research and development expenses for the three months ended June 30, 2026 and 2025:</w:t>
      </w:r>
    </w:p>
    <w:tbl>
      <w:tblPr>
        <w:tblW w:w="8817" w:type="dxa"/>
        <w:jc w:val="left"/>
        <w:tblInd w:w="0" w:type="dxa"/>
        <w:tblLayout w:type="fixed"/>
        <w:tblCellMar>
          <w:top w:w="28" w:type="dxa"/>
          <w:left w:w="28" w:type="dxa"/>
          <w:bottom w:w="28" w:type="dxa"/>
          <w:right w:w="28" w:type="dxa"/>
        </w:tblCellMar>
      </w:tblPr>
      <w:tblGrid>
        <w:gridCol w:w="1822"/>
        <w:gridCol w:w="1598"/>
        <w:gridCol w:w="1605"/>
        <w:gridCol w:w="211"/>
        <w:gridCol w:w="721"/>
        <w:gridCol w:w="109"/>
        <w:gridCol w:w="109"/>
        <w:gridCol w:w="109"/>
        <w:gridCol w:w="109"/>
        <w:gridCol w:w="211"/>
        <w:gridCol w:w="721"/>
        <w:gridCol w:w="109"/>
        <w:gridCol w:w="109"/>
        <w:gridCol w:w="109"/>
        <w:gridCol w:w="109"/>
        <w:gridCol w:w="211"/>
        <w:gridCol w:w="691"/>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379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RP1 program costs by study: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IGNYTE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ARTACUS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CERPASS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IGNYTE-3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RP1 study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RP1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RP2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RP3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Personnel related (including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overall decrease of $8.6 million in total research and development expenses was driven by a decrease in unallocated expenses of approximately $7.6 million, which included a decrease of $3.8 million in personnel related costs and a decrease of $3.8 million in other costs. Personnel related costs, including stock compensation, were down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 restructuring which was announced in April 2026. The decrease in other costs is driven by a decrease in consulting costs and medical affairs spending.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Direct research costs decreased by approximately $1.0 million overall which was a result of a decrease of $5.3 million in total TUDRIQEV costs relating to the IGNYTE, ARTACUS and CERPASS studies, specifically as a result of the completion of enrollment in the IGNYTE advanced melanoma cohort and declining enrollment and the wind down of the CERPASS and ARTACUS studies. These TUDRIQEV cost decreases were somewhat offset by an increase of $3.1 million related to the IGNYTE-3 confirmatory study, which continued to progress in first quarter of fiscal 2027. In addition, RP2 direct spending increased by approximately $5.0 million versus the same quarter of the prior year related to the REVEAL study, as the Company continued to ramp up enrollment and expanded this trial outside of the United States. </w:t>
      </w:r>
    </w:p>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were $19.0 million for the three months ended June 30, 2026, compared to $32.6 million for the three months ended June 30, 2025. The decrease of $13.6 million is primarily the result of a decrease of $10.2 million in external sales and marketing costs and a decrease of $3.4 million in personnel related costs in the sales and marketing and G&amp;A functions. These decreases are the result of the Company restructuring which occurred during the first quarter of fiscal 2027, and included a reduction of workforce by approximately 55%, impacting the entirety of the Company's commercial team. </w:t>
      </w:r>
    </w:p>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Total other (expense) income,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was $1.5 million for the three months ended June 30, 2026, compared to income of $3.7 million for the three months ended June 30, 2025. The net change of $5.2 million is primarily attributable to a decrease in investment income of $2.8 million as a result of a lower investment balance year over year. In addition, there was an increase in expense of $1.3 million in the current quarter compared to the prior year due to exchange rate fluctuations related to the changes in foreign exchange rates of the British Pound Sterling to the United States Dollar, specifically on intercompany and other non-functional currency transactions, as well as an increase in expense on debt of $1.1 million as a result of a higher debt balance as compared to the same quarter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not generated any revenue from product sales and have incurred significant operating losses and negative cash flows from our operations. Until we are able to generate sufficient revenue from TUDRIQEV and our other product candidates that we develop, which may never occur, we anticipate that we will continue to incur significant operating losses and negative cash flows from our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304"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with proceeds from the sale of equity securities and, to a lesser extent, proceeds from borrowing under a secured loan facility. Through June 30, 2026, we had received net proceeds of $1,132.9 million through the sale of shares of common stock and pre-funded warrants exercisable for common stock in public offerings, a private placement transaction, and at-the-market offerings, as well as our incurrence of debt under the Hercules Loan Agreement. As of June 30, 2026, we had cash and cash equivalents and short-term investments of $195.3 million.</w:t>
      </w:r>
    </w:p>
    <w:p>
      <w:pPr>
        <w:pStyle w:val="TextBody"/>
        <w:bidi w:val="0"/>
        <w:spacing w:before="0" w:after="0"/>
        <w:ind w:left="0" w:right="0" w:firstLine="648"/>
        <w:jc w:val="both"/>
        <w:rPr/>
      </w:pPr>
      <w:r>
        <w:rPr/>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tbl>
      <w:tblPr>
        <w:tblW w:w="7797" w:type="dxa"/>
        <w:jc w:val="left"/>
        <w:tblInd w:w="0" w:type="dxa"/>
        <w:tblLayout w:type="fixed"/>
        <w:tblCellMar>
          <w:top w:w="28" w:type="dxa"/>
          <w:left w:w="28" w:type="dxa"/>
          <w:bottom w:w="28" w:type="dxa"/>
          <w:right w:w="28" w:type="dxa"/>
        </w:tblCellMar>
      </w:tblPr>
      <w:tblGrid>
        <w:gridCol w:w="1840"/>
        <w:gridCol w:w="1620"/>
        <w:gridCol w:w="1625"/>
        <w:gridCol w:w="220"/>
        <w:gridCol w:w="830"/>
        <w:gridCol w:w="113"/>
        <w:gridCol w:w="113"/>
        <w:gridCol w:w="113"/>
        <w:gridCol w:w="113"/>
        <w:gridCol w:w="220"/>
        <w:gridCol w:w="830"/>
        <w:gridCol w:w="160"/>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 in thousands)</w:t>
            </w:r>
          </w:p>
        </w:tc>
      </w:tr>
      <w:tr>
        <w:trPr/>
        <w:tc>
          <w:tcPr>
            <w:tcW w:w="50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2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(75,728)</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(77,016)</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2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(23,665)</w:t>
            </w:r>
          </w:p>
        </w:tc>
        <w:tc>
          <w:tcPr>
            <w:tcW w:w="11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16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net cash used in operating activities was $75.7 million, primarily resulting from our net loss of $69.8 million partially offset by non-cash charges of $9.5 million, which primarily consist of stock-based compensation expense of $7.7 million and depreciation and amortization of $1.8 million, and a decrease in cash of $15.5 million related to changes in our operating assets and liabilities. Changes in our operating assets and liabilities for the three months ended June 30, 2026 consisted primarily of a $2.3 million decrease in accounts payable, a $17.4 million decrease in accrued expenses and other current liabilities, and a $1.3 million decrease in research and development incentives receivable from the United Kingdom government due to the timing and amount of our qualifying expenditures.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net cash used in operating activities was $77.0 million, primarily resulting from our net loss of $86.7 million partially offset by non-cash charges of $10.1 million, which primarily consist of stock-based compensation expense of $8.8 million and depreciation and amortization of $1.7 million, somewhat offset by net amortization of premiums and discounts on short-term investments of $1.3 million, and a decrease in cash of $0.4 million related to changes in our operating assets and liabilities. Changes in our operating assets and liabilities for the three months ended June 30, 2025 consisted primarily of a $5.5 million decrease in accrued expenses and other current liabilities, offset by a $3.8 million increase in accounts payable, and a $1.6 million decrease in research and development incentives receivable from the United Kingdom government due to the timing and amount of our qualifying expenditures.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net cash provided by investing activities was $50.0 million, consisting of $59.9 million in proceeds from sales and maturities of short-term investments, partially offset by $9.9 million in purchases of available for sale securities.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net cash provided by investing activities was $65.0 million, consisting of $105.4 million in proceeds from sales and maturities of short-term investments, partially offset by $37.6 million in purchases of available for sale securities and $2.7 million in purchases of property, plant and equipment and capitalized software.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net cash provided by financing activities was $0.8 million, relating to approximately $1.0 million in proceeds from the exercise of stock options, somewhat offset by principal payments of the Company's financing lease obligation.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net cash used in financing activities was $0.2 million, relating to principal payments of the Company's financing lease obligation.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plan of operation is to continue implementing our business strategy, commence and achieve commercial sales of TUDRIQEV, and continue research and development of our product candidates and continue to expand our research pipeline and our internal research and development capabilities. We expect our expenses to increase substantially in connection with our ongoing activities, particularly as we advance the commercialization of TUDRIQEV and the preclinical activities and clinical trials of our product candidates and if and as we: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seek to successfully commence and achieve commercial sales of TUDRIQEV;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seek to complete one or more confirmatory trials of TUDRIQEV, including our ongoing IGNYTE-3 clinical trial, as well as our other post marketing requirements and commitments;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seek to obtain adequate coverage and reimbursement for TUDRIQEV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conduct our current and future clinical trials with RP2 and RP3;</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further preclinical development of any of our product candidates from our RPx platform;</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operate, qualify and maintain our in-house manufacturing facility and qualify and maintain our product and product candidates made therein for use in our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to identify and develop additional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seek marketing approvals for any of our product candidates that successfully complete clinical trials,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 a sales, marketing and distribution infrastructure to commercialize any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seek to manufacture and maintain sufficient commercial supply of TUDRIQEV, or clinical supply of our product candidates, from our in-house manufacturing facility;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maintain, expand, protect and defend our intellectual property portfolio;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hire, train and retain additional clinical, quality control, scientific and general and administration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acquire or in-license other drugs, technologies or third-party intellectual property;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add operational, financial and management information systems and personnel, including personnel to support our research and development programs, any future commercialization efforts and operations as a public company.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and short-term investments of $195.3 million. Based on its current operating plan, the Company expects that its cash and cash equivalents and short-term investments will be sufficient to fund its operations for greater than twelve months from the issuance of these condensed consolidated financial statements, which includes the commercialization of TUDRIQEV in advanced melanoma and for working capital and general corporate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 commercialization of TUDRIQEV and the development of our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 those described in this section and above under “—Operating expenses—Research and development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Developing novel biopharmaceutical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therapies that we can not be certain will become commercially available. Accordingly, we will need to obtain substantial additional funds to achieve our business objectives.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Adequate additional funds may not be available to us on acceptable terms, or at all. We do not currently have any committed external source of funds. To the extent that we raise additional capital through the sale of our equity or convertible debt securities, our shareholders’ interest may be diluted, and the terms of these securities may include liquidation or other preferences and anti-dilution protections that could adversely affect the rights of our common stockholder. Additional debt or preferred equity financing, if available, may involve agreements that include restrictive covenants that may limit our ability to take specific actions, such as incurring debt adversely impact our ability to conduct our business, and may require the issuance of warrants, which could potentially dilute your ownership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material changes to our contractual obligations and commitments from those described under the heading “Management’s Discussion and Analysis of Financial Condition and Results of Operations—Contractual Obligations and Commitments” in our Annual Report on Form 10-K for the year ended March 31, 2026, which was filed with the SEC on June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Collaborations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BMS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2018, we entered into a Clinical Trial Collaboration and Supply Agreement with BMS. Pursuant to the agreement, BMS is providing to us, at no cost, nivolumab, its anti-PD-1 therapy, for use in combination with RP1 in our ongoing Phase 1/2 clinical trial. Under the agreement, we will sponsor, fund and conduct the clinical trial in accordance with an agreed-upon protocol. BMS granted us a non-exclusive, non-transferrable, royalty-free license (with a right to sublicense) under its intellectual property to use nivolumab in the clinical trial and has agreed to supply nivolumab, at no cost to us, for use in the clinical trial. Both parties will own the study data produced in the clinical trial, other than study data related solely to nivolumab, which will belong solely to BMS, or study data related solely to RP1, which will belong solely to us. In January 2020, this agreement was expanded to cover an additional cohort of 125 patients with anti-PD-1 failed melanoma.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 (y) in the event the other party is insolvent or in bankruptcy proceedings or (z) for safety reasons. Upon termination, the licenses granted to us to use nivolumab in the clinical trial will terminate. The agreement contains representations, warranties, undertakings and indemnities customary for a transaction of this 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2019, we entered into a separate agreement with BMS on terms similar to the terms set forth in the agreement described above, pursuant to which BMS will provide, at no cost to us, nivolumab for use in our Phase 1 clinical trial of RP2 in combination with nivolumab.</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Roche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2022, we entered into a Master Clinical Trial Collaboration and Supply Agreement with Roche in relation to our RP2 and RP3 programs in colorectal cancer, or CRC, and HCC. Under the agreement, the companies intended to collaborate in 30 patient cohort signal finding studies in third-line, or 3L, CRC and in first- and second-line, or 1L and 2L, respectively, HCC. Following our re-prioritization of our product development portfolio in December 2023, we have agreed with Roche to terminate the CRC collaboration and pursue the 2L cohort in HCC with RP2 only. Roche has continued to supply its currently approved drugs, atezolizumab and bevacizumab for the 2L cohort in HCC but is not sharing costs following our re-prioritization. Under the terms of the initial agreement we retained the responsibility of operating the clinical trials as well as retaining all the rights to the development and commercialization of our product candidates. The agreement may be terminated by either party upon sixty days prior written notice to the other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greater detail in Note 2 to our condensed consolidated financial statements appearing elsewhere in this Quarterly Report, we believe that the following accounting policies are those most critical to the judgments and estimates used in the preparation of our condensed consolidated financial statements.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Accrued 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process of preparing our condensed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condensed consolidated financial statements based on facts and circumstances known to us at that time. Examples of estimated accrued research and development expenses include fees paid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CROs in connection with performing research activities and conducting preclinical studies and clinical trials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CMOs in connection with the production of preclinical and clinical trial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investigative sites or other service providers in connection with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vendors in connection with preclinical and clinical development activities;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vendors related to product manufacturing and development and distribution of preclinical and clinical supplies.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base our expenses related to preclinical studies and clinical trials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issue stock-based awards to employees, directors, consultants and non-employees in the form of stock options and restricted stock units. We measure such stock-based awards in accordance with ASC 718, Compensation — Stock Compensation, which requires all stock-based awards to be recognized in the consolidated statements of operations and comprehensive loss based on their fair value on the date of the grant and the related compensation expense for those awards is recognized over the requisite service period, which is generally the vesting period of the respective award. We have, to date, only issued stock-based awards with service-based vesting conditions and record the expense for these awards using the straight-line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See Note 10 to our condensed consolidated financial statements appearing elsewhere in this Quarterly Report for more information. Forfeitures are accounted for as they occur. The fair value of each stock-based award is estimated on the date of grant based on the fair value of our common stock on that same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classify stock-based compensation expense in our consolidated statements of operations in the same manner in which the award recipient’s payroll costs are classified or in which the award recipient’s service payments are classified.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to our condensed consolidated financial statements appearing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 Under the supervision and with the participation of our management, including our Chief Executive Officer, Chief Financial Officer and Chief Accounting Officer, we conducted an evaluation of the effectiveness of our disclosure controls and procedures as of June 30, 2026. Based on this evaluation, our Chief Executive Officer, Chief Financial Officer and Chief Accounting Officer concluded that, as of June 30, 2026, our disclosure controls and procedures were effective at a reasonable assurance level.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for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240" w:after="283"/>
        <w:ind w:left="0" w:right="0" w:firstLine="720"/>
        <w:jc w:val="both"/>
        <w:rPr/>
      </w:pPr>
      <w:r>
        <w:rPr>
          <w:rFonts w:ascii="Times New Roman;serif" w:hAnsi="Times New Roman;serif"/>
          <w:b w:val="false"/>
          <w:color w:val="000000"/>
          <w:sz w:val="20"/>
        </w:rPr>
        <w:t xml:space="preserve">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w:t>
      </w:r>
      <w:r>
        <w:rPr>
          <w:rFonts w:ascii="Times New Roman;serif" w:hAnsi="Times New Roman;serif"/>
          <w:b w:val="false"/>
          <w:i/>
          <w:color w:val="000000"/>
          <w:sz w:val="20"/>
        </w:rPr>
        <w:t>Jboor v. Replimune Group, Inc. et al.</w:t>
      </w:r>
      <w:r>
        <w:rPr>
          <w:rFonts w:ascii="Times New Roman;serif" w:hAnsi="Times New Roman;serif"/>
          <w:b w:val="false"/>
          <w:color w:val="000000"/>
          <w:sz w:val="20"/>
        </w:rPr>
        <w:t xml:space="preserve">, Case No. 1:25-cv-12085-JEK, was filed shortly after the Company announced it received a complete response letter, or CRL, from the FDA for its RP1 BLA for the treatment of advanced melanoma on July 22, 2025 and the subsequent decline in the trading price of the Company's common stock. The Court has appointed a lead plaintiff, or the Lead Plaintiff. On January 13, 2026, Lead Plaintiff filed an amended complaint. Following the second CRL issued by the FDA on April 10, 2026 for the Company's RP1 BLA for the treatment of advanced melanoma, the Lead Plaintiff filed a second amended complaint in the class action that addresses the second CRL. The Company’s and the other defendants’ response is now due August 17, 2026. The Company and the other defendants deny any wrongdoing and will vigorously defend this action.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class action complaint, three shareholders filed separate derivative actions on behalf of the Company in the District of Massachusetts captioned Chea v. Patel et al., Case No. 1:25-cv-12316-JEK, Wright v. Patel et al., Case No. 1:25-cv-12401-WGY, and Vochten v. Patel et al.,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2025, the SEC, informed the Company that it was conducting an investigation and requested that the Company produce certain documents and communications connected with the RP1 BLA. The investigation is reviewing essentially the same subject matter raised in the litigation following the CRL. On June 24, 2026, the SEC informed the Company that it has concluded its investigation of the Company and that it is not recommending an enforcement action be taken against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a class action complaint alleging violations of the federal securities laws was filed against the Company and its directors and certain officers in the District of Massachusetts. The complaint, captioned Toor v. Replimune Group, Inc. et al., Case No. 1:26-cv-13612, alleges essentially the same facts and circumstances as the Lead Plaintiff's case. The Company and the other defendants deny any wrongdoing and continue to vigorously defend this 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and “Management’s discussion and analysis of results of operations and financial condition.” If any of the following risks are realized, our business, financial condition, operating results and prospects could be materially and adversely affected. In that event, the price of our common stock could decline, and you could lose part or all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Material risks that may affect our business, operating results and financial condition include, but are not necessarily limited to, those relating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commence and achieve commercial sales of TUDRIQEV in the U.S. for its approved indication;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complete one or more confirmatory trials of TUDRIQEV, including our ongoing IGNYTE-3 clinical trial, as well as our other post marketing requirements and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progress, and results of our preclinical studies and clinical trials for our product candidates, and the timing, scope or likelihood of regulatory filings and approvals for any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and advance any future product candidates based on our novel and proprietary RPx platform and successfully complete clinical trials and prepare for and successfully complete inspections, submissions and reviews of licensing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our product candidates for use in combination with other checkpoint blockade therapies, including anti-PD-1;</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successfully commercialize any product candidate for which we receive regulatory approval and our expectations regarding the size of the patient populations or the market acceptance of our product and product candidates if approved for commercial use;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compete with other biopharmaceutical companies, biotechnology companies and other third parties and risks associated with such third parties developing or commercializing products more quickly or marketing them more successfully than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negative developments in the field of immuno-oncology including clinical or commercial developments that may be attributed to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history of losses, the likelihood that we will continue to incur substantial and increasing net losses in the future, and/or the likelihood that we will require additional financing to achieve our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intellectual property position, including the scope of protection we are able to establish and maintain for intellectual property rights covering TUDRIQEV and our product candidates, claims others may make regarding rights in our intellectual property, and any potential infringement, misappropriation or other violation or alleged violation of any third-party intellectual property rights;</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color w:val="000000"/>
          <w:sz w:val="20"/>
        </w:rPr>
        <w:t xml:space="preserve">our ability to successfully qualify, obtain approval for, and maintain successful operation, approval and qualification of our in-house manufacturing operations; </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color w:val="000000"/>
          <w:sz w:val="20"/>
        </w:rPr>
        <w:t xml:space="preserve">our ability to obtain and maintain sufficient quantities of raw material supplies to build or maintain our product candidate supplies or otherwise operate our in-house manufacturing facility; </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color w:val="000000"/>
          <w:sz w:val="20"/>
        </w:rPr>
        <w:t>our ability to obtain and maintain sufficient quantities of materials and supplies to conduct our clinical trials, such as comparative, control and/or standard of care therapies including chemotherapeutic agents that are currently in short supply in the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of operating our in-house manufacturing facility and our reliance on third-party collaborators and clinical trial service providers, which may be single or of limited source;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compliance with domestic and foreign laws, rules and regulations and the consequences in the event that we fail to comply with such laws, rules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the continued service of our key professionals and to identify, hire, train and retain additional qualified professionals;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competitive position, and developments and projections relating to our competitors and our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increased costs associated with tariffs imposed or threatened by the current U.S. administration on pharmaceuticals and pharmaceutical ingredients where there is no available exception; and</w:t>
      </w:r>
    </w:p>
    <w:p>
      <w:pPr>
        <w:pStyle w:val="TextBody"/>
        <w:bidi w:val="0"/>
        <w:spacing w:lineRule="auto" w:line="288" w:before="120" w:after="283"/>
        <w:ind w:left="0" w:right="0" w:hanging="360"/>
        <w:jc w:val="left"/>
        <w:rPr>
          <w:color w:val="000000"/>
        </w:rPr>
      </w:pPr>
      <w:r>
        <w:rPr>
          <w:color w:val="000000"/>
        </w:rPr>
        <w: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ongoing trade and military conflicts between Russia-Ukraine and Israel-Hamas and U.S.-China, including imposed and threatened tariffs, and other international hostilities and conflicts, and their impact on the global economy and related governmental imposed sanctions and potential material supplies and supply chain disruptions and global or national economic impacts such as inflation.</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commercialization</w:t>
      </w:r>
    </w:p>
    <w:p>
      <w:pPr>
        <w:pStyle w:val="TextBody"/>
        <w:bidi w:val="0"/>
        <w:spacing w:lineRule="auto" w:line="288" w:before="240" w:after="283"/>
        <w:jc w:val="left"/>
        <w:rPr/>
      </w:pPr>
      <w:r>
        <w:rPr>
          <w:rFonts w:ascii="Times New Roman;serif" w:hAnsi="Times New Roman;serif"/>
          <w:b/>
          <w:i/>
          <w:color w:val="000000"/>
          <w:sz w:val="20"/>
        </w:rPr>
        <w:t>Our near-term prospects are wholly dependent on TUDRIQEV. We have no experience with the commercialization of TUDRIQEV, and if we are unable to successfully commercialize TUDRIQEV in the U.S. for its approved indication, our ability to generate meaningful revenue or achieve profitability will be materially and adversely affected.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2026, we received FDA approval to commercialize TUDRIQEV in combination with nivolumab in the U.S. for the treatment of adults with unresectable advanced cutaneous melanoma who experienced disease progression with an anti-PD-1 antibody-based regimen, and we are preparing to initiate a commercial launch of TUDRIQEV in the U.S. in that indication. This indication is approved under accelerated approval based on objective response rate and duration of response. Continued approval for this indication may be contingent on verification of clinical benefit in one or more confirmatory trials, including our ongoing IGNYTE-3 clinical trial. We are conducting our ongoing IGNYTE-3 clinical trial as a confirmatory study. Additionally, we are also required to conduct a pediatric study and fulfill certain other postmarketing commitments set out in FDA’s TUDRIQEV approval letter.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TUDRIQEV is our only product approved for marketing by the FDA, and our ability to generate revenue from product sales and achieve profitability is wholly dependent on our ability to successfully commercialize TUDRIQEV in the U.S. for its approved indication. We may not be able to successfully commercialize TUDRIQEV for a number of reasons, including: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may not be able to establish or demonstrate in the medical community the safety and efficacy of TUDRIQEV and its potential advantages over and side effects compared to existing treatments;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physicians may be reluctant to prescribe TUDRIQEV until longer-term efficacy and safety data exists;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have no prior experience in marketing, selling and distributing TUDRIQEV or any other product; following receipt of a second CRL in April 2026, we implemented significant cost-savings measures, including significant reductions in force in our in-house sales, marketing or commercialization teams; although we have begun to rebuild these capabilities in advance of commercializing TUDRIOEV, we may face challenges in rehiring former staff or hiring, training, and deploying new staff to meet our commercialization objectives;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are dependent on the reimbursement and coverage policies of government and private payors such as Medicare, Medicaid, insurance companies, health maintenance organizations and other plan administrators and may not be able to obtain adequate reimbursement and coverage for TUDRIQEV;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sales may be affected by the relative price of TUDRIQEV in combination with nivolumab as compared to alternative treatment options;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sales volumes will depend on the incidence and prevalence of patients in TUDRIQEV’s approved indication, and our market and sales estimates may be incorrect;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future competitive or other market factors may adversely affect the commercial potential of TUDRIQEV;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may not be able to obtain and maintain regulatory approvals for TUDRIQEV in any other jurisdictions or for any other indications;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changes could be required to the label for TUDRIQEV that further restrict how we market and sell TUDRIQEV, including as a result of adverse events observed following commercialization or in ongoing and future studies of TUDRIQEV;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may be unable to timely or successfully complete one or more confirmatory trials that verify the clinical benefit of TUDRIQEV, including our ongoing IGNYTE-3 clinical trial, or may be unable to timely or successfully complete the required pediatric study and other postmarketing commitments;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may encounter manufacturing challenges that may impact product supply or may need to conduct product recalls;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might not be able to maintain compliance with the many legal and regulatory requirements for the manufacturing, marketing, promotion, sale, distribution and commercialization of TUDRIQEV and may face enforcement actions;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may not be able to maintain adequate commercial supplies of TUDRIQEV, or there may not be adequate supplies of nivolumab to meet demand at an acceptable cost or at all; and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we may need additional financial or other resources to successfully commercialize TUDRIQEV.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successful commercialization of TUDRIQEV may not generate sufficient revenue from product sales, and we may not become profitable in the near term, or at all. In any event, if we are unable to successfully commercialize TUDRIQEV in the U.S. for its approved indication, our ability to generate meaningful revenue from product sales and achieve profitability will be materially and adversely affected, which in turn could have a material adverse effect on our business and business prospects. </w:t>
      </w:r>
    </w:p>
    <w:p>
      <w:pPr>
        <w:pStyle w:val="TextBody"/>
        <w:bidi w:val="0"/>
        <w:spacing w:lineRule="auto" w:line="288" w:before="240" w:after="283"/>
        <w:jc w:val="left"/>
        <w:rPr/>
      </w:pPr>
      <w:r>
        <w:rPr>
          <w:rFonts w:ascii="Times New Roman;serif" w:hAnsi="Times New Roman;serif"/>
          <w:b/>
          <w:i/>
          <w:color w:val="000000"/>
          <w:sz w:val="20"/>
        </w:rPr>
        <w:t>To be commercially successful, TUDRIQEV must be accepted by the healthcare community, which can be slow to adopt or unreceptive to new technologies and products.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TUDRIQEV may not achieve market acceptance in the U.S. for the treatment of adults with unresectable advanced cutaneous melanoma who experienced disease progression with an anti-PD-1 antibody-based regimen or any other indication that might be approved by the FDA in the future, or achieve the potential international revenue we believe may be possible if TUDRIQEV is approved outside the U.S., since hospitals, physicians, patients or the medical community in general may decide not to accept and utilize TUDRIQEV. The degree of market acceptance of TUDRIQEV depends on a number of factors, including: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clinical indications for which TUDRIQEV is or may in the future be approved, as well as any contraindications, risks, and warnings;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establishment and demonstration to the medical community of the clinical efficacy and safety of TUDRIQEV;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ability to demonstrate that TUDRIQEV is superior to alternatives on the market at the time, including with respect to efficacy, safety, cost or mode of administration;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willingness of medical professionals to prescribe, and patients to use, TUDRIQEV in combination with nivolumab;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publication of unfavorable safety or efficacy data concerning TUDRIQEV by third parties or us or the publication of favorable data concerning competitive products;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restrictions on use of TUDRIQEV alone or in combination with other products;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label and promotional claims allowed by the FDA for TUDRIQEV, as well as such claims allowed by similar international regulatory authorities for TUDRIQEV, if any, including usage for only certain indications and any limitations or warnings about the prevalence or severity of any side effects;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timing of market introduction of TUDRIQEV as well as competitive products, including sequencing of available products; the effectiveness of sales, marketing and distribution support for TUDRIQEV;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ability of any third-party distributors or other service providers we may contract with to distribute TUDRIQEV and the processes required to order and administer TUDRIQEV in combination with nivolumab;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extent to which TUDRIQEV is approved for inclusion on formularies or otherwise authorized for use in hospitals and other treatment centers;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pricing of TUDRIQEV in combination with nivolumab, both in absolute terms and relative to alternative treatments;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availability of nivolumab and TUDRIQEV;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availability of healthcare professionals and treatment centers with the expertise, personnel and equipment necessary to administer TUDRIQEV by direct injection into tumors;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availability of coverage and adequate reimbursement by government and third-party payors; and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willingness of patients to pay out-of-pocket in the absence of coverage by third-party payors, including governmental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payors, insurers and/or third-party payors may decide that any potential benefit that TUDRIQEV may provide to clinical outcomes in advanced melanoma is not adequate to justify the potential adverse effects or the costs of treatment with TUDRIQEV in combination with nivolumab. If the healthcare community does not accept TUDRIQEV for any of the foregoing reasons, or for any other reasons, our ability to commercialize TUDRIQEV in the U.S. for its approved indication or for any other indications for which TUDRIQEV may be approved may be negatively impacted or precluded altogether, which would seriously and adversely affect our business and business prospects. </w:t>
      </w:r>
    </w:p>
    <w:p>
      <w:pPr>
        <w:pStyle w:val="TextBody"/>
        <w:bidi w:val="0"/>
        <w:spacing w:lineRule="auto" w:line="288" w:before="240" w:after="283"/>
        <w:jc w:val="left"/>
        <w:rPr/>
      </w:pPr>
      <w:r>
        <w:rPr>
          <w:rFonts w:ascii="Times New Roman;serif" w:hAnsi="Times New Roman;serif"/>
          <w:b/>
          <w:i/>
          <w:color w:val="000000"/>
          <w:sz w:val="20"/>
        </w:rPr>
        <w:t>TUDRIQEV was approved under the accelerated approval pathway, and continued approval may be contingent upon verification of clinical benefit in one or more confirmatory trials, including our ongoing IGNYTE-3 clinical trial. If we fail to satisfy the requirements applicable to accelerated approval, the FDA may withdraw approval of TUDRIQEV.</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granted accelerated approval of TUDRIQEV in combination with nivolumab for the treatment of adults with unresectable advanced cutaneous melanoma who experienced disease progression with an anti-PD-1 antibody-based regimen. This indication was approved based on overall response rate and duration of response. Under the accelerated approval pathway,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taking into account the severity, rarity or prevalence of the condition and the availability or lack of alternative treatments. The FDA generally reserves the use of accelerated approvals for situations in which the product at issue provides a meaningful therapeutic benefit over existing treatments.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Products granted accelerated approval are subject to certain post-marketing requirements, which include a requirement to conduct one or more post-approval studies to confirm the clinical benefit of the product, which must be completed with due diligence. For instance, the continued approval of TUDRIQEV may be contingent upon verification of clinical benefit in one or more confirmatory trials, including our ongoing IGNYTE-3 clinical trial. The FDA also sets forth the conditions for post-marketing requirements and post-marketing commitments. The FDA may disagree with our clinical study designs for or our conduct of post-marketing confirmatory studies and may require study conditions that are unfavorable to us or impractical, which could delay completion of the study or lead to studies not demonstrating a clinical benefit. We also may not be able to complete or may not successfully complete the required post-marketing confirmatory studies. If we do not complete the required post-marketing confirmatory studies or if these do not confirm TUDRIQEV’s clinical benefit, FDA could withdraw the product from the market using an expedited withdrawal process, we may choose to voluntarily withdraw the product from the market, or we may need to conduct further studies to determine whether the product has a clinical benefit. Failure to conduct the required confirmatory studies or to conduct such studies with due diligence, as well as failure to submit the required update reports can subject us to penalties.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sponsors of products approved under accelerated approval are required to provide reports to the FDA on the progress of the required confirmatory studies. FDA regulations further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previously convened an advisory committee to review cases where confirmatory studies have not been completed or where results did not confirm benefit.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noted above, the FDA also has the authority to withdraw products approved under the accelerated approval pathway using expedited withdrawal procedures. Circumstances that may lead to such withdrawal include: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the failure to conduct required post-approval study of TUDRIQEV with due diligence, including with respect to conditions specified by the FDA;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a study required to verify and describe the predicted clinical benefit of TUDRIQEV fails to verify and describe such benefit;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other evidence demonstrates that TUDRIQEV is not shown to be safe or effective under the conditions of use; or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our dissemination of false or misleading promotional materials relating to TUDRIQEV.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complete IGNYTE-3 or any other required post-approval study with due diligence, if any such study fails to verify and describe the predicted clinical benefit of TUDRIQEV or if other evidence demonstrates that TUDRIQEV is not shown to be safe or effective under the conditions of use, the FDA may withdraw approval of TUDRIQEV, which could have a material adverse effect on our business and business prospects.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product development and regulatory approval</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Our product candidates are in various stages of development, are not approved for commercial sale and might never receive regulatory approval or become commercially viable. We cannot be certain that we will be able to successfully develop further product candidates or obtain regulatory approval for our product candidates. We have not yet generated any revenue from product sales and may never be profitable.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recently received approval from the FDA for TUDRIQEV, in combination with nivolumab for the treatment of adults with unresectable advanced cutaneous melanoma who experienced disease progression with an anti-PD-1 antibody-based regimen, all of our product candidates are in earlier stages of research or clinical development. We have not generated any revenue from the sale of any product to date. Our product candidates require extensive preclinical and/or clinical testing and regulatory review from the FDA prior to approval and commercial use. It is possible that the FDA will not approve an application that we may submit, or our product candidates may not obtain appropriate regulatory approvals necessary for us to commence or continue clinical trials for our product candidates or ultimately commercialize them. Any delay or failure in obtaining required approvals could have a material adverse effect on our business and business prospects. For example, we received multiple CRLs from the FDA in connection with our BLA for TUDRIQEV in combination with nivolumab for the treatment of advanced melanoma.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any of our other research and development efforts may not be successful. Furthermore, even if our clinical development efforts result in what we believe to be positive data, our product candidates may not receive regulatory approval or be successfully introduced and marketed at prices that would permit us to operate profitably.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will not be able to commercialize our product candidates if our preclinical studies do not produce successful results and/or our clinical trials do not demonstrate the safety and efficacy of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product candidates are susceptible to the risks of failure inherent at any stage of product development, including the occurrence of unexpected or unacceptable adverse events or the failure to demonstrate efficacy in clinical trials. Clinical development is expensive and can take many years to complete, and its outcome is inherently uncertain.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results of preclinical studies, preliminary study results, and early clinical trials of our product candidates may not be predictive of the results of later stage clinical trials. Our product candidates may not perform as we expect, may ultimately have a different or no impact on tumors, may have a different mechanism of action than we expect in humans, and may not ultimately prove to be safe and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and final results from preclinical studies and early stage trials, and trials in compounds that we believe are similar to ours, may not be representative of results that are found in larger, controlled, blinded, and longer-term studies. Product candidates may fail at any stage of preclinical or clinical development. Product candidates may fail to show the desired safety and efficacy traits even if they have progressed through preclinical studies or initial clinical trials. Preclinical studies and clinical trials may also reveal unfavorable product candidate characteristics, including safety concerns. A number of companies in the biopharmaceutical industry have suffered significant setbacks in clinical trials, notwithstanding promising results in earlier preclinical studies or clinical trials or promising mechanisms of action.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Moreover, should there be an issue with the design of a clinical trial, our results may be impacted. We may not discover such a flaw until the clinical trial is at an advanced stage, the data is being reviewed or during the license application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also experience numerous unforeseen events during, or as a result of, clinical trials that could delay or prevent our ability to receive marketing approval or commercialize our product candidates, including: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regulators or IRBs may not authorize us or our investigators to commence a clinical trial, conduct a clinical trial at a prospective trial site, or amend trial protocols, or may require that we modify or amend our clinical trial protocols;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experience delays in reaching, or fail to reach, agreement on acceptable clinical trial contracts or clinical trial protocols with prospective trial sites and/or contract research organizations, or CROs;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manufacturing facilities or the manufacturing process for our product candidates may impact how our product candidates perform in clinical trials;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could be adopted in marketing approval policies during the development period, rendering our data insufficient to obtain marketing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statutes or regulations could be amended or new ones could be adopted;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could be adopted in the regulatory review process for submitted product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clinical trials of our product candidates may be greater than we anticipate or we may have insufficient funds for a clinical trial or to pay the substantial user fees required by the FDA upon the filing of a BLA or equivalent authorizations from comparable foreign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we may not be able to obtain them on favorable terms due to reasons, such as international trade policies and supply chain disruptions, including the imposition of tariffs;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decide, or regulators may require us, to conduct or gather, as applicable, additional clinical trials, analyses, reports, data, or preclinical trials, or we may abandon product development programs. For example, the FDA may determine that larger trials, Phase 3 trials, randomized</w:t>
      </w:r>
      <w:r>
        <w:rPr>
          <w:color w:val="000000"/>
        </w:rPr>
        <w:t xml:space="preserve"> </w:t>
      </w:r>
      <w:r>
        <w:rPr>
          <w:rFonts w:ascii="Times New Roman;serif" w:hAnsi="Times New Roman;serif"/>
          <w:b w:val="false"/>
          <w:color w:val="000000"/>
          <w:sz w:val="20"/>
        </w:rPr>
        <w:t>and controlled clinical trials, or clinical trials designed to replicate results found in our registrational or pivotal trials are required before we may file a BLA or before the FDA will approve or maintain a marketing application;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reach an agreement with regulators or IRBs regarding the scope, design, or implementation of our clinical trials, and the FDA or comparable foreign regulatory authorities may require changes to our study designs or study data analysis that may make further study impractical or not financially prudent;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regulators may ultimately disagree with the design or our conduct of our preclinical studies or clinical trials, finding that they do not support product candidate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have delays in adding new investigators or clinical trial sites, or we may experience a withdrawal of clinical trial sites;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there may be regulatory questions or disagreements regarding interpretations of data and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comparable foreign regulatory authorities may not accept data from studies with clinical trial sites in foreign countries or may find that such data is not sufficiently representative;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comparable foreign regulatory authorities may disagree with our intended indications;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or subsequently find fault with the manufacturing, testing, comparability or quality processes or our manufacturing facilities for clinical and future commercial supplies and may delay approval, refuse to approve or rescind approval of a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data collected from clinical trials of our product candidates, including our registration directed or registration intended trials may not be sufficient to the satisfaction of the FDA or comparable foreign regulatory authorities to support the submission of a BLA or other comparable submission in foreign jurisdictions or to obtain regulatory approval in the United States or elsewhere;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FDA may decide that our intended pathways, including accelerated approval, are not appropriate for our product candidates, requiring that we conduct additional studies.</w:t>
      </w:r>
      <w:r>
        <w:rPr>
          <w:color w:val="000000"/>
        </w:rPr>
        <w:t xml:space="preserve"> </w:t>
      </w:r>
      <w:r>
        <w:rPr>
          <w:rFonts w:ascii="Times New Roman;serif" w:hAnsi="Times New Roman;serif"/>
          <w:b w:val="false"/>
          <w:color w:val="000000"/>
          <w:sz w:val="20"/>
        </w:rPr>
        <w:t>For example, in recent years the accelerated approval pathway has come under significant FDA and public scrutiny.</w:t>
      </w:r>
      <w:r>
        <w:rPr>
          <w:color w:val="000000"/>
        </w:rPr>
        <w:t xml:space="preserve"> </w:t>
      </w:r>
      <w:r>
        <w:rPr>
          <w:rFonts w:ascii="Times New Roman;serif" w:hAnsi="Times New Roman;serif"/>
          <w:b w:val="false"/>
          <w:color w:val="000000"/>
          <w:sz w:val="20"/>
        </w:rPr>
        <w:t>Accordingly, depending on the results of our studies, the FDA may be more conservative in granting accelerated approval or, if granted, may be more apt to withdrawal approval if clinical benefit is not confirmed.</w:t>
      </w:r>
      <w:r>
        <w:rPr>
          <w:color w:val="000000"/>
        </w:rPr>
        <w:t xml:space="preserve"> </w:t>
      </w:r>
      <w:r>
        <w:rPr>
          <w:rFonts w:ascii="Times New Roman;serif" w:hAnsi="Times New Roman;serif"/>
          <w:b w:val="false"/>
          <w:color w:val="000000"/>
          <w:sz w:val="20"/>
        </w:rPr>
        <w:t>For instance, our confirmatory studies may not confirm a product’s clinical benefit, in which case, the FDA could withdraw the product from the market, we may choose to voluntarily withdraw the product from the market, or we may need to conduct further studies to determine whether the product has a clinical benefit. Even if accelerated approval is granted, payors, including governmental payors, may be less willing to provide sufficient reimbursement for products approved via accelerated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obtain or maintain any special designations that our product candidates have received, including breakthrough designation.</w:t>
      </w:r>
      <w:r>
        <w:rPr>
          <w:color w:val="000000"/>
        </w:rPr>
        <w:t xml:space="preserve"> </w:t>
      </w:r>
      <w:r>
        <w:rPr>
          <w:rFonts w:ascii="Times New Roman;serif" w:hAnsi="Times New Roman;serif"/>
          <w:b w:val="false"/>
          <w:color w:val="000000"/>
          <w:sz w:val="20"/>
        </w:rPr>
        <w:t>For instance, the FDA may find that, following designation, our product candidates no longer qualify for the designation due to changed circumstances or study results.</w:t>
      </w:r>
      <w:r>
        <w:rPr>
          <w:color w:val="000000"/>
        </w:rPr>
        <w:t xml:space="preserve"> </w:t>
      </w:r>
      <w:r>
        <w:rPr>
          <w:rFonts w:ascii="Times New Roman;serif" w:hAnsi="Times New Roman;serif"/>
          <w:b w:val="false"/>
          <w:color w:val="000000"/>
          <w:sz w:val="20"/>
        </w:rPr>
        <w:t>This may result in the FDA rescinding a designation that we previously received.</w:t>
      </w:r>
      <w:r>
        <w:rPr>
          <w:color w:val="000000"/>
        </w:rPr>
        <w:t xml:space="preserve"> </w:t>
      </w:r>
      <w:r>
        <w:rPr>
          <w:rFonts w:ascii="Times New Roman;serif" w:hAnsi="Times New Roman;serif"/>
          <w:b w:val="false"/>
          <w:color w:val="000000"/>
          <w:sz w:val="20"/>
        </w:rPr>
        <w:t>Any such designation also may not expedite or otherwise facilitate product development;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take longer than we anticipate to make a decision on our product candidates or necessary inspections before an approval can be issued may be delayed;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there may be events outside of our control, including, with respect to the budget, staffing, and funding of the U.S. Federal government, the FDA’s ability to hire and retain key personnel, the FDA’s ability to accept user fees, and other regulatory and policy changes.</w:t>
      </w:r>
      <w:r>
        <w:rPr>
          <w:color w:val="000000"/>
        </w:rPr>
        <w:t xml:space="preserve"> </w:t>
      </w:r>
      <w:r>
        <w:rPr>
          <w:rFonts w:ascii="Times New Roman;serif" w:hAnsi="Times New Roman;serif"/>
          <w:b w:val="false"/>
          <w:color w:val="000000"/>
          <w:sz w:val="20"/>
        </w:rPr>
        <w:t>Disruptions at the FDA may slow the time to approval of a new drug or may otherwise impact our ability to obtain guidance from and interact with the agency.</w:t>
      </w:r>
      <w:r>
        <w:rPr>
          <w:color w:val="000000"/>
        </w:rPr>
        <w:t xml:space="preserve"> </w:t>
      </w:r>
      <w:r>
        <w:rPr>
          <w:rFonts w:ascii="Times New Roman;serif" w:hAnsi="Times New Roman;serif"/>
          <w:b w:val="false"/>
          <w:color w:val="000000"/>
          <w:sz w:val="20"/>
        </w:rPr>
        <w:t>For instance, in recent years, the U.S. Federal government has experienced shutdowns.</w:t>
      </w:r>
      <w:r>
        <w:rPr>
          <w:color w:val="000000"/>
        </w:rPr>
        <w:t xml:space="preserve"> </w:t>
      </w:r>
      <w:r>
        <w:rPr>
          <w:rFonts w:ascii="Times New Roman;serif" w:hAnsi="Times New Roman;serif"/>
          <w:b w:val="false"/>
          <w:color w:val="000000"/>
          <w:sz w:val="20"/>
        </w:rPr>
        <w:t xml:space="preserve">Should there be a prolonged government shutdown, it could significantly impact the ability of the FDA to review or slow the FDA in its review of any of our submissions or applications, which could have a materially adverse impact on our business;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within the FDA, including its leadership may impede or delay our ability to develop and obtain approval for our product candidates, including due to changing priorities and policies.</w:t>
      </w:r>
      <w:r>
        <w:rPr>
          <w:color w:val="000000"/>
        </w:rPr>
        <w:t xml:space="preserve"> </w:t>
      </w:r>
      <w:r>
        <w:rPr>
          <w:rFonts w:ascii="Times New Roman;serif" w:hAnsi="Times New Roman;serif"/>
          <w:b w:val="false"/>
          <w:color w:val="000000"/>
          <w:sz w:val="20"/>
        </w:rPr>
        <w:t>By example, over the last year, there have been a number of different leadership changes within the agency, which may continue;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demonstrate that a product candidate provides an advantage over current standards of care or current or future competitive therapies in development.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Our development costs will also increase if we experience delays in testing or approvals, and we may not have sufficient funding to complete the testing and approval process for any of our product candidates. We will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these occur, our business, financial condition, results of operations, stock price and prospects may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 xml:space="preserve">Topline data </w:t>
      </w:r>
      <w:r>
        <w:rPr>
          <w:rFonts w:ascii="Times New Roman;serif" w:hAnsi="Times New Roman;serif"/>
          <w:b/>
          <w:i/>
          <w:color w:val="000000"/>
          <w:sz w:val="20"/>
          <w:shd w:fill="FFFFFF" w:val="clear"/>
        </w:rPr>
        <w:t>may not accurately reflect the complete results of a particular study or trial.</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publicly disclose topline or interim data from time to time, which is based on a preliminary analysis of then-available efficacy and safety data. As topline or interim data,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and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and interim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and interim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anticipate that our product candidates will be used in combination with third-party drugs, some of which are still in development, and we have limited or no control over the supply, regulatory status, or regulatory approval of such drugs.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be administered in combination with checkpoint blockade drugs, a class of drugs that are intended to stop tumor cells from “switching off” an immune system attack against themselves. We have entered into agreements with BMS for the supply of nivolumab, its anti-PD-1 therapy, for use in connection with our ongoing IGNYTE Phase 1/2 trials with RP1, our Phase 1/2 clinical trial with RP2 and our Phase 1 and Phase 2 clinical trials with RP3 where we decide to use nivolumab. We have also entered into a clinical collaboration agreement with Regeneron, which includes the supply of cemiplimab, its anti-PD-1 therapy, for clinical trials conducted thereunder. Additionally, our signal finding study in HCC is being developed in combination with atezolizumab and bevacizumb under a supply and clinical collaboration agreement with Roche. We may enter into additional agreements for the supply of anti-PD-1 products for use in combination with and for the continued development of one or more of our product candidates. Although we have entered into such collaboration and supply agreements, and may continue to do so, our partners may remain in control of the supply and other decisions relating to their products or product candidates and we rely on their adherence to the terms of such agreements for the proper execution of their obligations. Our ability to develop and ultimately commercialize our product candidates used in combination with nivolumab, cemiplimab, atezolizumab, bevacizumab or any other checkpoint blockade therapy will depend on our ability to access such drugs on commercially reasonable terms for the clinical trials and their availability for use with the commercialized product, if approved. We cannot be certain that current or potential future commercial relationships will provide us with a steady supply of such drugs on commercially reasonable terms or at 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failure to maintain or enter into new successful commercial relationships, or the availability and expense of purchasing checkpoint blockade therapies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the development of our product candidates for use in combination with another product or product candidate may present challenges that are not faced for single agent product candidates. While we previously opened a clinical trial for use of RP1 as a monotherapy, we are generally developing RP1 and our other product candidates for use in combination with anti-PD-1 or potentially anti-PD(L)-1 therapies and may develop RP1 or our other product candidates for use with other therapies. Although we intend for some of our trials to support registrational filings, the FDA may require us to use more complex clinical trial designs in order to evaluate the contribution of each product and product candidate to any observed effects. It is possible that the results of these trials could show that any positive previous trial results are attributable to the therapy with which our products were combined and not our product candidates. Moreover, following product approval, the FDA may require that products used in conjunction with each other be cross-labeled for combined use or the FDA may pull back a previously granted marketing license if a confirmational trial does not result in data supporting an earlier approval. To the extent that we do not have rights to the other product, this may require us to work with a third party to satisfy such a requirement. Developments related to the other product may further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that BMS or Roche or any future collaborator or supplier cannot continue to supply their products on commercially reasonable terms or at all, we would need to identify alternatives for accessing an anti-PD-1 therapy. Additionally, should the supply of products from BMS or Roche or any of our current or future collaborators or suppliers be interrupted, delayed or otherwise be unavailable to us, our clinical trials may be delayed, interrupted or halted. In the event we are unable to source a supply of an acceptable alternative anti-PD-1 therapy, or are unable to do so on commercially reasonable terms, our business, financial condition, results of operations, stock price and prospects may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 underlying problem with our proprietary RPx platform would adversely affect our business and may require us to discontinue development of product candidates based on the same or similar therapeutic approaches.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invested, and we expect to continue to invest, significant efforts and financial resources in the development of product candidates based on our RPx platform. Our ability to generate any revenues from the sale of our product candidates will depend heavily on the successful development, regulatory approval and commercialization of one or more of these product candidates using our RPx platform. Since all of the product candidates in our current pipeline are based on our proprietary RPx platform, if any of our product candidates fail in development as a result of any underlying problem with our proprietary RPx platform, then we may be required to discontinue development of all product candidates that are based on our RPx platform. If we were required to discontinue development of our product candidates that are based on our RPx platform, or if any of them were to fail to receive regulatory approval or achieve sufficient market acceptance, we could be prevented from or significantly delayed in achieving profitability. We can provide no assurance that we would be successful at developing other product candidates based on an alternative therapeutic approach from our RPx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develop additional product candidates, our commercial opportunity could be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TUDRIQEV, we intend to continue to pursue clinical development of additional product candidates, including RP2 and, in the future potentially reinitiating development plans with RP3. Developing, obtaining marketing approval for, and commercializing additional product candidates will require substantial additional funding and will be subject to the risks of failure inherent in medical product development. We cannot assure our shareholders that we will be able to successfully advance any of these additional product candidates through the development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Even if we obtain approval from the FDA or comparable foreign regulatory authorities to market additional product candidates for the treatment of solid tumors, we cannot assure our shareholders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regulatory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Even if our development efforts are successful, we may not obtain regulatory approval for any of our product candidates in the United States or other jurisdictions, which would prevent us from commercializing our product candidates. 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not permitted to market or promote or sell any of our product and product candidates before we receive regulatory approval from the FDA or comparable foreign regulatory authorities, and we may never receive such regulatory approval for any of our product candidates. Securing marketing approval requires the submission of extensive preclinical and clinical data and supporting information to regulatory authorities for each therapeutic indication to establish the product and product candidate’s safety and efficacy for that indication. Securing marketing approval also requires the submission of information about the product manufacturing process to, and inspection (remotely or in person) of manufacturing facilities and clinical trial sites by, the regulatory authorities. If we do not receive approval from the FDA and comparable foreign regulatory authorities for any of our product and product candidates, we will not be able to commercialize such product candidates in the United States or in other jurisdictions. If significant delays in obtaining approval for and commercializing our product and product candidates occur in any jurisdiction, our business, financial condition, results of operations, stock price and prospects will be materially harmed. Even if our product candidates are approved, they may: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 subject to limitations on the indicated uses or patient populations for which they may be marketed, distribution restrictions, or other conditions of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contain significant safety warnings, including boxed warnings, contraindications, and precautions;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not be approved with label statements necessary or desirable for successful commercialization;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contain requirements for costly post-market testing and surveillance, or other requirements, including the submission of a REMS or equivalent post-marketing measures to monitor the safety or efficacy of the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the issuance of two CRLs in respect of our BLA for TUDRIQEV, in August 2026, we received FDA approval to commercialize TUDRIQEV in combination with nivolumab in the U.S. for the treatment of adults with unresectable advanced cutaneous melanoma who experienced disease progression with an anti-PD-1 antibody-based regimen, and we are preparing to initiate a commercial launch of TUDRIQEV in the U.S. in that indication. This indication is approved under accelerated approval based on overall response rate and duration of response. Continued approval for this indication is contingent on verification of clinical benefit in one or more confirmatory trials, including our ongoing IGNYTE-3 clinical trial. There can be no assurance that we will be able to complete one or more confirmatory trials of TUDRIQEV.</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FDA could also require post-market commitments or requirements following an approval that are onerous, costly or may not be feasible in the time required by the FDA and that ultimately limit or inhibit the continued development or commercialization of TUDRIQEV.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our product candidates as expected, and our ability to generate revenue may be materially impaired.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These regulatory requirements may require us to amend our clinical trial protocols, conduct additional preclinical studies or clinical trials that may require regulatory or IRB approval, require additional or different analysis of clinical data or otherwise cause delays in the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FDA or a comparable foreign regulatory authority may determine that our product and product candidates have undesirable side effects that could delay or prevent their regulatory approval or commercialization.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undesirable side effects or serious adverse events will not be caused by or associated with TUDRIQEV or our product candidates as they continue through or enter clinical development. Serious adverse events or 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The FDA or comparable foreign regulatory authority requests for additional data or information could also result in substantial delays in the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any of our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our product candidates. Undesirable side effects may limit the potential market for any approved products or could result in the discontinuation of the sales and marketing of the product, or withdrawal of product approvals. Later discovered undesirable side effects may further result in the imposition of a REMS, label revisions, post approval study requirements, or other testing and surveillance.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any of our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Our product candidates may be subject to review by an FDA advisory committee, and an unfavorable recommendation could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FDA may convene an advisory committee to review and evaluate data relating to one or more of our product candidates, as was the case with TUDRIQEV. Advisory committees are comprised of independent experts who provide recommendations to the FDA regarding the approval, labeling, post-marketing requirements, and other regulatory matters associated with product candidates. Although the FDA is not bound by an advisory committee's recommendation, it generally gives significant weight to the committee's views when making regulatory decisions.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advisory committee reviewing one of our product candidates recommends against approval, expresses concerns regarding the safety, efficacy, manufacturing, labeling, or risk-benefit profile of the product candidate, or recommends additional clinical studies or other requirements, the FDA may delay, limit, or deny approval. Even if the advisory committee ultimately recommends approval, the FDA may impose significant restrictions on the approved indication, require post-marketing commitments, or otherwise limit the commercial opportunity for the product candidate.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announcement of an advisory committee meeting, the committee's deliberations, the publication of briefing materials, or the committee's recommendation may create significant uncertainty regarding the regulatory prospects of our product candidates and could result in substantial volatility in the market price of our common stock. An unfavorable outcome could materially harm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product candidate manufacturing or formulation may result in additional costs or delay.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product candidates are developed through preclinical studies to later stage clinical trials towards approval and commercialization, it is common that various aspects of the development program, such as manufacturing methods, facilities, equipment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or notification to, or approval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approval by the FDA or comparable foreign regulatory authorities is limited to those specific indications and conditions for which approval has been granted, and we may be subject to substantial fines, penalties, injunctions, or other enforcement actions, including criminal actions, if we are determined to be promoting the use of our products for unapproved or “off label” uses, resulting in damage to our reputation and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 label uses, and our business, financial condition, results of operations, stock price and prospects may be materially harmed. We also must sufficiently substantiate any claims that we make for our products, including claims comparing our products to other companies’ products, and must abide by the FDA’s and comparable foreign regulatory authorities’ strict requirements regarding the content of promotion and advertising.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relevant regulatory authorities. These off 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 label use.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 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 label promotion. The FDA has also requested that companies enter into consent decrees or permanent injunctions under which specified promotional conduct is changed or curtailed.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engaging in the impermissible promotion of our products, following approval, for off label uses can also subject us to false claims and other litigation under federal and state statutes. These include fraud and abuse and consumer protection laws, which can lead to civil and criminal penalties and fines and agreements with governmental authorities that materially restrict the manner in which we promote or distribute therapeutic products and conduct our business. These restrictions could include corporate integrity agreements and non- or deferred prosecution agreements and could lead to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In addition, False Claims Act lawsuits may expose manufacturers to follow-on claims by private payers based on fraudulent marketing practices. This growth in litigation has increased the risk that a biopharmaceutical company will have to defend a false claims action, pay civil penalties, criminal fines or restitution,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the promotion of biopharmaceutical products is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Even if our product candidates receive regulatory approval, we will be subject to ongoing obligations and continued regulatory review, which may result in significant additional expense and limit how we manufacture and market our products.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Any product candidate for which we obtain marketing approval will be subject to extensive and ongoing requirements of and review by the FDA and comparable foreign regulatory authorities, including requirements related to the manufacturing processes, post approval clinical data, labeling, packaging, distribution, adverse event reporting, supply obligations and shortage reporting, risk management plans, supply chain security, storage, recordkeeping, export, import, advertising, marketing, and promotional activities for such product. These requirements further include submissions of safety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post-marketing information, including manufacturing deviations and reports, registration and listing requirements, the payment of annual fees, continued compliance with current Good Manufacturing Practice, or cGMP, requirements relating to manufacturing, quality control, quality assurance, and corresponding maintenance of records and documents, and good clinical practices, or GCPs, for any clinical trials that we conduct post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 approval studies or post-market surveillance. Any such restrictions could limit sales of the product.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and any of our suppliers or collaborators, including our contract manufacturers, could be subject to periodic unannounced inspections by the FDA or other comparable foreign regulatory authorities to monitor and ensure compliance with cGMPs and other regulatory requirements. Application holders must further notify the FDA, and depending on the nature of the change, obtain FDA preapproval for product and manufacturing changes.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negative results,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on manufacturing, distribution, or marketing of such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on the labeling, including required additional warnings, such as black boxed warnings, contraindications, precautions, and restrictions on the approved indication or use;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modifications to promotional pieces;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issuance of corrective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requirements to conduct post-marketing studies or other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holds or termination of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requirements to establish or modify a REMS or similar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the way the product candidate is administered;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liability for harm caused to patients or subjects;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becoming less competitive;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warning, untitled, or cyber letters;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suspension of marketing or withdrawal of the products from the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authority conducting a review into safety information, or issuance of safety alerts, Dear Healthcare Provider letters, press releases, or other communications containing warnings or other safety information about the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refusal to approve pending applications or supplements to approved applications that we submit;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recalls of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fines, restitution or disgorgement of profits or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suspension or withdrawal of marketing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refusal to permit the import or export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seizure or detention;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FDA debarment, suspension and debarment from government procurement and non-procurement programs, and refusal of orders under existing government contracts, exclusion from federal healthcare programs, consent decrees, corporate integrity agreements, or non- or deferred prosecution agreements;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injunctions, the imposition of civil penalties, criminal fines, or imprisonment.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Further, action in one country may lead to similar or different action in another. Changes in medical practice and standard of care may also impact the marketability of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Should any of the above actions take place, we could be prevented from or significantly delayed in achieving profitability. Further, the cost of compliance with post approval regulations may have a negative effect on our operations and business and could adversely impact our business, financial condition, results of operations, stock price and prospects.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0"/>
          <w:shd w:fill="FFFFFF" w:val="clear"/>
        </w:rPr>
        <w:t>We conduct clinical trials for product candidates outside the United States, an</w:t>
      </w:r>
      <w:r>
        <w:rPr>
          <w:rFonts w:ascii="Times New Roman;serif" w:hAnsi="Times New Roman;serif"/>
          <w:b/>
          <w:i/>
          <w:color w:val="000000"/>
          <w:sz w:val="20"/>
        </w:rPr>
        <w:t>d the FDA and comparable foreign regulatory authorities may not accept data from such trials.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conduct clinical trials outside the United States. The acceptance by the FDA or comparable foreign regulatory authority of study data from clinical trials conducted outside the United States or another 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Even if the foregoing is complied with, there can be no assurance that the FDA or any comparable foreign regulatory authority will accept data from trials conducted outside of the United States or the applicable jurisdiction. By example, over the last year, new policies have been proposed to encourage companies to conduct clinical trials in the United States. If the FDA or any comparable foreign regulatory authority does not accept 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though the FDA granted marketing approval of TUDRIQEV, or if it grants approval for any of our other product candidates, comparable foreign regulatory authorities must also approve the manufacturing, marketing and promotion of the product candidate in those countries. Approval procedures vary among jurisdictions and can involve requirements and administrative review periods different from and, in some cases,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If we obtain approval for any product candidate and ultimately commercialize that product in foreign markets, we would be subject to additional risks and uncertainties, including the burden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complying with complex and changing foreign regulatory, tax, accounting and legal requirements and the reduced protection of intellectual property rights in some foreign countries.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oncolytic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our product candidates are intended to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authority approval for their products more rapidly than we may obtain approval for ours, which could result in our competitors establishing a strong market position before we are able to enter the market. Further, depending on the specific competing product, earlier approval of a competitor’s products could block us from receiving approval and could require that we change our development strategy. In addition, our ability to compete may be affected in many cases by insurers or other third-party payors coverage decisions or third-party intellectual property rights that another may allege are violated by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training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establish effective marketing, sales and distribution capabilities or enter into agreements with third parties to market and sell TUDRIQEV or any of our product candidates, if they are approved, the revenues that we generate may be limited and we may never become profitable.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intend to commercialize TUDRIQEV and our product candidates, if and when they receive marketing approval, on our own in the United States and potentially with pharmaceutical or biotechnology partners in other geographies. In order to commercialize our products, we must continue to build our marketing, sales, and distribution capabilities or make arrangements with third parties to perform these services, and we may not be successful in doing so. We have incurred and we expect we will continue to incur expenses prior to product launch or even approval in order to recruit a sales force and develop a marketing and sales infrastructure. If a commercial launch is delayed as a result of FDA or comparable foreign regulatory authority requirements or other reasons, we would incur these expenses prior to being able to realize any revenue from sales of our product candidates. Our sales force and marketing teams may not be successful in commercializing our product candidates. This may be costly, and our investment would be lost if we cannot retain or reposition our sales and marketing personnel.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 prior experience in the marketing, sale, and distribution of biopharmaceutical products, and there are significant risks involved in building, managing, growing and operating a commercial infrastructure. The establishment and development of commercial capabilities, including compliance plans, to market any products we may develop is, and will continue to be expensive and time consuming and could delay any product launch, and we may not be able to successfully develop this capability. We have and will continue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we are unable to develop an effective marketing and sales infrastructure, we may not be able to commercialize our product candidates in the United States or elsewhere in an effective manner, which could limit our ability to generate product revenues and materially harm our business, financial condition, results of operations, stock price and prospects. Factors that may inhibit our efforts to commercialize our product candidates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recruit, train, manage, and retain adequate numbers of effective sales and marketing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sales personnel to obtain access to physicians or persuade adequate numbers of physicians to prescribe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effectively oversee a geographically dispersed sales and marketing team;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associated with training sales and marketing personnel on legal and regulatory compliance matters and monitoring their 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inability to secure adequate coverage, pricing and reimbursement by government and private health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clinical indications for which the products are approved and the claims that we may make for the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limitations or warnings, including distribution or use restrictions, contained in the products’ approved labeling;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distribution and use restrictions imposed by the FDA or comparable foreign regulatory authorities or to which we agree as part of a mandatory REMS or voluntary risk management plan;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third-party intellectual property rights that another may allege are violated by our product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liability for sales or marketing personnel who fail to comply with the applicable legal and regulatory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unforeseen costs and expenses associated with creating an independent sales and marketing organization or engaging a contract sales organization.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encounter difficulties in managing our growth and expanding our operations successfully.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we expand our internal manufacturing, marketing and sales capabilities, managing our future growth will impose significant added responsibilities on members of our management team and will be time consuming and costly. We must be able to manage our development efforts effectively; manage our clinical trials effectively; hire, train and integrate additional management, development, administrative and sales and marketing personnel; and improve managerial, development, operational and finance systems, all of which may impose a strain on our administrative and operational infrastructure.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TUDRIQEV and our product candidates are based on a novel approach to the treatment of cancer, which makes it difficult to predict the time and cost of product candidate development.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concentrated all of our research and development efforts on our product candidates based on our proprietary RPx platform, and our future success depends on the successful development of this therapeutic approach. There can be no assurance that any development problems we experience in connection with our product candidates, whether arising from our past work, or future work, will not cause significant delays or unanticipated costs, or that such development problems can be solved.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Should we encounter development problems, including unfavorable preclinical or clinical trial results, the FDA and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 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oncolytic immunotherapies. Limited immunotherapies, particularly oncolytic immunotherapies, have received FDA approval to date. Any product candidates that are approved may be subject to extensive post approval regulatory requirements, including requirements pertaining to manufacturing, distribution, and promotion. We may need to devote significant time and resources to compliance with these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TUDRIQEV or our product candidates do not achieve broad market acceptance, the revenues that we generate from their sales may be limited, and we may never become profitable.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commercialized a product candidate for any indication. TUDRIQEV and our other product candidates, even if they are approved by the appropriate regulatory authorities for marketing and sale, may not gain acceptance among physicians, patients, third-party payors, and others in the medical community. If TUDRIQEV or any other product candidate for which we obtain regulatory approval do not gain an adequate level of market acceptance, we could be prevented from or significantly delayed in achieving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efforts to educate the medical community and third party payors on the benefits of TUDRIQEV or our product candidates may require significant resources and may not be successful. If TUDRIQEV or any of our product candidates that is approved but does not achieve an adequate level of market acceptance, we could be prevented from or significantly delayed in achieving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degree of market acceptance of TUDRIQEV or any of our product candidates will depend on a number of factors, some of which are out of our control,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efficacy of TUDRIQEV or our product candidates in combination with marketed checkpoint blockade drugs;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commercial success of the checkpoint blockade drugs with which our products are co-administered;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prevalence and severity of adverse events associated with our product candidates or those products with which they are co-administered;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clinical indications for which the products are approved and the approved claims that we may make for the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limitations or warnings contained in the product’s FDA-approved labeling or those of comparable foreign regulatory authorities, including potential limitations or warnings for our product candidates that may be more restrictive than other competitive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standard of care for the targeted indications for our product candidates, which could reduce the marketing impact of any claims that we could make following FDA approval or approval by comparable foreign regulatory authorities, if obtained;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relative convenience and ease of administration of our product candidates by direct injection into tumors, a less common method for the administration of oncology therapies than systemic administration, which may result in slower adoption of our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relative convenience and ease of administration of any products with which our product candidates are co-administered;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treatment compared with the economic and clinical benefit of alternative treatments or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adequate coverage or reimbursement by third parties, such as insurance companies and other healthcare payors, and by government healthcare programs, including Medicare and Medicaid;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price concessions required by third party payors to obtain coverage;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and strength of our marketing and distribution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safety, efficacy, and other potential advantages over, and availability of, alternative treatments already used or that may later be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distribution and use restrictions imposed by the FDA or comparable foreign regulatory authorities with respect to our product candidates or to which we agree as part of a REMS or voluntary risk management plan;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market introduction of our product candidates, as well as competitive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offer our product candidates for sale at competitive prices;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and strength of our manufacturing operations and our third-party manufacturer and supplier support;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actions of companies that market any products with which our product candidates are co-administered;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approval of other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publicity about our product candidates or any products with which they are co-administered, or favorable publicity about competitive products;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product liability claims.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successful commercialization of our product candidates, if approved, will depend in part on the extent to which government authorities and health insurers establish adequate reimbursement levels and pricing policies.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Sales of any approved drug candidate will depend in part on the availability of coverage, pricing and reimbursement from third-party payers such as government insurance programs, including, but not limited to, Medicare and Medicaid, private health insurers, health maintenance organizations and other health care related organizations, who are increasingly challenging the price of medical products and services. Accordingly, coverage, pricing and reimbursement may be uncertain. Adoption of any drug by the medical community may be limited if third-party payers will not offer adequate formulary coverage. Additionally, significant uncertainty exists as to the reimbursement status of newly-approved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Inflation Reduction Act of 2022, or IRA, includes several measures intended to lower the cost of prescription drugs and related healthcare reforms, including limits on price increases, inflation and non-compliance penalties, and subjecting an escalating number of drugs to annual maximum fair price negotiations with CMS. We cannot be sure whether additional legislation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 Similarly, several states have established prescription drug affordability boards that set upper payment limits (maximum prices that can be charged for specific drugs) for select high-cost drugs. We cannot be sure whether additional state legislation related to price caps will be enacted, or what impact, if any, such changes will have on the profitability of any of our drug candidates, if approved for commercial use, in the future.</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future reimbursement for approved product candidates, if any, is substantially less than we project, or rebate and/or discount, or fees and obligations associated with them are substantially greater than we expect, our future net revenue and profitability could be materially diminished.</w:t>
      </w:r>
    </w:p>
    <w:p>
      <w:pPr>
        <w:pStyle w:val="TextBody"/>
        <w:bidi w:val="0"/>
        <w:spacing w:lineRule="auto" w:line="288" w:before="0" w:after="0"/>
        <w:jc w:val="left"/>
        <w:rPr/>
      </w:pPr>
      <w:r>
        <w:rPr>
          <w:rFonts w:ascii="Times New Roman;serif" w:hAnsi="Times New Roman;serif"/>
          <w:b/>
          <w:i/>
          <w:color w:val="000000"/>
          <w:sz w:val="20"/>
        </w:rPr>
        <w:t>The size of the potential market for TUDRIQEV</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i/>
          <w:color w:val="000000"/>
          <w:sz w:val="20"/>
        </w:rPr>
        <w:t>our product candidates is difficult to estimate and, if any of our assumptions are inaccurate, the actual markets TUDRIQEV and for our product candidates may be smaller than our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potential market opportunities for TUDRIQEV or our product candidates are difficult to estimate and will depend in large part on the drugs with which TUDRIQEV or our product candidates are co-administered and the success of competing therapies and therapeutic approaches. In particular, the market opportunity for oncolytic immunotherapies is hard to estimate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given that it is an emerging field with only one existing FDA-approved oncolytic immunotherapy, T-Vec (also referred to as Imlygic</w:t>
      </w:r>
      <w:r>
        <w:rPr>
          <w:rFonts w:ascii="Times New Roman;serif" w:hAnsi="Times New Roman;serif"/>
          <w:b w:val="false"/>
          <w:color w:val="000000"/>
          <w:sz w:val="13"/>
        </w:rPr>
        <w:t>(R)</w:t>
      </w:r>
      <w:r>
        <w:rPr>
          <w:color w:val="000000"/>
        </w:rPr>
        <w:t xml:space="preserve"> </w:t>
      </w:r>
      <w:r>
        <w:rPr>
          <w:rFonts w:ascii="Times New Roman;serif" w:hAnsi="Times New Roman;serif"/>
          <w:b w:val="false"/>
          <w:color w:val="000000"/>
          <w:sz w:val="20"/>
        </w:rPr>
        <w:t>(Amgen, Inc.)), which has yet to enjoy broad market acceptance. Our estimates of the potential market opportunities are predicated on many assumptions, which may include industry knowledge and publications, third-party research reports, and surveys of clinics.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Negative developments in the field of immuno-oncology could damage public perception of our product candidates and negatively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commercial success of TUDRIQEV or our product candidates will depend in part on public acceptance of the use of cancer immunotherapies. Adverse events in clinical trials of our product candidates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our product candidates.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subjects may be discouraged from enrolling in our clinical trials. As a result, we may not be able to continue or may be delayed in conducting our development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our product candidates consist of a modified virus, adverse developments in antiviral vaccines or clinical trials of other oncolytic immunotherapy products based on viruses may result in a disproportionately negative effect for our product candidates as compared to other products in the field of immuno-oncology that are not based on viruses. Future negative developments in the field of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incurred net losses since our inception and anticipate that we will continue to incur substantial and increasing net losses in the foreseeable future. We may never achieve or sustain profitability.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recently received approval from the FDA for TUDRIQEV, we have previously had no products approved for commercial sale and have not generated any revenue from product sales to date, and we continue to incur significant research and development and other expenses related to our ongoing operations. Investment in biopharmaceutical product development is highly speculative because it entails substantial upfront capital expenditures and significant risk that any potential product candidate will fail to demonstrate adequate efficacy or an acceptable safety profile, gain marketing approval and become commercially viable. We have financed our operations to date primarily through the sale of equity securities, including the sale of our common stock and pre-funded warrants in public and private offerings. Since our inception, most of our resources have been dedicated to the preclinical and clinical development of our proprietary RPx platform, including TUDRIQEV and our product candidates. We expect to spend substantial funds to continue the research, development and testing of our products that are in the preclinical and clinical testing stages of development and to prepare to commercialize products in anticipation of FDA approval. The size of our future net losses will depend, in part, on our future expenses and our ability to generate revenue, if 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are not profitable and have incurred losses in each period since our inception. For the three months ended June 30, 2026 and 2025, we reported a net loss of $69.8 million and $86.7 million, respectively. At June 30, 2026, we had an accumulated deficit of $1,332.3 million.</w:t>
      </w:r>
      <w:r>
        <w:rPr>
          <w:color w:val="000000"/>
        </w:rPr>
        <w:t xml:space="preserve"> </w:t>
      </w:r>
      <w:r>
        <w:rPr>
          <w:rFonts w:ascii="Times New Roman;serif" w:hAnsi="Times New Roman;serif"/>
          <w:b w:val="false"/>
          <w:color w:val="000000"/>
          <w:sz w:val="20"/>
        </w:rPr>
        <w:t>We expect to continue to incur significant losses for the foreseeable future, and we expect these losses to increase as we seek to commercialize TUDRIQEV, continue one or more confirmatory trials of TUDRIQEV, including our ongoing IGNYTE-3 clinical trial, and continue our research and development of, and seek marketing approval for our product candidates and any additional product candidates we may develop</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expect the net proceeds from our August 2026 offering to provide us with additional liquidity and cash runway to fund our operating expenses, working capital needs, and other corporate uses, we will be required to seek additional financing, and there can be no assurance that such financing will be available on acceptable terms, if at all. If we are unable to obtain additional capital, substantial doubt about our ability to continue as a going concern could arise again, and may adversely affect our business, results of operations and stock price. In addition, we may encounter unforeseen expenses, difficulties, complications, delays and other unknown factors that may adversely affect our business. The size of our future net losses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depend, in part, on the rate of future growth of our expenses and our ability to generate revenue, including from sales of TUDRIQEV.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generate revenue from product sales and become profitable will depend significantly on our success in achieving a number of goals.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recently received approval from the FDA for TUDRIQEV, we have previously had no products approved for commercial sale, and have not generated any revenue from product sales to date. Our ability to generate revenue and achieve profitability depends significantly on our success in achieving a number of goals,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successfully launching commercial sales of TUDRIQEV while maintaining full compliance with applicable federal and state laws, rules and regulations;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completing research regarding, and preclinical and clinical development of our other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maintaining marketing approvals for TUDRIQEV and obtaining marketing approvals for our other product candidates for which we complete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continuing to generate favorable study results for TUDRIQEV and or other product candidates, including with respect to our confirmatory clinical trials for TUDRIQEV;</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maintaining a sustainable and scalable manufacturing process for TUDRIQEV and our other product candidates, including establishing and maintaining commercially viable supply and manufacturing relationships with third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market acceptance of TUDRIQEV and our other product candidates as viable treatment options;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adequate coverage and reimbursement for TUDRIEQEV and or other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addressing any competing technological and market developments;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identifying, assessing, acquiring and developing new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negotiating favorable terms in any collaboration, licensing, or other arrangements into which we may enter;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maintaining, protecting, and expanding our portfolio of intellectual property rights, including patents, trade secrets, and know-how;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attracting, training, hiring, and retaining qualified personnel.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anticipate incurring significant costs associated with commercializing TUDRIQEV and any other product candidate that may be approved for commercial sale.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revenue will be dependent, in part, upon the size of the markets in the territories for which we gain and retain marketing approval, the accepted price for the product, the ability to get adequate coverage and reimbursement, and whether we own the commercial rights for that territory. If the number of our addressable patients is not as significant as we estimate, the indication approved by regulatory authorities is narrower than we expect, the labels for our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TUDRIQEV or any other approved products, we could be prevented from or significantly delayed in achieving profitability.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will require additional financing to achieve our goals, and a failure to obtain this necessary capital when needed on acceptable terms, or at all, could force us to delay, limit, reduce or terminate our product development or commercialization efforts.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have consumed substantial amounts of cash since inception. At June 30, 2026, our cash and cash equivalents and short-term investments were $195.3 million. We expect to continue to spend substantial amounts to continue the clinical and pre clinical development of our RPx product candidates. Accordingly, we will need to obtain additional funds to achieve our business objectives. In addition, other unanticipated costs may arise.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depend on many factors,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commercialization activities for TUDRIQEV or any other approved product, including marketing, sales and distribution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one or more confirmatory trials of TUDRIQEV;</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progress, results and costs of researching and developing our other product candidates, and conducting preclinical studies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and the costs involved in, obtaining marketing approvals for our other product candidates if clinical trials are successful;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any collaborations;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and timing of operating our manufacturing facility;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manufacturing TUDRIQEVour other product candidates for clinical trials in preparation for marketing approval and commercialization;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and maintain strategic licensing or other arrangements and the financial terms of such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involved in preparing, filing, prosecuting, maintaining, expanding, defending and enforcing patent claims, including litigation costs and the outcome of such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receipt, and amount of sales of, or royalties on, our future products, if any;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emergence of competing cancer therapies and other adverse market developments.</w:t>
      </w:r>
    </w:p>
    <w:p>
      <w:pPr>
        <w:pStyle w:val="TextBody"/>
        <w:bidi w:val="0"/>
        <w:spacing w:lineRule="auto" w:line="268" w:before="0" w:after="0"/>
        <w:jc w:val="left"/>
        <w:rPr/>
      </w:pPr>
      <w:r>
        <w:rPr>
          <w:rFonts w:ascii="Times New Roman;serif" w:hAnsi="Times New Roman;serif"/>
          <w:b w:val="false"/>
          <w:color w:val="000000"/>
          <w:sz w:val="20"/>
        </w:rPr>
        <w:t>Other than the Hercules Loan Agreement (as defined below), we do not have any committed external source of funds or other support for our development efforts. Our ability to draw additional amounts under the Hercules Loan Agreement (as defined below) is subject to the satisfaction of specified milestones and other conditions, and those amounts may not become available to us. Until we can generate sufficient product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There can be no assurance that such financing will be available on acceptable terms, if at all. Based on our current operating plan, we expec</w:t>
      </w:r>
      <w:r>
        <w:rPr>
          <w:rFonts w:ascii="Times New Roman;serif" w:hAnsi="Times New Roman;serif"/>
          <w:b w:val="false"/>
          <w:color w:val="000000"/>
          <w:sz w:val="24"/>
        </w:rPr>
        <w:t xml:space="preserve">t </w:t>
      </w:r>
      <w:r>
        <w:rPr>
          <w:rFonts w:ascii="Times New Roman;serif" w:hAnsi="Times New Roman;serif"/>
          <w:b w:val="false"/>
          <w:color w:val="000000"/>
          <w:sz w:val="20"/>
        </w:rPr>
        <w:t>that our existing cash and cash equivalents and short-term investments, as of June 30, 2026, in addition to the 141.0 million of net proceeds from the issuance of our common stock in August 2026, will enable us to fund operations for greater than twelve months from the issuance of these condensed consolidated financial statements, which includes scale up for the commercialization of TUDRIQEV in advanced melanoma and for working capital and general corporate purposes. We have based this estimate on assumptions that may prove to be wrong, and we could exhaust our available capital resources sooner than we expect. In addition, because the design and outcome of our planned and anticipated clinical trials is highly uncertain, we cannot reasonably estimate the actual amounts necessary to successfully complete the development and commercialization of our product candidates.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 insured limits.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cash, cash equivalents and short-term investments are held in accounts with banking institutions. The balances of some of these accounts have in the past, and may in the future, exceed the Federal Deposit Insurance Corporation, or the FDIC, insurance limits. If such banking institutions were to fail, we could lose all or a portion of those amounts held in excess of such insurance limitations. In March 2023, the FDIC took control of Silicon Valley Bank, or SVB, where we previously held a portion of our cash. The Federal Reserve subsequently announced that account holders would be made whole and we were able to access all of our cash held at SVB.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short-term investments and cash equivalents could have an adverse effect on our ability to pay our operational expenses, fund our operations or make other payments, which could adversely affect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obtain, maintain and protect our intellectual property rights for our technology and product candidates, or if our intellectual property rights are inadequate, our competitive position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commercial success will depend in part on our ability to obtain and maintain patent and other intellectual property protection in the United States and other countries with respect to our technology and proprietary RPx platform, including TUDRIQEV and our other product candidates. We rely on trade secret, patent, copyright and trademark laws, and confidentiality, licensing and other agreements with employees and third parties, all of which offer only limited protection.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patent positions of biotechnology and pharmaceutical companies generally are highly uncertain, involve complex legal and factual questions and have in recent years been the subject of much litigation and subject to change with regulatory agencies and court decisions. As a result, the issuance, scope, validity, enforceability and commercial value of our licensed patents and any patents we own in the future are highly uncertain. The steps we have taken to protect our proprietary rights may not be adequate to preclude misappropriation of our proprietary information, use by third parties of our products or infringement of our intellectual property rights, both inside and outside of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pending applications cannot be enforced against third parties practicing the inventions claimed in such applications unless and until a patent issues from such applications. Because the issuance of a patent is not conclusive as to its inventorship, scope, validity or enforceability, our issued patents and issued patents that we license from third parties or that we may own in the future may be challenged in the courts or patent offices inside or outside of the United States. Further, the examination process may require us to narrow the claims for our pending patent applications, which may limit the scope of patent protection that may be obtained if these applications issue. The scope of a patent may also be interpreted or reinterpreted after issuance. The rights that may be granted under our future issued patents may not provide us with the proprietary protection or competitive advantages we are seeking. In addition, defending against challenges in respect of the inventorship, scope, validity or enforceability of our patents may be expensive, time consuming, difficult and in some cases may not be possible. Although we enter into nondisclosure and confidentiality agreements with parties who have access to confidential or patentable aspects of our research and development output, such as our employees, consultants, collaborators, and other third parties, any of these parties may breach the agreements and disclose such output before a patent application is filed, thereby jeopardizing our ability to seek patent protection. In addition, the patent prosecution process is expensive, time consuming and complex, and we may not be able to file, prosecute, maintain, enforce or license all necessary or desirable patent applications at a reasonable cost or in a timely manner. If we are unable to obtain and maintain patent protection for our technology or inventions, or for TUDRIQEV or our product candidates, or if the scope of the patent protection obtained is not sufficient, our competitors could develop and commercialize products similar or superior to ours, and our ability to successfully commercialize TUDRIQEV or our product candidates and future technologies or inventions may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Patent terms may be inadequate to protect our competitive position on our products for an adequate amount of time, and our product candidates for which we intend to seek approval as biological products may face competition sooner than anticipated. Given the amount of time required for the development, testing and regulatory review of our product and product candidates, patents protecting such product candidates might expire before or shortly after such product candidates are commercialized.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Filing, prosecuting and defending patents on our technology or inventions in all countries throughout the world would be prohibitively expensive, and our intellectual property rights in some countries or regions outside the United States can be less protective of our products than those in the United States. In addition, the laws and practices of some foreign countries do not protect intellectual property rights to the same extent as federal and state laws in the United States. Changes to the patent law in the United States and other jurisdictions could diminish the value of patents in general, thereby impairing our ability to protect TUDRIQEV and our product candidates.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or inventions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or misappropriation may be even more difficult. If we are unable to obtain, maintain,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protect our intellectual property our competitive advantage could be harmed, and it could result in a material adverse effect on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 protection, we also rely on other proprietary rights, including protection of trade secrets, know-how and confidential and proprietary information. Although we enter into confidentiality agreements with our employees, consultants, collaborators, suppliers, manufacturers and other third parties who have access to our trade secrets, and our agreements with employees also provide that any inventions conceived by the individual in the course of rendering services to us shall be our exclusive property, we may not obtain these agreements in all circumstances, and individuals with whom we have these agreements may not comply with their terms or may have conflicting agreements with third parties. In addition,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If any of our trade secrets, know-how or confidential or proprietary information were to be lawfully obtained, patented or independently developed by a competitor or other third party, we would have no right to prevent them from using that technology or information to compete with us and may be blocked from using such trade secrets, know-how or confidential or proprietary information ourselves.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Third parties may in the future initiate legal proceedings alleging that we are infringing their intellectual property rights, and we may become involved in lawsuits or other administrative procedures to protect or enforce our intellectual property, which could be expensive, time consuming and unsuccessful and have a material adverse effect on the success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on our ability and the ability of our current or future collaborators to develop, manufacture, market and sell TUDRIQEV and our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For example, we are aware of U.S. Patent 10,034,938, or the '938 Patent, held by Amgen Inc., which includes claims purported to cover methods and kits for treating stage IIIb to IV melanoma by the administration of (i) an effective amount of an anti-PD-1 antibody or anti-CTLA-4 antibody; and (ii) a herpes simplex virus, wherein the herpes simplex virus lacks a functional ICP34.5 encoding gene and a functional ICP47 encoding gene, and comprises a gene encoding human GM-CSF. In November 2022, we filed a petition for inter partes review with the Patent Trial and Appeal Board, or the PTAB, of the United States Patent and Trademark Office, or the USPTO, seeking to invalidate certain claims of the ‘938 Patent. In August 2023 we entered into a Settlement Agreement with Amgen and mutually agreed to terminate our challenges to their patents. In connection with the Settlement Agreement, we entered into a License and Covenant Agreement with Amgen in which we agreed to pay Amgen low single-digit royalty payments on net sales of our products that, but for the license, could be found to infringe a valid Amgen patent on a country-by-country and product-by-product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parties may assert infringement or other intellectual property claims against us based on existing patents or patents that may be filed and/or granted in the future. At times we may attempt to initiate litigation or other administrative procedures to invalidate or otherwise limit the scope of a third party’s intellectual property and these attempts may not be successful. If we are found to infringe a third party’s intellectual property rights, and we are unsuccessful in demonstrating that such intellectual property rights are invalid, unenforceable or otherwise not infringed, we could be required to obtain a license from such third-party to continue developing, manufacturing and commercializing TUDRIQEV and our product candidates. Such a license may not be available on commercially reasonable terms, or at all. Even if we were able to obtain a license, it could be nonexclusive, thereby giving our competitors and other third parties access to the same technologies and inventions licensed to us, and it could require us to make substantial licensing and royalty payments. We also could be forced, including by court order, to cease developing, manufacturing, and commercializing TUDRIQEV or our product candidates or we could be found liable for significant monetary damages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know-how, confidential or proprietary information or trade secrets could have a similar material adverse effect on our business, financial condition, results of operations, stock price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or one of our licensing partners initiate legal proceedings against a third party to enforce a patent covering any of our technology or inventions, the defendant could counterclaim that the patent covering our product candidate is invalid or unenforceable. If a third party were to prevail on a legal assertion of invalidity and/or unenforceability, we would lose at least part, and perhaps all, of the patent protection on TUDRIQEV and our product candidates. Such a loss of patent protection could have a material adverse impact on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employees, including our senior management team, were previously employed at, or consulted for, universities or other biotechnology or pharmaceutical companies, including our competitors or potential competitors. Although we take steps to ensure that our employees do not use, claim as theirs, or misappropriate the intellectual property, confidential or proprietary information, know-how or trade secrets of others in their work for us, we may be subject to claims that we or these employees have used, claimed as theirs, misappropriated or disclosed intellectual property, including trade secrets, know-how or other confidential or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third-party to commercialize our technology or products. Such a license may not be available on commercially reasonable terms,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are developing certain of our product candidates in combination with products, which are or may be covered by patents or licenses held by third parties, to which we do not have a license other than for use in connection with the applicable clinical trial. We also may develop our product candidates in combination with products developed by additional companies that are covered by patents or licenses held by those entities to which we do not have a license. In the event that a labeling instruction is required in product packaging recommending that combination, we could be accused of, or held liable for, infringement of the third-party patents covering the product candidate or product recommended for administration with TUDRIQEV or our product candidates. In such a case, we could be required to obtain a license from the other company or institution to use the required or desired package labeling, which license may not be available on commercially reasonable terms,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Competitors may infringe any future licensed patents or any patent we own in the future or misappropriate or otherwise violate our intellectual property rights. We may also be required to defend against claims of infringement and our licensed patents and any patents we own in the future may become involved in priority or other intellectual property related disputes.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An adverse result in any litigation or other intellectual property related proceeding could put one or more of our patents at risk of being invalidated, held unenforceable or interpreted narrowly. Furthermore, because of the substantial amount of discovery required in connection with intellectual property litigation in the United States, there is a risk that some of our trade secrets, know-how, or proprietary or confidential information could be 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Any of the foregoing may have a material adverse effect on our business, financial condition, results of operations, stock price and prospects.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manufacturing and our reliance on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agreements with third party collaborators, and in the future may have agreements with other companies, to obtain the supply of co-delivery therapies for the development of our product candidates. If our relationships with these third party collaborators, or any future collaborator or supplier are not successful, we may be delayed or unable to complete the development of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arrangements with BMS as part of our clinical development programs where nivolumab is intended to be used for these clinical programs and with Roche where atezolizumab and bevacizumab are intended to be used for certain of our other clinical programs. BMS is providing nivolumab, its anti-PD-1 therapy, for use in our IGNYTE Phase 1/2 trials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TUDRIQEV and our Phase 1/2 clinical trial with RP2 where we intend to use nivolumab and may potentially do so for other clinical trials in the future; Roche has agreed to provide atezolizumab and bevacizumab</w:t>
      </w:r>
      <w:r>
        <w:rPr>
          <w:color w:val="000000"/>
        </w:rPr>
        <w:t xml:space="preserve"> </w:t>
      </w:r>
      <w:r>
        <w:rPr>
          <w:rFonts w:ascii="Times New Roman;serif" w:hAnsi="Times New Roman;serif"/>
          <w:b w:val="false"/>
          <w:color w:val="000000"/>
          <w:sz w:val="20"/>
        </w:rPr>
        <w:t xml:space="preserve">for use in our RP2 study of hepatocellular cancer, or HCC.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enter into agreements with additional companies for the supply of anti-PD-1 therapies or other co-delivery agents for use in the development of our other product candidates, similar to our agreement with BMS and Roche. The outcome of these clinical trials is dependent, in part, both on the performance of our partners’ products and product candidates and also on our partners’ ability to deliver sufficient quantities of adequately produced product. Should any of our partners’ products or product candidates fail to produce the results that we anticipate, we may have to re-run clinical trials for our product candidates or may otherwise be delayed in the commercialization of our product candidates. Similarly, should any partner fail to provide us with a product or product candidate that suits our requirements, we may have to re-run clinical trials for our product candidates or may be otherwise delayed in the commercialization of our product candidates. Additionally, we are subject to specific risks associated with our collaboration partners, including possible discrepancies as to the timing, nature and the extent of development plans, contract interpretations, and the costs and allocation of costs related to the conduct of our clinical trials. If we and any collaboration partner are unable to agree or fail to perform our respective obligations or effectively manage our relationship, our clinical trials performed under such collaboration could incur additional costs, be delayed or could result in costly or time-consuming legal proceedings that could have an adverse effect on a collaboration or on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collaboration agreements with any future partners may not be successful, which could adversely affect our ability to develop and commercialize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in the future seek collaboration arrangements with other parties for the development or commercialization of our product candidates.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Collaborations with biopharmaceutical companies and other third parties often are terminated or allowed to expire by the other party. Any such termination or expiration could adversely affect us financially and could harm our business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future collaborations we might enter into may pose a number of risks,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could fail to make timely regulatory submissions for a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may not comply with all applicable regulatory requirements or may fail to report safety data in accordance with all applicable regulatory requirements, which could subject them or us to regulatory enforcement 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of our product candidates that achieve regulatory approval may not commit sufficient resources to the marketing and distribution of such product candidate or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collaborators may infringe the intellectual property rights of third parties, which may expose us to litigation and potential liability.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any collaborations we might enter into in the future do not result in the successful development and commercialization of products or if one of our collaborators subsequently terminates its agreement with us, we may not receive any future clinical trial materials supply, research funding or milestone or royalty payments under such potential future collaboration. If we do not receive the funding we expect under the agreements, our development of our product candidates could be delayed and we may need additional resources to develop our product candidates and our product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if any future collaborator of ours is involved in a business combination, the collaborator might de-emphasize or terminate development or commercialization of any product candidate it licenses to us. If one of our collaborators terminates its agreement with us, we may find it more difficult to attract new collaborators and our reputation in the business and financial communities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Our ability to reach a definitive agreement for any collaboration will depend upon, among other things, our assessment of the collaborator’s resources and expertise, the terms and conditions of the proposed collaboration and the proposed collaborator’s evaluation of a number of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third-party CROs, study sites, and others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could impact the chance of any such data being accepted by regulatory authorities,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 remain responsible for ensuring that each of our trials is conducted in accordance with the general investigational plan and protocols for the trial. We must also ensure that our preclinical trials are conducted in accordance with GLP regulations,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(remotely or in person) of trial sponsors, clinical investigators, and trial sites. If we or any of our third parties fail to comply with applicable GCPs, the applicable study protocols and plans, or other regulatory requirements, we or they may be subject to enforcement or other legal actions, the data generated in our trials may be deemed unreliable and the FDA or comparable foreign regulatory authorities may not accept such data or may require us to perform additional studies.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must be conducted with product candidates that were produced under cGMP regulations. Failure to comply with these regulations or use of product that does not meet the applicable quality requirements in clinical trials may compromise the resulting trial data and may require us to repeat clinical trials, which would delay the regulatory approval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providers or to do so on commercially reasonable terms. Switching or adding additional third parties involves additional cost and may result in delays that could compromise our ability to meet our desired development timelines.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rely on other third parties to store and distribute our products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the manufacturers upon which we rely fail to produce our raw materials, process consumables or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rely on third-party contract manufacturers to manufacture our raw materials and certain clinical trial product supplies. As a result, there can be no assurance that our clinical development or commercial supplies will not be limited, interrupted, or of satisfactory quality or continue to be available at acceptable prices.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have only one in-house manufacturing site for use in our clinical trials. In addition, we do not have any long-term commitments from our suppliers of raw materials or clinical trial material or guaranteed prices for our product candidates or their components. There are a limited number of manufacturers that operate under cGMP regulations and that are both capable of manufacturing and filling our viral product for us and willing to do so. If our existing third-party manufacturers of raw materials or our product candidates,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Any replacement of our contract manufacturer could require significant effort and expertise because there may be a limited number of qualified replacements. Any delays in obtaining adequate supplies of our raw materials or product candidates that meet the necessary quality standards may delay our development or commercialization.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our manufacturers of raw materials, equipment or process consumables do not perform as agreed or encounter difficulties in production costs and yields, quality control, shortages of qualified personnel or key raw materials, compliance with strictly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enforced federal, state, and foreign regulations, or other difficulties, our ability to provide product candidates to patients in our clinical trials could be jeopardized.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if our Framingham manufacturing site cannot successfully manufacture material that conforms to our specifications and the strict regulatory requirements of the FDA or other regulatory authorities, we will not be able to secure or maintain regulatory approval for our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raw materials, products or product candidates that comply with the applicable regulatory requirements may result in delays to clinical trials, product approvals, and commercialization.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ultimately responsible for the manufacturing of our product candidates and therapeutic substances, but, other than through our contractual arrangements, we have limited control over our raw materials or process consumables manufacturers’ compliance with these regulations and standards.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In order to use our in-house Framingham manufacturing site or any third party manufacturing site for the production of product for commercialization, the sites must pass an FDA pre-approval inspection.</w:t>
      </w:r>
      <w:r>
        <w:rPr>
          <w:color w:val="000000"/>
        </w:rPr>
        <w:t xml:space="preserve"> </w:t>
      </w:r>
      <w:r>
        <w:rPr>
          <w:rFonts w:ascii="Times New Roman;serif" w:hAnsi="Times New Roman;serif"/>
          <w:b w:val="false"/>
          <w:color w:val="000000"/>
          <w:sz w:val="20"/>
        </w:rPr>
        <w:t>FDA will not approve a BLA until such inspection demonstrates that product can be adequately and reliably produced.</w:t>
      </w:r>
      <w:r>
        <w:rPr>
          <w:color w:val="000000"/>
        </w:rPr>
        <w:t xml:space="preserve"> </w:t>
      </w:r>
      <w:r>
        <w:rPr>
          <w:rFonts w:ascii="Times New Roman;serif" w:hAnsi="Times New Roman;serif"/>
          <w:b w:val="false"/>
          <w:color w:val="000000"/>
          <w:sz w:val="20"/>
        </w:rPr>
        <w:t>If the FDA or a comparable foreign regulatory authority does not approve these facilities for manufacturing or supply, or if it withdraws any such approval in the future, we may need to find alternative manufacturing facilities, which would significantly impact our ability to develop, obtain regulatory approval for or market our product candidates, if approved. We must also receive FDA approval for the use of any new manufacturers for clinical or commercial supply, including our own manufacturing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failure to comply with the applicable regulatory requirements, including periodic inspections, may result in regulatory enforcement actions against our manufacturing or us (including criminal fines and civil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non- or deferred prosecution agreements, consent decrees, withdrawal of product approval, environmental or safety incidents and other liabilities. If the safety of any quantities supplied is compromised due to our manufacturing failures to adhere to applicable laws or for other reasons, we may not be able to obtain regulatory approval for or successfully commercialize our product candidates. Any foreign manufacturing facilities may also be subject to increased FDA scrutiny as there has been an increasing movement to encourage domestic manufacturing of biopharmaceutical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and maintaining our own manufacturing facility may result in unanticipated delays or expenses and we may not experience the anticipated operating efficiencies we intended.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approximately 63,000 square foot manufacturing facility in Framingham, Massachusetts is fully operational. The Framingham facility is intended to give us control over key aspects of the supply chain for our products and product candidates. However, we may not experience the anticipated operating efficiencies as we commence manufacturing operations at our in-house facility. Any such delays may disrupt or delay the supply of our product candidates if we have not maintained a sufficient backup supply of our product candidates through third-party manufacturers. Moreover, changing manufacturing facilities may also require that we conduct additional studies, make notifications to the regulatory authorities, make additional filings to the regulatory authorities, and obtain regulatory authority approval our in-house facility, which may be delayed or which we may never receive. We will further need to comply with the FDA’s and applicable state and foreign regulatory authorities’ cGMP requirements for the production of our product candidates for clinical trials and, if approved, commercial supply, and will be subject to FDA and comparable state and foreign regulatory authority licensing requirements, inspections and assessments. We may not be able to develop or acquire the internal expertise and resources necessary for compliance with these requirements. If we are not able to comply with the applicable regulatory requirements or produce product that meets our requirements and specifications, we will be subject to the same risks that we would be subject to should third party manufacturers be unable to comply with the applicable regulatory requirements or produce product meeting our requirements or specifications, as described above. If we fail to achieve the operating efficiencies that we anticipate, our manufacturing and operating costs may be greater than expected, which could have a material adverse impact on our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operating our own manufacturing facility, we may be forced to devote greater resources and management time than anticipated, particularly in areas relating to operations, quality, raw material supply, regulatory, facilities and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Further, should corrective or preventative actions be required, we will be fully responsible for these. If we experience unanticipated employee turnover in any of these areas, we may not be able to effectively manage our ongoing manufacturing operations and we may not achieve the operating efficiencies that we anticipate from our in-house facility, which may negatively affect our product development timeline, product candidate supplies and, if approved, our commercial product supplies. If we experience any unanticipated shortages of key raw materials, or other difficulties related to our raw material supply, we may not be able to effectively manage our ongoing manufacturing timelines and costs which may negatively affect our product development schedule and our ability to provide clinical trial supplies to patients in our clinical trials, and if approved, commercial product supplies.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problems or delays we experience in preparing for commercial 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such problems could result in the delay, prevention, or impairment of clinical development and commercialization of our product candidates, if approved, and may materially harm our business, financial condition, results of operations, stock price and prospects.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legal and compliance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potential product liability exposure, and if successful claims are brought against us, we may incur substantial liability and have to limit the commercialization of any approved products and/or our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of revenue from decreased demand for our products and/or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of our business reputation or financial stability;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of related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 monetary awards to patients or other claimants;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 attention;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withdrawal of clinical trial participants and potential termination of clinical trial sites or entire clinical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commercialize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negative media attention and reputational impact;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decreases in our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initiation of investigations and enforcement actions by regulators;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recalls, withdrawals or labeling, marketing or promotional restrictions, including withdrawal of marketing approval.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products approved for marketing, or at all. Failure to obtain and retain sufficient product liability insurance at an acceptable cost could prevent or inhibit the commercialization of products we develop.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the U.S. Foreign Corrupt Practices Act, the U.K. Bribery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anticorruption laws, including the U.S. Foreign Corrupt Practices Act, or FCPA, the U.K. Bribery Act 2010, or the Bribery Act, and other anticorruption laws that apply in countries where we do business. We also may participate in collaborations and relationships with third parties whose actions, if noncompliant, could potentially subject us to liability under the FCPA, Bribery Act or local anticorruption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subject to other laws and regulations governing our international operations, including regulations administered by the governments of the United States and the United Kingdom and authorities in the European Union, including applicable import and export control regulations, economic sanctions on countries and persons, anti-money laundering laws, customs requirements and currency exchange regulations, collectively referred to as the trade control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U.S., U.K. or other authorities could also have an adverse impact on our reputation,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many federal and state healthcare laws, such as the federal Anti-Kickback Statute, the federal civil and criminal False Claims Acts, the civil monetary penalties statute, the Medicaid Drug Rebate statute and other price reporting requirements,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will be subject to healthcare fraud and abuse and patient privacy regulation by both the federal government and the states and foreign jurisdictions in which we conduct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noted above,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which may subject us to additional similar risks and impacts.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or our operations are found to be in violation of any federal or state healthcare law, or any other laws or regulations that apply to us, we may be subject to sanctions, including civil, criminal, and administrative penalties, damages, fines, disgorgement, suspension and debarment from government procurement and non-procurement programs,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new legislation, regulatory proposals and healthcare payor initiatives that may increase our costs of compliance, and adversely affect our ability to market our products, obtain collaborators, and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 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which could have a material adverse effect on customers for our products, if approved, and, accordingly,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Compliance with the Drug Supply Chain Security Act, or DSCSA requirements may increase our operational expenses and impose significant administrative burdens. As a result of these and other new proposals, either in the present or future, we may determine to change our current manner of operation, provide additional benefits or change our contract arrangements, any of which could have a material adverse effect on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principal investigators, CMOs, or CROs may engage in misconduct or other improper activities, including noncompliance with regulatory standards and requirements,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Violations of or liabilities under environmental, health and safety laws and regulations could subject us to fines, penalties or other costs that could have a material adverse effect on the success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 party claims.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We are subject to stringent and changing obligations related to privacy, data protection, security, operational resilience, and AI. Our actual or perceived failure to comply with such obligations could lead to government enforcement actions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could include civil or criminal penalties), private litigation (including from business partners and/or affected individuals) and/or adverse publicity and could negatively affect our operating results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numerous federal, state, and local governments have enacted numerous data privacy and security laws and regulations, including personal data privacy laws, health information privacy laws, data breach notification laws, personal data privacy laws, and consumer protection laws. For example, HIPAA, as amended by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California Consumer Privacy Act, or CCPA,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$7,988 per violation) and includes a private right of action for certain data breaches. Although there are some exemptions for clinical trial data and health information, the CCPA may impact our business activities and increase our compliance costs and potential liability.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apply to privacy, data protection, and security, operational resilience, and AI. For example, the European Union General Data Protection Regulation, the United Kingdom General Data Protection Regulation and related data protection, cybersecurity and e-privacy laws in the European Union, European Economic Area, or the EEA, and the United Kingdom, (collectively referred to herein as the “GDPR, and equivalent Swiss laws may apply to some or all of the clinical or other personal data obtained, transmitted, stored or otherwise processed by us (or on our behalf) relating to or originating from those jurisdictions. The GDPR contains potentially strict requirements with respect to lawfully processing personal data in connection with clinical trials and other business activities in the EEA, UK and Switzerland (collectively, “Europe”) (including with respect to obtaining consents, securing personal data, notifying personal data breaches to supervisory authorities and affected data subjects, and transferring personal data outside Europe).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jurisdictions have enacted data localization laws and cross-border personal data transfer laws, which could make it more difficult to transfer information across jurisdictions (such as transferring or receiving personal data that originates in Europe, Switzerland or in other jurisdictions outside of the United States). Existing mechanisms that facilitate cross-border personal data transfers may change or be invalidated. For example, absent appropriate safeguards or other circumstances, the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The SCCs, though approved by the European Commission as a suitable alternative, have faced challenges in European courts, and may be further challenged, suspended or invalidated. Other countries in Europe, such as the UK, similarly restrict personal data transfers outside of those jurisdictions to countries such as the United States that do not provide an adequate level of personal data protection.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limiting our ability to collaborate with parties that are subject to such cross-border data transfer or localization laws; or requiring us to increase our personal data processing capabilities and infrastructure in foreign jurisdictions at significant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GDPR and Swiss law allow supervisory authorities to potentially impose high regulatory fines (among other enforcement tools) in the event of violations, for example, under the GDPR up to 4% of global annual group turnover or EUR 20 million (whichever is the higher amount). Supervisory authorities in the European Union and EEA, and the United Kingdom may potentially levy such fines directly upon on the non-compliant entity and/or on the parent company (so-called “undertaking”) of the non-compliant entity. Supervisory authorities also possess other wide-ranging powers, including conducting unannounced inspections of our facilities and system (so-called “dawn raids”), and issuing “stop processing” orders to us. Separate from regulatory enforcement actions, individuals may bring private actions (including potentially group or representative actions) against us. There is no statutory cap set out in the GDPR on the amount of compensation or the damages which individuals may recover. Claims that we have violated individuals’ privacy and data protection rights, failed to comply with data protection laws, or breached our contractual obligations, even if we are not found liable, could be expensive and time consuming to defend and could result in adverse publicity that could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Overall,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(including the EU AI Act) which may subject us to additional similar risks and impacts.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See Part I, Item 1C, </w:t>
      </w:r>
      <w:r>
        <w:rPr>
          <w:rFonts w:ascii="Times New Roman;serif" w:hAnsi="Times New Roman;serif"/>
          <w:b w:val="false"/>
          <w:i/>
          <w:color w:val="000000"/>
          <w:sz w:val="20"/>
        </w:rPr>
        <w:t>Cybersecurity</w:t>
      </w:r>
      <w:r>
        <w:rPr>
          <w:rFonts w:ascii="Times New Roman;serif" w:hAnsi="Times New Roman;serif"/>
          <w:b w:val="false"/>
          <w:color w:val="000000"/>
          <w:sz w:val="20"/>
        </w:rPr>
        <w:t xml:space="preserve">, in the Company's Annual Report on Form 10-K for the year ended March 31, 2026, which was filed with the U.S. Securities and Exchange Commission, or the SEC, on June 29, 2026, for more information regarding our cybersecurity risk management, strategy, and governance.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will need to expand the size of our organization, and we may experience difficulties in managing this growth, which could disrupt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our clinical development and commercialization plans and strategies develop, we expect to need additional managerial, operational, sales, marketing, financial and other personnel. Our future financial performance and our ability to commercialize any of our product candidates will depend, in part, on our ability to effectively manage any future growth, which would impose significant additional responsibilities on members of management and may divert their attention away from day-to-day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as well as support for our financial reporting and accounting functions. If the services of independent organizations, advisors and consultants become unavailable to us or we are unable to effectively manage our outsourced activities, or if the quality or accuracy of such services is compromised for any reason, our clinical trials may be extended, delayed or terminated, we may not comply with our financial reporting and accounting obligations on a timely basis and we may not be able to obtain marketing approval of any product candidates or otherwise advance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qualified new employees and expanding our groups of consultants and contractors, we may not be able to successfully implement the tasks necessary to further develop and commercialize, if approved, any of our product candidates and, accordingly, may not achieve our research, development and commercialization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our key employees and consultants, and to attract and motivate highly qualified personnel.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motivate, train and retain highly qualified managerial, scientific and medical personnel. We are highly dependent on our executive leadership team, as well as our other scientific, manufacturing, quality and medical personnel. The loss of the services of our key personnel and any of our other executive officers, key employees, and scientific and medical advisors, without our inability to find suitable replacements, could result in delays in product development and harm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management team resulting from the hiring or departure of executives and key employees from time to time could disrupt our business. These changes and any future significant leadership changes or senior management transitions involve inherent risk. Any failure to find a timely and suitable replacement and ensure an effective transition within executive leadership or senior management, including the effective onboarding, assimilation, and retention of our management team and key employees, could hinder our strategic planning, business execution and future performance. In addition, executive leadership transition periods can be disruptive and may result in a loss of personnel with deep institutional or technical knowledge, or result in changes to business strategy or objectives, and may negatively impact our operations and relationships with employees and third-parties due to increased or unanticipated expenses, operational inefficiencies, uncertainty regarding changes in strategy, decreased employee morale and productivity, and increased turnover.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stock option and restricted stock unit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generally provide for at-will employment, which means that any of our employees could leave our employment at any time, with or without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establish and maintain proper and effective internal control over financial reporting our ability to produce accurate and timely financial statements could be impaired.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required to maintain internal control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We continue to be engaged in a process to document and evaluate our internal control over financial reporting, which is both costly and challenging. In this regard, we will need to continue to incur substantial professional fees and internal costs for our accounting and finance functions, expend significant management efforts, continue to implement plans developed to address areas that we have identified as requiring improvement, validate through testing that controls are functioning as documented and implement a continuous reporting and improvement process for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any internal controls and procedures, no matter how well conceived and operated, can provide only reasonable, not absolute, assurance that the objectives of the control system are met. We may discover weaknesses in our system of internal financial and accounting controls and procedures that could result in a material misstatement of our consolidated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and operations could suffer in the event of system failures or unauthorized or inappropriate use of or access to our systems.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The secure maintenance of this information is critical to our operations and business strategy. Some of this information could be an attractive target of criminal attack or unauthorized access and use by third parties or insiders with a wide range of motives and expertise, including state sponsored actors, organized criminal groups, “hacktivists,” insiders, patient groups, disgruntled current or former employees and others. Cyber-attacks (including involving ransomware) are of ever-increasing levels of sophistication, and despite our security measures,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technology, directors, officers and employees, and infrastructure may be vulnerable to such attacks or may be breached, including due to employee or contractor error or malfeasance.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pervasiveness of cybersecurity and operational resilience incidents in general and the risks of cyber-crime are complex and continue to evolve. There can be no assurance that our security and operational resilience efforts and measures will be effective or that attempted security breaches or disruptions or operational resilience events would not be successful or damaging. Our internal computer systems and those of our contractors and consultants are vulnerable to damage, loss of access or availability, or interruption from computer viruses and other malware, ransomware, unauthorized or inappropriate access or use, natural disasters, pandemics, terrorism, war and telecommunication and electrical failures. Such events could cause interruption of our operations. For example, the loss of or loss of access to pre-clinical trial data or data from clinical trials for our product candidates could result in delays in our regulatory filings and development efforts, as well as delays in the commercialization of our products, and significantly increase our costs. To the extent that any disruption, operational resilience event, security breach or unauthorized or inappropriate use or access to our systems were to result in a loss of or damage to our data, or loss of availability to our data or systems, or inappropriate disclosure of confidential or proprietary information, including to patient, employee or vendor information, we could incur notification obligations to affected individuals and government agencies, liability, including potential lawsuits from patients, collaborators, employees, stockholders or other third parties and liability under foreign, federal and state laws that protect the privacy and security of personal information and our systems, and the development and potential commercialization of our product candidates could be delayed. For additional information, see the Risk Factor captioned, “</w:t>
      </w:r>
      <w:r>
        <w:rPr>
          <w:rFonts w:ascii="Times New Roman;serif" w:hAnsi="Times New Roman;serif"/>
          <w:b w:val="false"/>
          <w:i/>
          <w:color w:val="000000"/>
          <w:sz w:val="20"/>
        </w:rPr>
        <w:t>We are subject to stringent and changing obligations related to privacy, data protection, security, operational resilience, and AI. Our actual or perceived failure to comply with such obligations could lead to government enforcement actions (which could include civil or criminal penalties), private litigation (including from business partners and/or affected individuals) and/or adverse publicity and could negatively affect our operating results and business</w:t>
      </w:r>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common stock and general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 active trading market for our common stock may not be sustained.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began trading on the Nasdaq Global Select Market on July 20, 2018 and we can provide no assurances that we will be able to continue to maintain an active trading market on the Nasdaq Global Select Market or any other exchange in the future. In the absence of an active trading market for shares of our common stock, our stockholders may not be able to sell their common stock at or above the price at which such stockholder acquired our common stock or at the time that they would like to sell. An inactive market may also impair our ability to raise capital by selling shares and may impair our ability to use our shares as consideration in commercial transactions.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authorized share capital limits the number of shares we may issue, and if our stockholders do not approve the proposed increase in our authorized common stock, our ability to raise additional capital, complete strategic transactions and grant equity compensation could be materially constrained.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currently authorizes 150,000,000 shares of common stock, of which only 30,258,728 shares remained available for future issuance as of March 31, 2026. A substantial portion of that remaining capacity will be used or reserved in connection with this offering. We are asking our stockholders to approve an increase in the authorized shares of common stock to 300,000,000 shares at our annual meeting scheduled for September 15, 2026, but that increase will not be effective at the time of the closing of this offering and our stockholders may not approve it.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If the increase is not approved, following the closing of this offering, we may not have sufficient authorized shares to fully utilize our ATM</w:t>
      </w:r>
      <w:r>
        <w:rPr>
          <w:color w:val="000000"/>
        </w:rPr>
        <w:t xml:space="preserve"> </w:t>
      </w:r>
      <w:r>
        <w:rPr>
          <w:rFonts w:ascii="Times New Roman;serif" w:hAnsi="Times New Roman;serif"/>
          <w:b w:val="false"/>
          <w:color w:val="000000"/>
          <w:sz w:val="20"/>
        </w:rPr>
        <w:t>(as defined in “Underwriting”) or to pursue other future capital-raising transactions or strategic transactions on a timely basis or at all; we may face challenges in hiring and retaining employees, including members of our executive leadership team, if sufficient shares are not available for equity compensation awards; and we may be required to seek stockholder approval on a transaction-by-transaction basis before issuing shares, which could result in significant delays and additional costs. Given that we expect to require additional financing to fund the commercial launch of TUDRIQEV and our continued development activities, any such constraint could have a material adverse effect on our business and business prospects.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The price of our common stock may be volatile and fluctuate substantially, which could result in substantial losses for purchasers of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stock price has been and is likely to be volatile. The stock market in general and the market for biopharmaceutical companies in particular have experienced extreme volatility that has often been unrelated to the operating performance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particular companies. As a result of this volatility, you may not be able to sell your common stock at or above the price at which it was acquired. The market price for our common stock may be influenced by many factors,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competitive products or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success in the commercial launch of TUDRIQEV;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results of further clinical trials of TUDRIQEV and our product candidates or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expenses related to the further development of TUDRIQEV and our product candidates or clinical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our efforts to discover, develop, acquire or in-license additional product candidates or drugs;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variations in our financial results or those of companies that are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conditions in the pharmaceutical and biotechnology sectors;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industry and market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and economic instability, the possibility of an economic recession, international hostilities, acts of terrorism,</w:t>
      </w:r>
      <w:r>
        <w:rPr>
          <w:color w:val="000000"/>
        </w:rPr>
        <w:t xml:space="preserve"> </w:t>
      </w:r>
      <w:r>
        <w:rPr>
          <w:rFonts w:ascii="Times New Roman;serif" w:hAnsi="Times New Roman;serif"/>
          <w:b w:val="false"/>
          <w:color w:val="000000"/>
          <w:sz w:val="20"/>
        </w:rPr>
        <w:t>governmental restrictions and sanctions, inflation, global supply chain disruptions, trade relationships and military and political alliances;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factors described in this “Risk factors” section.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sales of our products, if approved. These upfront and milestone payments may vary significantly from period to period and any such variance could cause a significant fluctuation in our operating results from one period to the next.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our operating results may fluctuate due to a variety of other factors, many of which are outside of our control and may be difficult to predict,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and cost of, and level of investment in, research and development activities relating to our current and any future product candidates, which will change from time to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total expenses we incur in connection with equipping and operating our manufacturing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engage clinical trial sites in the U.S. and in foreign territories, obtain the approval for conducting our clinical trials in foreign territories from their regulatory authorities, as well as our ability to enroll the number of patients necessary in our clinical trials and the timing of enrollment;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manufacturing our current and any future product candidates, which may vary depending on the FDA’s and comparable foreign regulatory authorities’ guidelines and requirements, the quantity of production and the terms of any agreements with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expenditures that we will or may incur to acquire or develop additional product candidates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outcomes of further clinical studies for TUDRIQEV and clinical and preclinical studies for our other product candidates or competing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from existing and potential future products that compete with TUDRIQEV and our product candidates, and changes in the competitive landscape of our industry, including consolidation among our competitors or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delays in regulatory review or approval of any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demand for TUDRIQEV and our product candidates, if approved, which may fluctuate significantly and be difficult to predict;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risk/benefit profile, cost and reimbursement policies with respect to our product candidates, if approved, and existing and potential future products that compete with TUDRIQEV and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commercialize any of our product candidates, if approved, inside and outside of the United States, either independently or working with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and our ability to establish and maintain collaborations, licensing or other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adequately support future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unforeseen business disruptions that increase our costs or expenses;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natural disasters, public health crises, political and economic crises, negative global climate patterns, or other catastrophic events, the possibility of an economic recession, international hostilities and trade disruptions, including, but not limited to, those resulting from the current U.S. presidential administration, ongoing military conflicts, acts of terrorism, governmental restrictions and sanctions, inflation, global supply chain disruptions, trade relationships and military and political alliances;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changing and volatile global economic environment.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and/or earnings guidance we may provide.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broad discretion in how we use our cash, cash equivalents and investments, and may not use these resources effectively, which could affect our results of operations and cause our stock price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has considerable discretion in the application of our cash, cash equivalents and investments. We intend to use our resources to fund our preclinical and clinical development programs as well as for general corporate purposes, including working capital requirements and other operating expenses. As a result, investors will be relying upon management’s judgment with only limited information about our specific intentions for the use of our resources. We may use our resources for purposes that do not yield a significant return or any return at all for our stockholders. In addition, pending their use, we may invest our cash, cash equivalents and investments in a manner that does not produce income or that loses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our existing stockholders sell, or indicate an intention to sell, substantial amounts of our common stock in the public market after the expiration of contractual or legal restrictions on resale lapse, the market price of our common stock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decline. These sales may make it more difficult for us to sell equity or equity related securities in the future at a time and price that we deem appropriate, or to use equity as consideration for future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 significant number of shares of common stock that are either subject to outstanding options and restricted stock units, reserved for future issuance under our equity incentive plans or subject to outstanding warrants are eligible for sale in the public market to the extent permitted by the provisions of various vesting schedules and Rule 144 and Rule 701 under the Securities Act, including our ESPP if activated. If these additional shares of common stock are sold, or if it is perceived that they will be sold, in the public market, the market price of our common stock could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holders of shares of our common stock, or their permitted transferees, are entitled to rights with respect to the registration under the Securities Act of shares of our common stock pursuant to the amended and restated investors’ rights agreement by and among us and certain of our stockholders.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sell shares of our common stock in “at-the-market” offerings pursuant to a Sales Agreement entered into on August 3, 2023, and subsequently amended on May 16, 2024, November 25, 2024 and May 22, 2025, with Leerink Partners LLC, or the 2023 Sales Agreement. The sale of a substantial number of shares of our common stock pursuant to the 2023 Sales Agreement, or anticipation of such sales, could cause the trading price of our common stock to decline or make it more difficult for us to sell equity or equity-related securities in the future at a time and at a price that we might otherwise desire. In addition, issuances of any shares of our common stock sold pursuant to the 2023 Sales Agreement will have a dilutive effect on our existing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common stock or securities convertible, exercisable or exchangeable into common stock, our existing stockholders’ interest will be diluted.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unable to raise additional funds through equity or debt financings when needed, we may be required to grant rights to develop and market one or more of our product candidates or technologies that we would otherwise prefer to develop and market ourselves.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operating expenses and cash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assumption of additional indebtedness or contingent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issuance of our equity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assimilation of operations, intellectual property and products of an acquired company, including difficulties associated with integrating new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our management’s attention from our existing product programs and initiatives in pursuing such a strategic merger or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retention of key employees, the loss of key personnel, and uncertainties in our ability to maintain key business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generate revenue from acquired technology and/or products sufficient to meet our objectives in undertaking the acquisition or even to offset the associated acquisition and maintenance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if we undertake acquisitions, we may issue dilutive securities, assume or incur debt obligations, incur large one-time expenses and acquire intangible assets that could result in significant future amortization expense or intangible asset impairment charges.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Unfavorable market and economic conditions may have serious adverse consequences on our business, financial condition, results of operations, stock price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economic climate and financial market conditions could adversely impact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financial markets have been experiencing extreme disruption in recent months, including, among other things, extreme volatility in securities prices. We are unable to predict the likely duration and severity of the current disruptions in financial markets and adverse economic conditions throughout the world. These economic developments affect businesses such as ours and those of third parties on which we rely in a number of ways that could result in unfavorable consequences to us. Current economic conditions or a deepening economic downturn in the United States and elsewhere may reduce our ability to access capital, which could negatively impact our short-term and long-term 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are not aware of any downgrades, material losses, or other significant deterioration in the fair value of our cash equivalents or short-term investments, we cannot assure you that deterioration of the global credit and financial markets would not negatively impact our current portfolio of cash equivalents or short-term investments, or our ability to meet our financing objectives. Furthermore, our stock price may decline due, in part, to the volatility of the stock market and general economic downturns.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Exchange rate fluctuations may materially affect our results of operations and financial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Owing to the international scope of our operations, fluctuations in exchange rates, particularly between the U.S. dollar and the British pound and the euro, may adversely affect us. Although we are based in the United States, we have significant research and development operations in the United Kingdom, and source consulting and other services in the United Kingdom and the European</w:t>
      </w:r>
      <w:r>
        <w:rPr>
          <w:color w:val="000000"/>
        </w:rPr>
        <w:t xml:space="preserve"> </w:t>
      </w:r>
      <w:r>
        <w:rPr>
          <w:rFonts w:ascii="Times New Roman;serif" w:hAnsi="Times New Roman;serif"/>
          <w:b w:val="false"/>
          <w:color w:val="000000"/>
          <w:sz w:val="20"/>
        </w:rPr>
        <w:t>Union. As a result, our business and the price of our common stock may be affected by fluctuations in foreign exchange rates, which may have a significant impact on our results of operations and cash flows from period to period. Currently, we do not have any exchange rate hedging arrangements in place.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Unfavorable global economic conditions and geopolitical events could adversely affect our business, financial condition or results of operations.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Our results of operations could be adversely affected by general conditions in the global economy and in the global financial markets. The financial markets and the global economy may also be adversely affected by the current or anticipated impact of military and trade conflicts, including the ongoing military conflicts between Russia-Ukraine and Israel-Hamas and the ongoing trade conflict between U.S. and China, terrorism, or other geopolitical events. Sanctions imposed by the United States and other countries in response to such conflicts may also adversely impact our clinical trials, the financial markets and the global economy, and any economic countermeasures by the affected countries or others could exacerbate market and economic instability. A weak or declining economy or political disruption, including any international trade disputes, economic instability, changes in tax laws and regulations and additional tariffs, including based on the current U.S. presidential administration, export controls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0"/>
        </w:rPr>
        <w:t xml:space="preserve">and increased interest rates could disrupt or otherwise adversely impact our operations and those of third parties upon which we rely. Although we do not currently operate in Russia, Ukraine, Israel or China, those conflicts may impact, and if any of those conflicts broaden it may further impact, the markets, countries or territories in which we do operate or intend to operate, which could have a negative impact on our ability to achieve our objectives or timelines.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increasing focus on environmental sustainability and social initiatives could increase our costs, harm our reputation and adversely impact our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Hercules Loan and Security Agreement contains certain covenants that could adversely affect our operations and, if an event of default were to occur, we could be forced to repay any outstanding indebtedness sooner than planned and possibly at a time when we do not have sufficient capital to meet this obligation.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6, 2022 we and certain of our subsidiaries entered into a Loan and Security Agreement, or the Hercules Loan Agreement with Hercules Capital, Inc., or Hercules, in its capacity as administrative agent and collateral agent and as a lender, which such agreement was subsequently amended in June 2023, December 2023 and January 2026. The Hercules Loan Agreement contains certain affirmative and negative covenants that could prevent us from taking certain actions without the consent of our lenders. These covenants may limit our flexibility in operating our business and our ability to take actions that might be advantageous to us and our stockholders. The Hercules Loan Agreement also contains customary affirmative and negative covenants that, among other things, may limit our ability, subject to certain exceptions, to incur indebtedness, grant liens, enter into a merger or consolidation, enter into transactions with affiliates, or sell all or a portion of our property, business or assets. The Hercules Loan Agreement contains customary events of default. Upon the occurrence and continuation of an event of default, all amounts due under the Hercules Loan Agreement become (in the case of an insolvency or bankruptcy event), or may become (in the case of all other events of default and at the option of Hercules), immediately due and payable. If an event of default under the Hercules Loan Agreement should occur, we could be required to immediately repay any outstanding indebtedness. If we are unable to repay such debt, the lenders would be able to foreclose on the secured collateral, including our cash accounts, and take other remedies permitted under the Hercules Loan Agreement. Even if we are able to repay any indebtedness on an event of default, the repayment of these sums may significantly reduce our working capital and impair our ability to operate as planned.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unregistered sales of securities other than previously disclosed by us in a Quarterly Report on Form 10-Q or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modified, or terminated a “Rule 10b5-1 trading arrangement” or “non-Rule 10b5-1 trading arrangement,” in each case as defined in Item 408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3"/>
        <w:gridCol w:w="285"/>
        <w:gridCol w:w="287"/>
        <w:gridCol w:w="109"/>
        <w:gridCol w:w="109"/>
        <w:gridCol w:w="109"/>
        <w:gridCol w:w="2034"/>
        <w:gridCol w:w="1963"/>
        <w:gridCol w:w="1933"/>
        <w:gridCol w:w="109"/>
        <w:gridCol w:w="109"/>
        <w:gridCol w:w="109"/>
        <w:gridCol w:w="195"/>
        <w:gridCol w:w="195"/>
        <w:gridCol w:w="196"/>
        <w:gridCol w:w="133"/>
        <w:gridCol w:w="133"/>
        <w:gridCol w:w="133"/>
        <w:gridCol w:w="165"/>
        <w:gridCol w:w="165"/>
        <w:gridCol w:w="166"/>
        <w:gridCol w:w="133"/>
        <w:gridCol w:w="133"/>
        <w:gridCol w:w="133"/>
        <w:gridCol w:w="246"/>
        <w:gridCol w:w="246"/>
        <w:gridCol w:w="354"/>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pl-6302026x10qxex311.htm">
              <w:r>
                <w:rPr>
                  <w:rStyle w:val="InternetLink"/>
                  <w:rFonts w:ascii="Times New Roman;serif" w:hAnsi="Times New Roman;serif"/>
                  <w:b w:val="false"/>
                  <w:color w:val="0000FF"/>
                  <w:sz w:val="20"/>
                  <w:u w:val="single"/>
                </w:rPr>
                <w:t>Certification of the Chief Executive Officer, as required by Section 302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epl-6302026x10qxex312.htm">
              <w:r>
                <w:rPr>
                  <w:rStyle w:val="InternetLink"/>
                  <w:rFonts w:ascii="Times New Roman;serif" w:hAnsi="Times New Roman;serif"/>
                  <w:b w:val="false"/>
                  <w:color w:val="0000FF"/>
                  <w:sz w:val="20"/>
                  <w:u w:val="single"/>
                </w:rPr>
                <w:t>Certification of the Chief Financial Officer, as required by Section 302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pl-6302026x10qxex321.htm">
              <w:r>
                <w:rPr>
                  <w:rStyle w:val="InternetLink"/>
                  <w:rFonts w:ascii="Times New Roman;serif" w:hAnsi="Times New Roman;serif"/>
                  <w:b w:val="false"/>
                  <w:color w:val="0000FF"/>
                  <w:sz w:val="20"/>
                  <w:u w:val="single"/>
                </w:rPr>
                <w:t>Certification of the Chief Executive Officer, as required by Section 906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epl-6302026x10qxex322.htm">
              <w:r>
                <w:rPr>
                  <w:rStyle w:val="InternetLink"/>
                  <w:rFonts w:ascii="Times New Roman;serif" w:hAnsi="Times New Roman;serif"/>
                  <w:b w:val="false"/>
                  <w:color w:val="0000FF"/>
                  <w:sz w:val="20"/>
                  <w:u w:val="single"/>
                </w:rPr>
                <w:t>Certification of the Chief Financial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Filed or furnished herewith. 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pStyle w:val="TextBody"/>
        <w:bidi w:val="0"/>
        <w:spacing w:before="240" w:after="283"/>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ff4c9817fe42789dbf077adced74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60" w:type="dxa"/>
        <w:jc w:val="left"/>
        <w:tblInd w:w="0" w:type="dxa"/>
        <w:tblLayout w:type="fixed"/>
        <w:tblCellMar>
          <w:top w:w="28" w:type="dxa"/>
          <w:left w:w="28" w:type="dxa"/>
          <w:bottom w:w="28" w:type="dxa"/>
          <w:right w:w="28" w:type="dxa"/>
        </w:tblCellMar>
      </w:tblPr>
      <w:tblGrid>
        <w:gridCol w:w="743"/>
        <w:gridCol w:w="653"/>
        <w:gridCol w:w="659"/>
        <w:gridCol w:w="397"/>
        <w:gridCol w:w="397"/>
        <w:gridCol w:w="397"/>
        <w:gridCol w:w="1056"/>
        <w:gridCol w:w="1056"/>
        <w:gridCol w:w="1502"/>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REPLIMUNE GROUP,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Sushil Patel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Sushil Patel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 and Director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Emily Hill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Emily Hill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Schwendenman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Andrew Schwendenman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Accounting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 UNDER THE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OF 1934, AS ADOPTED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Sushil Patel,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Replimune Group, Inc.;</w:t>
      </w:r>
    </w:p>
    <w:p>
      <w:pPr>
        <w:pStyle w:val="TextBody"/>
        <w:bidi w:val="0"/>
        <w:spacing w:lineRule="auto" w:line="288" w:before="240" w:after="283"/>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58"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729"/>
        <w:gridCol w:w="729"/>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Sushil Patel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Sushil Patel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 UNDER THE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OF 1934, AS ADOPTED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Emily Hill, certify that: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Replimune Group, Inc.;</w:t>
      </w:r>
    </w:p>
    <w:p>
      <w:pPr>
        <w:pStyle w:val="TextBody"/>
        <w:bidi w:val="0"/>
        <w:spacing w:lineRule="auto" w:line="288" w:before="240" w:after="283"/>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68"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704"/>
        <w:gridCol w:w="704"/>
        <w:gridCol w:w="100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Replimune Group, Inc. (the “Company”) for the quarter ended June 30, 2026, as filed with the Securities and Exchange Commission on the date hereof (the “Report”), the undersigned, Sushil Patel, Chief Executive Officer of the Company, hereby certifies, pursuant to 18 U.S.C. Section 1350, as adopted pursuant to Section 906 of the Sarbanes-Oxley Act of 2002, that to the best of his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58"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729"/>
        <w:gridCol w:w="729"/>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Sushil Patel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Sushil Patel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Replimune Group, Inc. (the “Company”) for the quarter ended June 30, 2026, as filed with the Securities and Exchange Commission on the date hereof (the “Report”), the undersigned, Emily Hill, Chief Financial Officer of the Company, hereby certifies, pursuant to 18 U.S.C. Section 1350, as adopted pursuant to Section 906 of the Sarbanes-Oxley Act of 2002, that to the best of her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73"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735"/>
        <w:gridCol w:w="735"/>
        <w:gridCol w:w="104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Emily 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53030</Words>
  <Characters>299792</Characters>
  <CharactersWithSpaces>351359</CharactersWithSpaces>
  <Paragraphs>2302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